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7C3BE" w14:textId="77777777" w:rsidR="00E80642" w:rsidRDefault="00E80642" w:rsidP="00855113">
      <w:pPr>
        <w:jc w:val="center"/>
        <w:rPr>
          <w:b/>
          <w:sz w:val="40"/>
          <w:szCs w:val="40"/>
        </w:rPr>
      </w:pPr>
    </w:p>
    <w:p w14:paraId="65F2C068" w14:textId="738FEB52" w:rsidR="008F6F65" w:rsidRPr="007323BF" w:rsidRDefault="00C05D78" w:rsidP="00855113">
      <w:pPr>
        <w:jc w:val="center"/>
        <w:rPr>
          <w:b/>
          <w:sz w:val="40"/>
          <w:szCs w:val="40"/>
        </w:rPr>
      </w:pPr>
      <w:r w:rsidRPr="007323BF">
        <w:rPr>
          <w:b/>
          <w:sz w:val="40"/>
          <w:szCs w:val="40"/>
        </w:rPr>
        <w:t>Diversifying Municipal</w:t>
      </w:r>
      <w:r w:rsidR="00E44076" w:rsidRPr="007323BF">
        <w:rPr>
          <w:b/>
          <w:sz w:val="40"/>
          <w:szCs w:val="40"/>
        </w:rPr>
        <w:t xml:space="preserve"> Revenue </w:t>
      </w:r>
      <w:r w:rsidRPr="007323BF">
        <w:rPr>
          <w:b/>
          <w:sz w:val="40"/>
          <w:szCs w:val="40"/>
        </w:rPr>
        <w:t>in Connecticut</w:t>
      </w:r>
      <w:r w:rsidR="0073042B">
        <w:rPr>
          <w:b/>
          <w:sz w:val="40"/>
          <w:szCs w:val="40"/>
        </w:rPr>
        <w:t xml:space="preserve"> </w:t>
      </w:r>
    </w:p>
    <w:p w14:paraId="2CCC49B2" w14:textId="77777777" w:rsidR="007A26F0" w:rsidRDefault="007A26F0" w:rsidP="00855113">
      <w:pPr>
        <w:jc w:val="center"/>
        <w:rPr>
          <w:b/>
        </w:rPr>
      </w:pPr>
    </w:p>
    <w:p w14:paraId="3C33DCDF" w14:textId="77777777" w:rsidR="007323BF" w:rsidRPr="00710363" w:rsidRDefault="007323BF" w:rsidP="00855113">
      <w:pPr>
        <w:jc w:val="center"/>
        <w:rPr>
          <w:b/>
        </w:rPr>
      </w:pPr>
    </w:p>
    <w:p w14:paraId="7620BF3C" w14:textId="77777777" w:rsidR="007323BF" w:rsidRDefault="007323BF" w:rsidP="007323BF">
      <w:pPr>
        <w:spacing w:after="0"/>
        <w:jc w:val="center"/>
        <w:rPr>
          <w:b/>
          <w:sz w:val="32"/>
          <w:szCs w:val="32"/>
        </w:rPr>
      </w:pPr>
      <w:r w:rsidRPr="007323BF">
        <w:rPr>
          <w:b/>
          <w:sz w:val="32"/>
          <w:szCs w:val="32"/>
        </w:rPr>
        <w:t xml:space="preserve">Report Prepared for the </w:t>
      </w:r>
    </w:p>
    <w:p w14:paraId="34340B6E" w14:textId="615546FF" w:rsidR="007913F7" w:rsidRPr="007323BF" w:rsidRDefault="007323BF" w:rsidP="007323BF">
      <w:pPr>
        <w:spacing w:after="0"/>
        <w:jc w:val="center"/>
        <w:rPr>
          <w:b/>
          <w:sz w:val="32"/>
          <w:szCs w:val="32"/>
        </w:rPr>
      </w:pPr>
      <w:r w:rsidRPr="007323BF">
        <w:rPr>
          <w:b/>
          <w:sz w:val="32"/>
          <w:szCs w:val="32"/>
        </w:rPr>
        <w:t>Connecticut Tax Study Panel</w:t>
      </w:r>
    </w:p>
    <w:p w14:paraId="4BA745AA" w14:textId="77777777" w:rsidR="007913F7" w:rsidRDefault="007913F7" w:rsidP="00855113">
      <w:pPr>
        <w:jc w:val="center"/>
        <w:rPr>
          <w:b/>
        </w:rPr>
      </w:pPr>
    </w:p>
    <w:p w14:paraId="02AC66E5" w14:textId="0B362ACC" w:rsidR="007323BF" w:rsidRDefault="00D361C7" w:rsidP="00855113">
      <w:pPr>
        <w:jc w:val="center"/>
        <w:rPr>
          <w:b/>
        </w:rPr>
      </w:pPr>
      <w:r>
        <w:rPr>
          <w:b/>
        </w:rPr>
        <w:t>Presentation November 17, 2015</w:t>
      </w:r>
      <w:bookmarkStart w:id="0" w:name="_GoBack"/>
      <w:bookmarkEnd w:id="0"/>
    </w:p>
    <w:p w14:paraId="4FBFCEDA" w14:textId="77777777" w:rsidR="007323BF" w:rsidRDefault="007323BF" w:rsidP="00855113">
      <w:pPr>
        <w:jc w:val="center"/>
        <w:rPr>
          <w:b/>
        </w:rPr>
      </w:pPr>
    </w:p>
    <w:p w14:paraId="2806EE4E" w14:textId="77777777" w:rsidR="007323BF" w:rsidRPr="00710363" w:rsidRDefault="007323BF" w:rsidP="00855113">
      <w:pPr>
        <w:jc w:val="center"/>
        <w:rPr>
          <w:b/>
        </w:rPr>
      </w:pPr>
    </w:p>
    <w:p w14:paraId="6B286844" w14:textId="77777777" w:rsidR="002A1D91" w:rsidRPr="007323BF" w:rsidRDefault="00E44076" w:rsidP="007323BF">
      <w:pPr>
        <w:spacing w:after="0"/>
        <w:jc w:val="center"/>
        <w:rPr>
          <w:b/>
          <w:sz w:val="28"/>
          <w:szCs w:val="28"/>
        </w:rPr>
      </w:pPr>
      <w:r w:rsidRPr="007323BF">
        <w:rPr>
          <w:b/>
          <w:sz w:val="28"/>
          <w:szCs w:val="28"/>
        </w:rPr>
        <w:t>David L. Sjoquist</w:t>
      </w:r>
    </w:p>
    <w:p w14:paraId="0834ECEC" w14:textId="77777777" w:rsidR="00133DE4" w:rsidRPr="007323BF" w:rsidRDefault="00133DE4" w:rsidP="007323BF">
      <w:pPr>
        <w:spacing w:after="0"/>
        <w:jc w:val="center"/>
        <w:rPr>
          <w:b/>
          <w:sz w:val="28"/>
          <w:szCs w:val="28"/>
        </w:rPr>
      </w:pPr>
      <w:r w:rsidRPr="007323BF">
        <w:rPr>
          <w:b/>
          <w:sz w:val="28"/>
          <w:szCs w:val="28"/>
        </w:rPr>
        <w:t>Professor of Economics</w:t>
      </w:r>
    </w:p>
    <w:p w14:paraId="53845102" w14:textId="77777777" w:rsidR="00B4089F" w:rsidRPr="007323BF" w:rsidRDefault="00E44076" w:rsidP="00855113">
      <w:pPr>
        <w:spacing w:after="0"/>
        <w:jc w:val="center"/>
        <w:rPr>
          <w:b/>
          <w:sz w:val="28"/>
          <w:szCs w:val="28"/>
        </w:rPr>
      </w:pPr>
      <w:r w:rsidRPr="007323BF">
        <w:rPr>
          <w:b/>
          <w:sz w:val="28"/>
          <w:szCs w:val="28"/>
        </w:rPr>
        <w:t>Andrew Young School of Policy Studies</w:t>
      </w:r>
    </w:p>
    <w:p w14:paraId="16249DE9" w14:textId="77777777" w:rsidR="00855113" w:rsidRPr="007323BF" w:rsidRDefault="00E44076" w:rsidP="00855113">
      <w:pPr>
        <w:spacing w:after="0"/>
        <w:jc w:val="center"/>
        <w:rPr>
          <w:b/>
          <w:sz w:val="28"/>
          <w:szCs w:val="28"/>
        </w:rPr>
      </w:pPr>
      <w:r w:rsidRPr="007323BF">
        <w:rPr>
          <w:b/>
          <w:sz w:val="28"/>
          <w:szCs w:val="28"/>
        </w:rPr>
        <w:t>Georgia State University</w:t>
      </w:r>
    </w:p>
    <w:p w14:paraId="15CAA181" w14:textId="77777777" w:rsidR="00855113" w:rsidRDefault="00E44076" w:rsidP="00855113">
      <w:pPr>
        <w:spacing w:after="0"/>
        <w:jc w:val="center"/>
        <w:rPr>
          <w:b/>
          <w:sz w:val="28"/>
          <w:szCs w:val="28"/>
        </w:rPr>
      </w:pPr>
      <w:r w:rsidRPr="007323BF">
        <w:rPr>
          <w:b/>
          <w:sz w:val="28"/>
          <w:szCs w:val="28"/>
        </w:rPr>
        <w:t>Atlanta, Georgia 30303</w:t>
      </w:r>
    </w:p>
    <w:p w14:paraId="05DB632A" w14:textId="77777777" w:rsidR="007323BF" w:rsidRDefault="007323BF" w:rsidP="00855113">
      <w:pPr>
        <w:spacing w:after="0"/>
        <w:jc w:val="center"/>
        <w:rPr>
          <w:b/>
          <w:sz w:val="28"/>
          <w:szCs w:val="28"/>
        </w:rPr>
      </w:pPr>
    </w:p>
    <w:p w14:paraId="0E048E88" w14:textId="77777777" w:rsidR="007323BF" w:rsidRDefault="007323BF" w:rsidP="00855113">
      <w:pPr>
        <w:spacing w:after="0"/>
        <w:jc w:val="center"/>
        <w:rPr>
          <w:b/>
          <w:sz w:val="28"/>
          <w:szCs w:val="28"/>
        </w:rPr>
      </w:pPr>
    </w:p>
    <w:p w14:paraId="0AB0D2F3" w14:textId="77777777" w:rsidR="007323BF" w:rsidRDefault="007323BF" w:rsidP="00855113">
      <w:pPr>
        <w:spacing w:after="0"/>
        <w:jc w:val="center"/>
        <w:rPr>
          <w:b/>
          <w:sz w:val="28"/>
          <w:szCs w:val="28"/>
        </w:rPr>
      </w:pPr>
    </w:p>
    <w:p w14:paraId="3C99692D" w14:textId="77777777" w:rsidR="007323BF" w:rsidRDefault="007323BF" w:rsidP="00855113">
      <w:pPr>
        <w:spacing w:after="0"/>
        <w:jc w:val="center"/>
        <w:rPr>
          <w:b/>
          <w:sz w:val="28"/>
          <w:szCs w:val="28"/>
        </w:rPr>
      </w:pPr>
    </w:p>
    <w:p w14:paraId="5FDCB2BF" w14:textId="77777777" w:rsidR="007323BF" w:rsidRDefault="007323BF" w:rsidP="00855113">
      <w:pPr>
        <w:spacing w:after="0"/>
        <w:jc w:val="center"/>
        <w:rPr>
          <w:b/>
          <w:sz w:val="28"/>
          <w:szCs w:val="28"/>
        </w:rPr>
      </w:pPr>
    </w:p>
    <w:p w14:paraId="4C77F236" w14:textId="77777777" w:rsidR="007323BF" w:rsidRDefault="007323BF" w:rsidP="00855113">
      <w:pPr>
        <w:spacing w:after="0"/>
        <w:jc w:val="center"/>
        <w:rPr>
          <w:b/>
          <w:sz w:val="28"/>
          <w:szCs w:val="28"/>
        </w:rPr>
      </w:pPr>
    </w:p>
    <w:p w14:paraId="2AF402DC" w14:textId="21CB4436" w:rsidR="007323BF" w:rsidRDefault="007323BF" w:rsidP="00855113">
      <w:pPr>
        <w:spacing w:after="0"/>
        <w:jc w:val="center"/>
        <w:rPr>
          <w:b/>
          <w:sz w:val="28"/>
          <w:szCs w:val="28"/>
        </w:rPr>
      </w:pPr>
      <w:r>
        <w:rPr>
          <w:b/>
          <w:sz w:val="28"/>
          <w:szCs w:val="28"/>
        </w:rPr>
        <w:t xml:space="preserve">November 2015 </w:t>
      </w:r>
    </w:p>
    <w:p w14:paraId="6166D9C1" w14:textId="77777777" w:rsidR="0097357B" w:rsidRDefault="0097357B" w:rsidP="00855113">
      <w:pPr>
        <w:spacing w:after="0"/>
        <w:jc w:val="center"/>
        <w:rPr>
          <w:b/>
          <w:sz w:val="28"/>
          <w:szCs w:val="28"/>
        </w:rPr>
      </w:pPr>
    </w:p>
    <w:p w14:paraId="3D72915F" w14:textId="77777777" w:rsidR="003A0534" w:rsidRDefault="003A0534" w:rsidP="00855113">
      <w:pPr>
        <w:spacing w:after="0"/>
        <w:jc w:val="center"/>
        <w:rPr>
          <w:b/>
          <w:sz w:val="28"/>
          <w:szCs w:val="28"/>
        </w:rPr>
      </w:pPr>
    </w:p>
    <w:p w14:paraId="1CCFD6B9" w14:textId="6EE5F607" w:rsidR="007913F7" w:rsidRPr="00871D4B" w:rsidRDefault="00871D4B" w:rsidP="00871D4B">
      <w:r>
        <w:t xml:space="preserve">Thanks go to Sally Wallace, Bill Fox, Mike Bell, and Daphne Kenyon for their comments on an earlier draft of this report, to Susan Sherman, Michael Galliher, Patrick Flaherty, and Dana Placzek for providing </w:t>
      </w:r>
      <w:r w:rsidR="00305BDF">
        <w:t xml:space="preserve">and explaining </w:t>
      </w:r>
      <w:r>
        <w:t xml:space="preserve">data </w:t>
      </w:r>
      <w:r w:rsidR="00305BDF">
        <w:t>used to estimate tax revenue</w:t>
      </w:r>
      <w:r>
        <w:t>, and to George Rafael, Daryl Jones, Darrell Hill, and Lyle Wray for help in understanding the issues</w:t>
      </w:r>
      <w:r w:rsidR="00305BDF">
        <w:t xml:space="preserve"> associated with local revenue sources</w:t>
      </w:r>
      <w:r>
        <w:t xml:space="preserve">. </w:t>
      </w:r>
    </w:p>
    <w:p w14:paraId="340735CD" w14:textId="77777777" w:rsidR="00FE36CD" w:rsidRDefault="00FE36CD" w:rsidP="00855113">
      <w:pPr>
        <w:jc w:val="center"/>
        <w:rPr>
          <w:b/>
        </w:rPr>
        <w:sectPr w:rsidR="00FE36CD" w:rsidSect="00EE6EB7">
          <w:headerReference w:type="default" r:id="rId8"/>
          <w:footerReference w:type="default" r:id="rId9"/>
          <w:headerReference w:type="first" r:id="rId10"/>
          <w:endnotePr>
            <w:numFmt w:val="decimal"/>
          </w:endnotePr>
          <w:pgSz w:w="12240" w:h="15840"/>
          <w:pgMar w:top="1440" w:right="1440" w:bottom="1440" w:left="1440" w:header="720" w:footer="720" w:gutter="0"/>
          <w:pgNumType w:start="0"/>
          <w:cols w:space="720"/>
          <w:titlePg/>
          <w:docGrid w:linePitch="360"/>
        </w:sectPr>
      </w:pPr>
    </w:p>
    <w:sdt>
      <w:sdtPr>
        <w:rPr>
          <w:rFonts w:ascii="Times New Roman" w:hAnsi="Times New Roman"/>
          <w:b w:val="0"/>
          <w:bCs w:val="0"/>
          <w:smallCaps w:val="0"/>
          <w:sz w:val="24"/>
          <w:szCs w:val="24"/>
        </w:rPr>
        <w:id w:val="1674605348"/>
        <w:docPartObj>
          <w:docPartGallery w:val="Table of Contents"/>
          <w:docPartUnique/>
        </w:docPartObj>
      </w:sdtPr>
      <w:sdtEndPr>
        <w:rPr>
          <w:noProof/>
        </w:rPr>
      </w:sdtEndPr>
      <w:sdtContent>
        <w:p w14:paraId="4DA979D8" w14:textId="6C541D31" w:rsidR="00FE36CD" w:rsidRDefault="00FE36CD" w:rsidP="00FB4562">
          <w:pPr>
            <w:pStyle w:val="TOCHeading"/>
          </w:pPr>
          <w:r>
            <w:t>Table of Contents</w:t>
          </w:r>
        </w:p>
        <w:p w14:paraId="7E05DF9E" w14:textId="77777777" w:rsidR="009F64A1" w:rsidRDefault="00FE36CD">
          <w:pPr>
            <w:pStyle w:val="TOC1"/>
            <w:tabs>
              <w:tab w:val="right" w:leader="dot" w:pos="935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433373605" w:history="1">
            <w:r w:rsidR="009F64A1" w:rsidRPr="009A0D62">
              <w:rPr>
                <w:rStyle w:val="Hyperlink"/>
                <w:noProof/>
              </w:rPr>
              <w:t>Executive Summary</w:t>
            </w:r>
            <w:r w:rsidR="009F64A1">
              <w:rPr>
                <w:noProof/>
                <w:webHidden/>
              </w:rPr>
              <w:tab/>
            </w:r>
            <w:r w:rsidR="009F64A1">
              <w:rPr>
                <w:noProof/>
                <w:webHidden/>
              </w:rPr>
              <w:fldChar w:fldCharType="begin"/>
            </w:r>
            <w:r w:rsidR="009F64A1">
              <w:rPr>
                <w:noProof/>
                <w:webHidden/>
              </w:rPr>
              <w:instrText xml:space="preserve"> PAGEREF _Toc433373605 \h </w:instrText>
            </w:r>
            <w:r w:rsidR="009F64A1">
              <w:rPr>
                <w:noProof/>
                <w:webHidden/>
              </w:rPr>
            </w:r>
            <w:r w:rsidR="009F64A1">
              <w:rPr>
                <w:noProof/>
                <w:webHidden/>
              </w:rPr>
              <w:fldChar w:fldCharType="separate"/>
            </w:r>
            <w:r w:rsidR="009F64A1">
              <w:rPr>
                <w:noProof/>
                <w:webHidden/>
              </w:rPr>
              <w:t>1</w:t>
            </w:r>
            <w:r w:rsidR="009F64A1">
              <w:rPr>
                <w:noProof/>
                <w:webHidden/>
              </w:rPr>
              <w:fldChar w:fldCharType="end"/>
            </w:r>
          </w:hyperlink>
        </w:p>
        <w:p w14:paraId="4260A0F1"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06" w:history="1">
            <w:r w:rsidR="009F64A1" w:rsidRPr="009A0D62">
              <w:rPr>
                <w:rStyle w:val="Hyperlink"/>
                <w:noProof/>
              </w:rPr>
              <w:t>Current Environment</w:t>
            </w:r>
            <w:r w:rsidR="009F64A1">
              <w:rPr>
                <w:noProof/>
                <w:webHidden/>
              </w:rPr>
              <w:tab/>
            </w:r>
            <w:r w:rsidR="009F64A1">
              <w:rPr>
                <w:noProof/>
                <w:webHidden/>
              </w:rPr>
              <w:fldChar w:fldCharType="begin"/>
            </w:r>
            <w:r w:rsidR="009F64A1">
              <w:rPr>
                <w:noProof/>
                <w:webHidden/>
              </w:rPr>
              <w:instrText xml:space="preserve"> PAGEREF _Toc433373606 \h </w:instrText>
            </w:r>
            <w:r w:rsidR="009F64A1">
              <w:rPr>
                <w:noProof/>
                <w:webHidden/>
              </w:rPr>
            </w:r>
            <w:r w:rsidR="009F64A1">
              <w:rPr>
                <w:noProof/>
                <w:webHidden/>
              </w:rPr>
              <w:fldChar w:fldCharType="separate"/>
            </w:r>
            <w:r w:rsidR="009F64A1">
              <w:rPr>
                <w:noProof/>
                <w:webHidden/>
              </w:rPr>
              <w:t>1</w:t>
            </w:r>
            <w:r w:rsidR="009F64A1">
              <w:rPr>
                <w:noProof/>
                <w:webHidden/>
              </w:rPr>
              <w:fldChar w:fldCharType="end"/>
            </w:r>
          </w:hyperlink>
        </w:p>
        <w:p w14:paraId="100B10CD"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07" w:history="1">
            <w:r w:rsidR="009F64A1" w:rsidRPr="009A0D62">
              <w:rPr>
                <w:rStyle w:val="Hyperlink"/>
                <w:noProof/>
              </w:rPr>
              <w:t>Arguments For and Against Local Revenue Diversification</w:t>
            </w:r>
            <w:r w:rsidR="009F64A1">
              <w:rPr>
                <w:noProof/>
                <w:webHidden/>
              </w:rPr>
              <w:tab/>
            </w:r>
            <w:r w:rsidR="009F64A1">
              <w:rPr>
                <w:noProof/>
                <w:webHidden/>
              </w:rPr>
              <w:fldChar w:fldCharType="begin"/>
            </w:r>
            <w:r w:rsidR="009F64A1">
              <w:rPr>
                <w:noProof/>
                <w:webHidden/>
              </w:rPr>
              <w:instrText xml:space="preserve"> PAGEREF _Toc433373607 \h </w:instrText>
            </w:r>
            <w:r w:rsidR="009F64A1">
              <w:rPr>
                <w:noProof/>
                <w:webHidden/>
              </w:rPr>
            </w:r>
            <w:r w:rsidR="009F64A1">
              <w:rPr>
                <w:noProof/>
                <w:webHidden/>
              </w:rPr>
              <w:fldChar w:fldCharType="separate"/>
            </w:r>
            <w:r w:rsidR="009F64A1">
              <w:rPr>
                <w:noProof/>
                <w:webHidden/>
              </w:rPr>
              <w:t>1</w:t>
            </w:r>
            <w:r w:rsidR="009F64A1">
              <w:rPr>
                <w:noProof/>
                <w:webHidden/>
              </w:rPr>
              <w:fldChar w:fldCharType="end"/>
            </w:r>
          </w:hyperlink>
        </w:p>
        <w:p w14:paraId="13903462"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08" w:history="1">
            <w:r w:rsidR="009F64A1" w:rsidRPr="009A0D62">
              <w:rPr>
                <w:rStyle w:val="Hyperlink"/>
                <w:noProof/>
              </w:rPr>
              <w:t>Policy Option: Allow Local Sales Taxes</w:t>
            </w:r>
            <w:r w:rsidR="009F64A1">
              <w:rPr>
                <w:noProof/>
                <w:webHidden/>
              </w:rPr>
              <w:tab/>
            </w:r>
            <w:r w:rsidR="009F64A1">
              <w:rPr>
                <w:noProof/>
                <w:webHidden/>
              </w:rPr>
              <w:fldChar w:fldCharType="begin"/>
            </w:r>
            <w:r w:rsidR="009F64A1">
              <w:rPr>
                <w:noProof/>
                <w:webHidden/>
              </w:rPr>
              <w:instrText xml:space="preserve"> PAGEREF _Toc433373608 \h </w:instrText>
            </w:r>
            <w:r w:rsidR="009F64A1">
              <w:rPr>
                <w:noProof/>
                <w:webHidden/>
              </w:rPr>
            </w:r>
            <w:r w:rsidR="009F64A1">
              <w:rPr>
                <w:noProof/>
                <w:webHidden/>
              </w:rPr>
              <w:fldChar w:fldCharType="separate"/>
            </w:r>
            <w:r w:rsidR="009F64A1">
              <w:rPr>
                <w:noProof/>
                <w:webHidden/>
              </w:rPr>
              <w:t>2</w:t>
            </w:r>
            <w:r w:rsidR="009F64A1">
              <w:rPr>
                <w:noProof/>
                <w:webHidden/>
              </w:rPr>
              <w:fldChar w:fldCharType="end"/>
            </w:r>
          </w:hyperlink>
        </w:p>
        <w:p w14:paraId="1E365803"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09" w:history="1">
            <w:r w:rsidR="009F64A1" w:rsidRPr="009A0D62">
              <w:rPr>
                <w:rStyle w:val="Hyperlink"/>
                <w:noProof/>
              </w:rPr>
              <w:t>Options for Local Sales Taxes</w:t>
            </w:r>
            <w:r w:rsidR="009F64A1">
              <w:rPr>
                <w:noProof/>
                <w:webHidden/>
              </w:rPr>
              <w:tab/>
            </w:r>
            <w:r w:rsidR="009F64A1">
              <w:rPr>
                <w:noProof/>
                <w:webHidden/>
              </w:rPr>
              <w:fldChar w:fldCharType="begin"/>
            </w:r>
            <w:r w:rsidR="009F64A1">
              <w:rPr>
                <w:noProof/>
                <w:webHidden/>
              </w:rPr>
              <w:instrText xml:space="preserve"> PAGEREF _Toc433373609 \h </w:instrText>
            </w:r>
            <w:r w:rsidR="009F64A1">
              <w:rPr>
                <w:noProof/>
                <w:webHidden/>
              </w:rPr>
            </w:r>
            <w:r w:rsidR="009F64A1">
              <w:rPr>
                <w:noProof/>
                <w:webHidden/>
              </w:rPr>
              <w:fldChar w:fldCharType="separate"/>
            </w:r>
            <w:r w:rsidR="009F64A1">
              <w:rPr>
                <w:noProof/>
                <w:webHidden/>
              </w:rPr>
              <w:t>2</w:t>
            </w:r>
            <w:r w:rsidR="009F64A1">
              <w:rPr>
                <w:noProof/>
                <w:webHidden/>
              </w:rPr>
              <w:fldChar w:fldCharType="end"/>
            </w:r>
          </w:hyperlink>
        </w:p>
        <w:p w14:paraId="25DB3EB6"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10" w:history="1">
            <w:r w:rsidR="009F64A1" w:rsidRPr="009A0D62">
              <w:rPr>
                <w:rStyle w:val="Hyperlink"/>
                <w:noProof/>
              </w:rPr>
              <w:t>Estimated Revenue</w:t>
            </w:r>
            <w:r w:rsidR="009F64A1">
              <w:rPr>
                <w:noProof/>
                <w:webHidden/>
              </w:rPr>
              <w:tab/>
            </w:r>
            <w:r w:rsidR="009F64A1">
              <w:rPr>
                <w:noProof/>
                <w:webHidden/>
              </w:rPr>
              <w:fldChar w:fldCharType="begin"/>
            </w:r>
            <w:r w:rsidR="009F64A1">
              <w:rPr>
                <w:noProof/>
                <w:webHidden/>
              </w:rPr>
              <w:instrText xml:space="preserve"> PAGEREF _Toc433373610 \h </w:instrText>
            </w:r>
            <w:r w:rsidR="009F64A1">
              <w:rPr>
                <w:noProof/>
                <w:webHidden/>
              </w:rPr>
            </w:r>
            <w:r w:rsidR="009F64A1">
              <w:rPr>
                <w:noProof/>
                <w:webHidden/>
              </w:rPr>
              <w:fldChar w:fldCharType="separate"/>
            </w:r>
            <w:r w:rsidR="009F64A1">
              <w:rPr>
                <w:noProof/>
                <w:webHidden/>
              </w:rPr>
              <w:t>2</w:t>
            </w:r>
            <w:r w:rsidR="009F64A1">
              <w:rPr>
                <w:noProof/>
                <w:webHidden/>
              </w:rPr>
              <w:fldChar w:fldCharType="end"/>
            </w:r>
          </w:hyperlink>
        </w:p>
        <w:p w14:paraId="67019ADD"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11" w:history="1">
            <w:r w:rsidR="009F64A1" w:rsidRPr="009A0D62">
              <w:rPr>
                <w:rStyle w:val="Hyperlink"/>
                <w:noProof/>
              </w:rPr>
              <w:t>Economic Effects</w:t>
            </w:r>
            <w:r w:rsidR="009F64A1">
              <w:rPr>
                <w:noProof/>
                <w:webHidden/>
              </w:rPr>
              <w:tab/>
            </w:r>
            <w:r w:rsidR="009F64A1">
              <w:rPr>
                <w:noProof/>
                <w:webHidden/>
              </w:rPr>
              <w:fldChar w:fldCharType="begin"/>
            </w:r>
            <w:r w:rsidR="009F64A1">
              <w:rPr>
                <w:noProof/>
                <w:webHidden/>
              </w:rPr>
              <w:instrText xml:space="preserve"> PAGEREF _Toc433373611 \h </w:instrText>
            </w:r>
            <w:r w:rsidR="009F64A1">
              <w:rPr>
                <w:noProof/>
                <w:webHidden/>
              </w:rPr>
            </w:r>
            <w:r w:rsidR="009F64A1">
              <w:rPr>
                <w:noProof/>
                <w:webHidden/>
              </w:rPr>
              <w:fldChar w:fldCharType="separate"/>
            </w:r>
            <w:r w:rsidR="009F64A1">
              <w:rPr>
                <w:noProof/>
                <w:webHidden/>
              </w:rPr>
              <w:t>3</w:t>
            </w:r>
            <w:r w:rsidR="009F64A1">
              <w:rPr>
                <w:noProof/>
                <w:webHidden/>
              </w:rPr>
              <w:fldChar w:fldCharType="end"/>
            </w:r>
          </w:hyperlink>
        </w:p>
        <w:p w14:paraId="439F0CD1"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12" w:history="1">
            <w:r w:rsidR="009F64A1" w:rsidRPr="009A0D62">
              <w:rPr>
                <w:rStyle w:val="Hyperlink"/>
                <w:noProof/>
              </w:rPr>
              <w:t>Policy Option: Allow Local Income Taxes</w:t>
            </w:r>
            <w:r w:rsidR="009F64A1">
              <w:rPr>
                <w:noProof/>
                <w:webHidden/>
              </w:rPr>
              <w:tab/>
            </w:r>
            <w:r w:rsidR="009F64A1">
              <w:rPr>
                <w:noProof/>
                <w:webHidden/>
              </w:rPr>
              <w:fldChar w:fldCharType="begin"/>
            </w:r>
            <w:r w:rsidR="009F64A1">
              <w:rPr>
                <w:noProof/>
                <w:webHidden/>
              </w:rPr>
              <w:instrText xml:space="preserve"> PAGEREF _Toc433373612 \h </w:instrText>
            </w:r>
            <w:r w:rsidR="009F64A1">
              <w:rPr>
                <w:noProof/>
                <w:webHidden/>
              </w:rPr>
            </w:r>
            <w:r w:rsidR="009F64A1">
              <w:rPr>
                <w:noProof/>
                <w:webHidden/>
              </w:rPr>
              <w:fldChar w:fldCharType="separate"/>
            </w:r>
            <w:r w:rsidR="009F64A1">
              <w:rPr>
                <w:noProof/>
                <w:webHidden/>
              </w:rPr>
              <w:t>4</w:t>
            </w:r>
            <w:r w:rsidR="009F64A1">
              <w:rPr>
                <w:noProof/>
                <w:webHidden/>
              </w:rPr>
              <w:fldChar w:fldCharType="end"/>
            </w:r>
          </w:hyperlink>
        </w:p>
        <w:p w14:paraId="47BB836B"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13" w:history="1">
            <w:r w:rsidR="009F64A1" w:rsidRPr="009A0D62">
              <w:rPr>
                <w:rStyle w:val="Hyperlink"/>
                <w:noProof/>
              </w:rPr>
              <w:t>Options for Local Income Taxes</w:t>
            </w:r>
            <w:r w:rsidR="009F64A1">
              <w:rPr>
                <w:noProof/>
                <w:webHidden/>
              </w:rPr>
              <w:tab/>
            </w:r>
            <w:r w:rsidR="009F64A1">
              <w:rPr>
                <w:noProof/>
                <w:webHidden/>
              </w:rPr>
              <w:fldChar w:fldCharType="begin"/>
            </w:r>
            <w:r w:rsidR="009F64A1">
              <w:rPr>
                <w:noProof/>
                <w:webHidden/>
              </w:rPr>
              <w:instrText xml:space="preserve"> PAGEREF _Toc433373613 \h </w:instrText>
            </w:r>
            <w:r w:rsidR="009F64A1">
              <w:rPr>
                <w:noProof/>
                <w:webHidden/>
              </w:rPr>
            </w:r>
            <w:r w:rsidR="009F64A1">
              <w:rPr>
                <w:noProof/>
                <w:webHidden/>
              </w:rPr>
              <w:fldChar w:fldCharType="separate"/>
            </w:r>
            <w:r w:rsidR="009F64A1">
              <w:rPr>
                <w:noProof/>
                <w:webHidden/>
              </w:rPr>
              <w:t>4</w:t>
            </w:r>
            <w:r w:rsidR="009F64A1">
              <w:rPr>
                <w:noProof/>
                <w:webHidden/>
              </w:rPr>
              <w:fldChar w:fldCharType="end"/>
            </w:r>
          </w:hyperlink>
        </w:p>
        <w:p w14:paraId="7FAD835F"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14" w:history="1">
            <w:r w:rsidR="009F64A1" w:rsidRPr="009A0D62">
              <w:rPr>
                <w:rStyle w:val="Hyperlink"/>
                <w:noProof/>
              </w:rPr>
              <w:t>Estimated Revenue</w:t>
            </w:r>
            <w:r w:rsidR="009F64A1">
              <w:rPr>
                <w:noProof/>
                <w:webHidden/>
              </w:rPr>
              <w:tab/>
            </w:r>
            <w:r w:rsidR="009F64A1">
              <w:rPr>
                <w:noProof/>
                <w:webHidden/>
              </w:rPr>
              <w:fldChar w:fldCharType="begin"/>
            </w:r>
            <w:r w:rsidR="009F64A1">
              <w:rPr>
                <w:noProof/>
                <w:webHidden/>
              </w:rPr>
              <w:instrText xml:space="preserve"> PAGEREF _Toc433373614 \h </w:instrText>
            </w:r>
            <w:r w:rsidR="009F64A1">
              <w:rPr>
                <w:noProof/>
                <w:webHidden/>
              </w:rPr>
            </w:r>
            <w:r w:rsidR="009F64A1">
              <w:rPr>
                <w:noProof/>
                <w:webHidden/>
              </w:rPr>
              <w:fldChar w:fldCharType="separate"/>
            </w:r>
            <w:r w:rsidR="009F64A1">
              <w:rPr>
                <w:noProof/>
                <w:webHidden/>
              </w:rPr>
              <w:t>5</w:t>
            </w:r>
            <w:r w:rsidR="009F64A1">
              <w:rPr>
                <w:noProof/>
                <w:webHidden/>
              </w:rPr>
              <w:fldChar w:fldCharType="end"/>
            </w:r>
          </w:hyperlink>
        </w:p>
        <w:p w14:paraId="3E95DC1B"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15" w:history="1">
            <w:r w:rsidR="009F64A1" w:rsidRPr="009A0D62">
              <w:rPr>
                <w:rStyle w:val="Hyperlink"/>
                <w:noProof/>
              </w:rPr>
              <w:t>Economic Effects</w:t>
            </w:r>
            <w:r w:rsidR="009F64A1">
              <w:rPr>
                <w:noProof/>
                <w:webHidden/>
              </w:rPr>
              <w:tab/>
            </w:r>
            <w:r w:rsidR="009F64A1">
              <w:rPr>
                <w:noProof/>
                <w:webHidden/>
              </w:rPr>
              <w:fldChar w:fldCharType="begin"/>
            </w:r>
            <w:r w:rsidR="009F64A1">
              <w:rPr>
                <w:noProof/>
                <w:webHidden/>
              </w:rPr>
              <w:instrText xml:space="preserve"> PAGEREF _Toc433373615 \h </w:instrText>
            </w:r>
            <w:r w:rsidR="009F64A1">
              <w:rPr>
                <w:noProof/>
                <w:webHidden/>
              </w:rPr>
            </w:r>
            <w:r w:rsidR="009F64A1">
              <w:rPr>
                <w:noProof/>
                <w:webHidden/>
              </w:rPr>
              <w:fldChar w:fldCharType="separate"/>
            </w:r>
            <w:r w:rsidR="009F64A1">
              <w:rPr>
                <w:noProof/>
                <w:webHidden/>
              </w:rPr>
              <w:t>6</w:t>
            </w:r>
            <w:r w:rsidR="009F64A1">
              <w:rPr>
                <w:noProof/>
                <w:webHidden/>
              </w:rPr>
              <w:fldChar w:fldCharType="end"/>
            </w:r>
          </w:hyperlink>
        </w:p>
        <w:p w14:paraId="1629D6BF"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16" w:history="1">
            <w:r w:rsidR="009F64A1" w:rsidRPr="009A0D62">
              <w:rPr>
                <w:rStyle w:val="Hyperlink"/>
                <w:noProof/>
              </w:rPr>
              <w:t>Local Option Tax Design Issues</w:t>
            </w:r>
            <w:r w:rsidR="009F64A1">
              <w:rPr>
                <w:noProof/>
                <w:webHidden/>
              </w:rPr>
              <w:tab/>
            </w:r>
            <w:r w:rsidR="009F64A1">
              <w:rPr>
                <w:noProof/>
                <w:webHidden/>
              </w:rPr>
              <w:fldChar w:fldCharType="begin"/>
            </w:r>
            <w:r w:rsidR="009F64A1">
              <w:rPr>
                <w:noProof/>
                <w:webHidden/>
              </w:rPr>
              <w:instrText xml:space="preserve"> PAGEREF _Toc433373616 \h </w:instrText>
            </w:r>
            <w:r w:rsidR="009F64A1">
              <w:rPr>
                <w:noProof/>
                <w:webHidden/>
              </w:rPr>
            </w:r>
            <w:r w:rsidR="009F64A1">
              <w:rPr>
                <w:noProof/>
                <w:webHidden/>
              </w:rPr>
              <w:fldChar w:fldCharType="separate"/>
            </w:r>
            <w:r w:rsidR="009F64A1">
              <w:rPr>
                <w:noProof/>
                <w:webHidden/>
              </w:rPr>
              <w:t>7</w:t>
            </w:r>
            <w:r w:rsidR="009F64A1">
              <w:rPr>
                <w:noProof/>
                <w:webHidden/>
              </w:rPr>
              <w:fldChar w:fldCharType="end"/>
            </w:r>
          </w:hyperlink>
        </w:p>
        <w:p w14:paraId="5E20162E"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17" w:history="1">
            <w:r w:rsidR="009F64A1" w:rsidRPr="009A0D62">
              <w:rPr>
                <w:rStyle w:val="Hyperlink"/>
                <w:noProof/>
              </w:rPr>
              <w:t>Policy Option: Increase Reliance on User Charges and Fees</w:t>
            </w:r>
            <w:r w:rsidR="009F64A1">
              <w:rPr>
                <w:noProof/>
                <w:webHidden/>
              </w:rPr>
              <w:tab/>
            </w:r>
            <w:r w:rsidR="009F64A1">
              <w:rPr>
                <w:noProof/>
                <w:webHidden/>
              </w:rPr>
              <w:fldChar w:fldCharType="begin"/>
            </w:r>
            <w:r w:rsidR="009F64A1">
              <w:rPr>
                <w:noProof/>
                <w:webHidden/>
              </w:rPr>
              <w:instrText xml:space="preserve"> PAGEREF _Toc433373617 \h </w:instrText>
            </w:r>
            <w:r w:rsidR="009F64A1">
              <w:rPr>
                <w:noProof/>
                <w:webHidden/>
              </w:rPr>
            </w:r>
            <w:r w:rsidR="009F64A1">
              <w:rPr>
                <w:noProof/>
                <w:webHidden/>
              </w:rPr>
              <w:fldChar w:fldCharType="separate"/>
            </w:r>
            <w:r w:rsidR="009F64A1">
              <w:rPr>
                <w:noProof/>
                <w:webHidden/>
              </w:rPr>
              <w:t>8</w:t>
            </w:r>
            <w:r w:rsidR="009F64A1">
              <w:rPr>
                <w:noProof/>
                <w:webHidden/>
              </w:rPr>
              <w:fldChar w:fldCharType="end"/>
            </w:r>
          </w:hyperlink>
        </w:p>
        <w:p w14:paraId="0FFFD6C7"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18" w:history="1">
            <w:r w:rsidR="009F64A1" w:rsidRPr="009A0D62">
              <w:rPr>
                <w:rStyle w:val="Hyperlink"/>
                <w:noProof/>
              </w:rPr>
              <w:t>Possible Reasons for Small Usage of Charges and Fees</w:t>
            </w:r>
            <w:r w:rsidR="009F64A1">
              <w:rPr>
                <w:noProof/>
                <w:webHidden/>
              </w:rPr>
              <w:tab/>
            </w:r>
            <w:r w:rsidR="009F64A1">
              <w:rPr>
                <w:noProof/>
                <w:webHidden/>
              </w:rPr>
              <w:fldChar w:fldCharType="begin"/>
            </w:r>
            <w:r w:rsidR="009F64A1">
              <w:rPr>
                <w:noProof/>
                <w:webHidden/>
              </w:rPr>
              <w:instrText xml:space="preserve"> PAGEREF _Toc433373618 \h </w:instrText>
            </w:r>
            <w:r w:rsidR="009F64A1">
              <w:rPr>
                <w:noProof/>
                <w:webHidden/>
              </w:rPr>
            </w:r>
            <w:r w:rsidR="009F64A1">
              <w:rPr>
                <w:noProof/>
                <w:webHidden/>
              </w:rPr>
              <w:fldChar w:fldCharType="separate"/>
            </w:r>
            <w:r w:rsidR="009F64A1">
              <w:rPr>
                <w:noProof/>
                <w:webHidden/>
              </w:rPr>
              <w:t>8</w:t>
            </w:r>
            <w:r w:rsidR="009F64A1">
              <w:rPr>
                <w:noProof/>
                <w:webHidden/>
              </w:rPr>
              <w:fldChar w:fldCharType="end"/>
            </w:r>
          </w:hyperlink>
        </w:p>
        <w:p w14:paraId="64DF51A1"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19" w:history="1">
            <w:r w:rsidR="009F64A1" w:rsidRPr="009A0D62">
              <w:rPr>
                <w:rStyle w:val="Hyperlink"/>
                <w:noProof/>
              </w:rPr>
              <w:t>Argument For and Against Charges and Fees</w:t>
            </w:r>
            <w:r w:rsidR="009F64A1">
              <w:rPr>
                <w:noProof/>
                <w:webHidden/>
              </w:rPr>
              <w:tab/>
            </w:r>
            <w:r w:rsidR="009F64A1">
              <w:rPr>
                <w:noProof/>
                <w:webHidden/>
              </w:rPr>
              <w:fldChar w:fldCharType="begin"/>
            </w:r>
            <w:r w:rsidR="009F64A1">
              <w:rPr>
                <w:noProof/>
                <w:webHidden/>
              </w:rPr>
              <w:instrText xml:space="preserve"> PAGEREF _Toc433373619 \h </w:instrText>
            </w:r>
            <w:r w:rsidR="009F64A1">
              <w:rPr>
                <w:noProof/>
                <w:webHidden/>
              </w:rPr>
            </w:r>
            <w:r w:rsidR="009F64A1">
              <w:rPr>
                <w:noProof/>
                <w:webHidden/>
              </w:rPr>
              <w:fldChar w:fldCharType="separate"/>
            </w:r>
            <w:r w:rsidR="009F64A1">
              <w:rPr>
                <w:noProof/>
                <w:webHidden/>
              </w:rPr>
              <w:t>8</w:t>
            </w:r>
            <w:r w:rsidR="009F64A1">
              <w:rPr>
                <w:noProof/>
                <w:webHidden/>
              </w:rPr>
              <w:fldChar w:fldCharType="end"/>
            </w:r>
          </w:hyperlink>
        </w:p>
        <w:p w14:paraId="664B7650"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20" w:history="1">
            <w:r w:rsidR="009F64A1" w:rsidRPr="009A0D62">
              <w:rPr>
                <w:rStyle w:val="Hyperlink"/>
                <w:noProof/>
              </w:rPr>
              <w:t>Estimates of Potential Revenue</w:t>
            </w:r>
            <w:r w:rsidR="009F64A1">
              <w:rPr>
                <w:noProof/>
                <w:webHidden/>
              </w:rPr>
              <w:tab/>
            </w:r>
            <w:r w:rsidR="009F64A1">
              <w:rPr>
                <w:noProof/>
                <w:webHidden/>
              </w:rPr>
              <w:fldChar w:fldCharType="begin"/>
            </w:r>
            <w:r w:rsidR="009F64A1">
              <w:rPr>
                <w:noProof/>
                <w:webHidden/>
              </w:rPr>
              <w:instrText xml:space="preserve"> PAGEREF _Toc433373620 \h </w:instrText>
            </w:r>
            <w:r w:rsidR="009F64A1">
              <w:rPr>
                <w:noProof/>
                <w:webHidden/>
              </w:rPr>
            </w:r>
            <w:r w:rsidR="009F64A1">
              <w:rPr>
                <w:noProof/>
                <w:webHidden/>
              </w:rPr>
              <w:fldChar w:fldCharType="separate"/>
            </w:r>
            <w:r w:rsidR="009F64A1">
              <w:rPr>
                <w:noProof/>
                <w:webHidden/>
              </w:rPr>
              <w:t>9</w:t>
            </w:r>
            <w:r w:rsidR="009F64A1">
              <w:rPr>
                <w:noProof/>
                <w:webHidden/>
              </w:rPr>
              <w:fldChar w:fldCharType="end"/>
            </w:r>
          </w:hyperlink>
        </w:p>
        <w:p w14:paraId="7806B952"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21" w:history="1">
            <w:r w:rsidR="009F64A1" w:rsidRPr="009A0D62">
              <w:rPr>
                <w:rStyle w:val="Hyperlink"/>
                <w:noProof/>
              </w:rPr>
              <w:t>Impact Fees</w:t>
            </w:r>
            <w:r w:rsidR="009F64A1">
              <w:rPr>
                <w:noProof/>
                <w:webHidden/>
              </w:rPr>
              <w:tab/>
            </w:r>
            <w:r w:rsidR="009F64A1">
              <w:rPr>
                <w:noProof/>
                <w:webHidden/>
              </w:rPr>
              <w:fldChar w:fldCharType="begin"/>
            </w:r>
            <w:r w:rsidR="009F64A1">
              <w:rPr>
                <w:noProof/>
                <w:webHidden/>
              </w:rPr>
              <w:instrText xml:space="preserve"> PAGEREF _Toc433373621 \h </w:instrText>
            </w:r>
            <w:r w:rsidR="009F64A1">
              <w:rPr>
                <w:noProof/>
                <w:webHidden/>
              </w:rPr>
            </w:r>
            <w:r w:rsidR="009F64A1">
              <w:rPr>
                <w:noProof/>
                <w:webHidden/>
              </w:rPr>
              <w:fldChar w:fldCharType="separate"/>
            </w:r>
            <w:r w:rsidR="009F64A1">
              <w:rPr>
                <w:noProof/>
                <w:webHidden/>
              </w:rPr>
              <w:t>9</w:t>
            </w:r>
            <w:r w:rsidR="009F64A1">
              <w:rPr>
                <w:noProof/>
                <w:webHidden/>
              </w:rPr>
              <w:fldChar w:fldCharType="end"/>
            </w:r>
          </w:hyperlink>
        </w:p>
        <w:p w14:paraId="35006BF6"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22" w:history="1">
            <w:r w:rsidR="009F64A1" w:rsidRPr="009A0D62">
              <w:rPr>
                <w:rStyle w:val="Hyperlink"/>
                <w:noProof/>
              </w:rPr>
              <w:t>Policy Options for Increasing Charges and Fees</w:t>
            </w:r>
            <w:r w:rsidR="009F64A1">
              <w:rPr>
                <w:noProof/>
                <w:webHidden/>
              </w:rPr>
              <w:tab/>
            </w:r>
            <w:r w:rsidR="009F64A1">
              <w:rPr>
                <w:noProof/>
                <w:webHidden/>
              </w:rPr>
              <w:fldChar w:fldCharType="begin"/>
            </w:r>
            <w:r w:rsidR="009F64A1">
              <w:rPr>
                <w:noProof/>
                <w:webHidden/>
              </w:rPr>
              <w:instrText xml:space="preserve"> PAGEREF _Toc433373622 \h </w:instrText>
            </w:r>
            <w:r w:rsidR="009F64A1">
              <w:rPr>
                <w:noProof/>
                <w:webHidden/>
              </w:rPr>
            </w:r>
            <w:r w:rsidR="009F64A1">
              <w:rPr>
                <w:noProof/>
                <w:webHidden/>
              </w:rPr>
              <w:fldChar w:fldCharType="separate"/>
            </w:r>
            <w:r w:rsidR="009F64A1">
              <w:rPr>
                <w:noProof/>
                <w:webHidden/>
              </w:rPr>
              <w:t>9</w:t>
            </w:r>
            <w:r w:rsidR="009F64A1">
              <w:rPr>
                <w:noProof/>
                <w:webHidden/>
              </w:rPr>
              <w:fldChar w:fldCharType="end"/>
            </w:r>
          </w:hyperlink>
        </w:p>
        <w:p w14:paraId="6C3A88DE" w14:textId="77777777" w:rsidR="009F64A1" w:rsidRDefault="00974C36">
          <w:pPr>
            <w:pStyle w:val="TOC1"/>
            <w:tabs>
              <w:tab w:val="right" w:leader="dot" w:pos="9350"/>
            </w:tabs>
            <w:rPr>
              <w:rFonts w:asciiTheme="minorHAnsi" w:eastAsiaTheme="minorEastAsia" w:hAnsiTheme="minorHAnsi" w:cstheme="minorBidi"/>
              <w:noProof/>
              <w:sz w:val="22"/>
              <w:szCs w:val="22"/>
              <w:lang w:bidi="ar-SA"/>
            </w:rPr>
          </w:pPr>
          <w:hyperlink w:anchor="_Toc433373623" w:history="1">
            <w:r w:rsidR="009F64A1" w:rsidRPr="009A0D62">
              <w:rPr>
                <w:rStyle w:val="Hyperlink"/>
                <w:noProof/>
              </w:rPr>
              <w:t>Introduction</w:t>
            </w:r>
            <w:r w:rsidR="009F64A1">
              <w:rPr>
                <w:noProof/>
                <w:webHidden/>
              </w:rPr>
              <w:tab/>
            </w:r>
            <w:r w:rsidR="009F64A1">
              <w:rPr>
                <w:noProof/>
                <w:webHidden/>
              </w:rPr>
              <w:fldChar w:fldCharType="begin"/>
            </w:r>
            <w:r w:rsidR="009F64A1">
              <w:rPr>
                <w:noProof/>
                <w:webHidden/>
              </w:rPr>
              <w:instrText xml:space="preserve"> PAGEREF _Toc433373623 \h </w:instrText>
            </w:r>
            <w:r w:rsidR="009F64A1">
              <w:rPr>
                <w:noProof/>
                <w:webHidden/>
              </w:rPr>
            </w:r>
            <w:r w:rsidR="009F64A1">
              <w:rPr>
                <w:noProof/>
                <w:webHidden/>
              </w:rPr>
              <w:fldChar w:fldCharType="separate"/>
            </w:r>
            <w:r w:rsidR="009F64A1">
              <w:rPr>
                <w:noProof/>
                <w:webHidden/>
              </w:rPr>
              <w:t>11</w:t>
            </w:r>
            <w:r w:rsidR="009F64A1">
              <w:rPr>
                <w:noProof/>
                <w:webHidden/>
              </w:rPr>
              <w:fldChar w:fldCharType="end"/>
            </w:r>
          </w:hyperlink>
        </w:p>
        <w:p w14:paraId="1CA197F3" w14:textId="77777777" w:rsidR="009F64A1" w:rsidRDefault="00974C36">
          <w:pPr>
            <w:pStyle w:val="TOC1"/>
            <w:tabs>
              <w:tab w:val="right" w:leader="dot" w:pos="9350"/>
            </w:tabs>
            <w:rPr>
              <w:rFonts w:asciiTheme="minorHAnsi" w:eastAsiaTheme="minorEastAsia" w:hAnsiTheme="minorHAnsi" w:cstheme="minorBidi"/>
              <w:noProof/>
              <w:sz w:val="22"/>
              <w:szCs w:val="22"/>
              <w:lang w:bidi="ar-SA"/>
            </w:rPr>
          </w:pPr>
          <w:hyperlink w:anchor="_Toc433373624" w:history="1">
            <w:r w:rsidR="009F64A1" w:rsidRPr="009A0D62">
              <w:rPr>
                <w:rStyle w:val="Hyperlink"/>
                <w:noProof/>
              </w:rPr>
              <w:t>Level of Revenue Diversification</w:t>
            </w:r>
            <w:r w:rsidR="009F64A1">
              <w:rPr>
                <w:noProof/>
                <w:webHidden/>
              </w:rPr>
              <w:tab/>
            </w:r>
            <w:r w:rsidR="009F64A1">
              <w:rPr>
                <w:noProof/>
                <w:webHidden/>
              </w:rPr>
              <w:fldChar w:fldCharType="begin"/>
            </w:r>
            <w:r w:rsidR="009F64A1">
              <w:rPr>
                <w:noProof/>
                <w:webHidden/>
              </w:rPr>
              <w:instrText xml:space="preserve"> PAGEREF _Toc433373624 \h </w:instrText>
            </w:r>
            <w:r w:rsidR="009F64A1">
              <w:rPr>
                <w:noProof/>
                <w:webHidden/>
              </w:rPr>
            </w:r>
            <w:r w:rsidR="009F64A1">
              <w:rPr>
                <w:noProof/>
                <w:webHidden/>
              </w:rPr>
              <w:fldChar w:fldCharType="separate"/>
            </w:r>
            <w:r w:rsidR="009F64A1">
              <w:rPr>
                <w:noProof/>
                <w:webHidden/>
              </w:rPr>
              <w:t>12</w:t>
            </w:r>
            <w:r w:rsidR="009F64A1">
              <w:rPr>
                <w:noProof/>
                <w:webHidden/>
              </w:rPr>
              <w:fldChar w:fldCharType="end"/>
            </w:r>
          </w:hyperlink>
        </w:p>
        <w:p w14:paraId="7E4EFCF2" w14:textId="77777777" w:rsidR="009F64A1" w:rsidRDefault="00974C36">
          <w:pPr>
            <w:pStyle w:val="TOC1"/>
            <w:tabs>
              <w:tab w:val="right" w:leader="dot" w:pos="9350"/>
            </w:tabs>
            <w:rPr>
              <w:rFonts w:asciiTheme="minorHAnsi" w:eastAsiaTheme="minorEastAsia" w:hAnsiTheme="minorHAnsi" w:cstheme="minorBidi"/>
              <w:noProof/>
              <w:sz w:val="22"/>
              <w:szCs w:val="22"/>
              <w:lang w:bidi="ar-SA"/>
            </w:rPr>
          </w:pPr>
          <w:hyperlink w:anchor="_Toc433373625" w:history="1">
            <w:r w:rsidR="009F64A1" w:rsidRPr="009A0D62">
              <w:rPr>
                <w:rStyle w:val="Hyperlink"/>
                <w:noProof/>
              </w:rPr>
              <w:t>Reasons for and against Diversifying Local Government Revenue</w:t>
            </w:r>
            <w:r w:rsidR="009F64A1">
              <w:rPr>
                <w:noProof/>
                <w:webHidden/>
              </w:rPr>
              <w:tab/>
            </w:r>
            <w:r w:rsidR="009F64A1">
              <w:rPr>
                <w:noProof/>
                <w:webHidden/>
              </w:rPr>
              <w:fldChar w:fldCharType="begin"/>
            </w:r>
            <w:r w:rsidR="009F64A1">
              <w:rPr>
                <w:noProof/>
                <w:webHidden/>
              </w:rPr>
              <w:instrText xml:space="preserve"> PAGEREF _Toc433373625 \h </w:instrText>
            </w:r>
            <w:r w:rsidR="009F64A1">
              <w:rPr>
                <w:noProof/>
                <w:webHidden/>
              </w:rPr>
            </w:r>
            <w:r w:rsidR="009F64A1">
              <w:rPr>
                <w:noProof/>
                <w:webHidden/>
              </w:rPr>
              <w:fldChar w:fldCharType="separate"/>
            </w:r>
            <w:r w:rsidR="009F64A1">
              <w:rPr>
                <w:noProof/>
                <w:webHidden/>
              </w:rPr>
              <w:t>16</w:t>
            </w:r>
            <w:r w:rsidR="009F64A1">
              <w:rPr>
                <w:noProof/>
                <w:webHidden/>
              </w:rPr>
              <w:fldChar w:fldCharType="end"/>
            </w:r>
          </w:hyperlink>
        </w:p>
        <w:p w14:paraId="374ACE8B"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26" w:history="1">
            <w:r w:rsidR="009F64A1" w:rsidRPr="009A0D62">
              <w:rPr>
                <w:rStyle w:val="Hyperlink"/>
                <w:noProof/>
              </w:rPr>
              <w:t>Arguments for Revenue Diversification</w:t>
            </w:r>
            <w:r w:rsidR="009F64A1">
              <w:rPr>
                <w:noProof/>
                <w:webHidden/>
              </w:rPr>
              <w:tab/>
            </w:r>
            <w:r w:rsidR="009F64A1">
              <w:rPr>
                <w:noProof/>
                <w:webHidden/>
              </w:rPr>
              <w:fldChar w:fldCharType="begin"/>
            </w:r>
            <w:r w:rsidR="009F64A1">
              <w:rPr>
                <w:noProof/>
                <w:webHidden/>
              </w:rPr>
              <w:instrText xml:space="preserve"> PAGEREF _Toc433373626 \h </w:instrText>
            </w:r>
            <w:r w:rsidR="009F64A1">
              <w:rPr>
                <w:noProof/>
                <w:webHidden/>
              </w:rPr>
            </w:r>
            <w:r w:rsidR="009F64A1">
              <w:rPr>
                <w:noProof/>
                <w:webHidden/>
              </w:rPr>
              <w:fldChar w:fldCharType="separate"/>
            </w:r>
            <w:r w:rsidR="009F64A1">
              <w:rPr>
                <w:noProof/>
                <w:webHidden/>
              </w:rPr>
              <w:t>16</w:t>
            </w:r>
            <w:r w:rsidR="009F64A1">
              <w:rPr>
                <w:noProof/>
                <w:webHidden/>
              </w:rPr>
              <w:fldChar w:fldCharType="end"/>
            </w:r>
          </w:hyperlink>
        </w:p>
        <w:p w14:paraId="4BE28370"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27" w:history="1">
            <w:r w:rsidR="009F64A1" w:rsidRPr="009A0D62">
              <w:rPr>
                <w:rStyle w:val="Hyperlink"/>
                <w:noProof/>
              </w:rPr>
              <w:t>Capture Local Revenue Raising Capacity</w:t>
            </w:r>
            <w:r w:rsidR="009F64A1">
              <w:rPr>
                <w:noProof/>
                <w:webHidden/>
              </w:rPr>
              <w:tab/>
            </w:r>
            <w:r w:rsidR="009F64A1">
              <w:rPr>
                <w:noProof/>
                <w:webHidden/>
              </w:rPr>
              <w:fldChar w:fldCharType="begin"/>
            </w:r>
            <w:r w:rsidR="009F64A1">
              <w:rPr>
                <w:noProof/>
                <w:webHidden/>
              </w:rPr>
              <w:instrText xml:space="preserve"> PAGEREF _Toc433373627 \h </w:instrText>
            </w:r>
            <w:r w:rsidR="009F64A1">
              <w:rPr>
                <w:noProof/>
                <w:webHidden/>
              </w:rPr>
            </w:r>
            <w:r w:rsidR="009F64A1">
              <w:rPr>
                <w:noProof/>
                <w:webHidden/>
              </w:rPr>
              <w:fldChar w:fldCharType="separate"/>
            </w:r>
            <w:r w:rsidR="009F64A1">
              <w:rPr>
                <w:noProof/>
                <w:webHidden/>
              </w:rPr>
              <w:t>16</w:t>
            </w:r>
            <w:r w:rsidR="009F64A1">
              <w:rPr>
                <w:noProof/>
                <w:webHidden/>
              </w:rPr>
              <w:fldChar w:fldCharType="end"/>
            </w:r>
          </w:hyperlink>
        </w:p>
        <w:p w14:paraId="4BD92A77"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28" w:history="1">
            <w:r w:rsidR="009F64A1" w:rsidRPr="009A0D62">
              <w:rPr>
                <w:rStyle w:val="Hyperlink"/>
                <w:noProof/>
              </w:rPr>
              <w:t>Reduce Reliance on the Property Tax</w:t>
            </w:r>
            <w:r w:rsidR="009F64A1">
              <w:rPr>
                <w:noProof/>
                <w:webHidden/>
              </w:rPr>
              <w:tab/>
            </w:r>
            <w:r w:rsidR="009F64A1">
              <w:rPr>
                <w:noProof/>
                <w:webHidden/>
              </w:rPr>
              <w:fldChar w:fldCharType="begin"/>
            </w:r>
            <w:r w:rsidR="009F64A1">
              <w:rPr>
                <w:noProof/>
                <w:webHidden/>
              </w:rPr>
              <w:instrText xml:space="preserve"> PAGEREF _Toc433373628 \h </w:instrText>
            </w:r>
            <w:r w:rsidR="009F64A1">
              <w:rPr>
                <w:noProof/>
                <w:webHidden/>
              </w:rPr>
            </w:r>
            <w:r w:rsidR="009F64A1">
              <w:rPr>
                <w:noProof/>
                <w:webHidden/>
              </w:rPr>
              <w:fldChar w:fldCharType="separate"/>
            </w:r>
            <w:r w:rsidR="009F64A1">
              <w:rPr>
                <w:noProof/>
                <w:webHidden/>
              </w:rPr>
              <w:t>17</w:t>
            </w:r>
            <w:r w:rsidR="009F64A1">
              <w:rPr>
                <w:noProof/>
                <w:webHidden/>
              </w:rPr>
              <w:fldChar w:fldCharType="end"/>
            </w:r>
          </w:hyperlink>
        </w:p>
        <w:p w14:paraId="653EFBB5"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29" w:history="1">
            <w:r w:rsidR="009F64A1" w:rsidRPr="009A0D62">
              <w:rPr>
                <w:rStyle w:val="Hyperlink"/>
                <w:noProof/>
              </w:rPr>
              <w:t>Equity</w:t>
            </w:r>
            <w:r w:rsidR="009F64A1">
              <w:rPr>
                <w:noProof/>
                <w:webHidden/>
              </w:rPr>
              <w:tab/>
            </w:r>
            <w:r w:rsidR="009F64A1">
              <w:rPr>
                <w:noProof/>
                <w:webHidden/>
              </w:rPr>
              <w:fldChar w:fldCharType="begin"/>
            </w:r>
            <w:r w:rsidR="009F64A1">
              <w:rPr>
                <w:noProof/>
                <w:webHidden/>
              </w:rPr>
              <w:instrText xml:space="preserve"> PAGEREF _Toc433373629 \h </w:instrText>
            </w:r>
            <w:r w:rsidR="009F64A1">
              <w:rPr>
                <w:noProof/>
                <w:webHidden/>
              </w:rPr>
            </w:r>
            <w:r w:rsidR="009F64A1">
              <w:rPr>
                <w:noProof/>
                <w:webHidden/>
              </w:rPr>
              <w:fldChar w:fldCharType="separate"/>
            </w:r>
            <w:r w:rsidR="009F64A1">
              <w:rPr>
                <w:noProof/>
                <w:webHidden/>
              </w:rPr>
              <w:t>17</w:t>
            </w:r>
            <w:r w:rsidR="009F64A1">
              <w:rPr>
                <w:noProof/>
                <w:webHidden/>
              </w:rPr>
              <w:fldChar w:fldCharType="end"/>
            </w:r>
          </w:hyperlink>
        </w:p>
        <w:p w14:paraId="3C4B3ED9"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30" w:history="1">
            <w:r w:rsidR="009F64A1" w:rsidRPr="009A0D62">
              <w:rPr>
                <w:rStyle w:val="Hyperlink"/>
                <w:noProof/>
              </w:rPr>
              <w:t>Revenue Stability and Other Characteristics of Taxes</w:t>
            </w:r>
            <w:r w:rsidR="009F64A1">
              <w:rPr>
                <w:noProof/>
                <w:webHidden/>
              </w:rPr>
              <w:tab/>
            </w:r>
            <w:r w:rsidR="009F64A1">
              <w:rPr>
                <w:noProof/>
                <w:webHidden/>
              </w:rPr>
              <w:fldChar w:fldCharType="begin"/>
            </w:r>
            <w:r w:rsidR="009F64A1">
              <w:rPr>
                <w:noProof/>
                <w:webHidden/>
              </w:rPr>
              <w:instrText xml:space="preserve"> PAGEREF _Toc433373630 \h </w:instrText>
            </w:r>
            <w:r w:rsidR="009F64A1">
              <w:rPr>
                <w:noProof/>
                <w:webHidden/>
              </w:rPr>
            </w:r>
            <w:r w:rsidR="009F64A1">
              <w:rPr>
                <w:noProof/>
                <w:webHidden/>
              </w:rPr>
              <w:fldChar w:fldCharType="separate"/>
            </w:r>
            <w:r w:rsidR="009F64A1">
              <w:rPr>
                <w:noProof/>
                <w:webHidden/>
              </w:rPr>
              <w:t>18</w:t>
            </w:r>
            <w:r w:rsidR="009F64A1">
              <w:rPr>
                <w:noProof/>
                <w:webHidden/>
              </w:rPr>
              <w:fldChar w:fldCharType="end"/>
            </w:r>
          </w:hyperlink>
        </w:p>
        <w:p w14:paraId="2DB6DA7B"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31" w:history="1">
            <w:r w:rsidR="009F64A1" w:rsidRPr="009A0D62">
              <w:rPr>
                <w:rStyle w:val="Hyperlink"/>
                <w:noProof/>
              </w:rPr>
              <w:t>Economic Efficiency</w:t>
            </w:r>
            <w:r w:rsidR="009F64A1">
              <w:rPr>
                <w:noProof/>
                <w:webHidden/>
              </w:rPr>
              <w:tab/>
            </w:r>
            <w:r w:rsidR="009F64A1">
              <w:rPr>
                <w:noProof/>
                <w:webHidden/>
              </w:rPr>
              <w:fldChar w:fldCharType="begin"/>
            </w:r>
            <w:r w:rsidR="009F64A1">
              <w:rPr>
                <w:noProof/>
                <w:webHidden/>
              </w:rPr>
              <w:instrText xml:space="preserve"> PAGEREF _Toc433373631 \h </w:instrText>
            </w:r>
            <w:r w:rsidR="009F64A1">
              <w:rPr>
                <w:noProof/>
                <w:webHidden/>
              </w:rPr>
            </w:r>
            <w:r w:rsidR="009F64A1">
              <w:rPr>
                <w:noProof/>
                <w:webHidden/>
              </w:rPr>
              <w:fldChar w:fldCharType="separate"/>
            </w:r>
            <w:r w:rsidR="009F64A1">
              <w:rPr>
                <w:noProof/>
                <w:webHidden/>
              </w:rPr>
              <w:t>18</w:t>
            </w:r>
            <w:r w:rsidR="009F64A1">
              <w:rPr>
                <w:noProof/>
                <w:webHidden/>
              </w:rPr>
              <w:fldChar w:fldCharType="end"/>
            </w:r>
          </w:hyperlink>
        </w:p>
        <w:p w14:paraId="5AE87DBE"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32" w:history="1">
            <w:r w:rsidR="009F64A1" w:rsidRPr="009A0D62">
              <w:rPr>
                <w:rStyle w:val="Hyperlink"/>
                <w:noProof/>
              </w:rPr>
              <w:t>Arguments against Revenue Diversification</w:t>
            </w:r>
            <w:r w:rsidR="009F64A1">
              <w:rPr>
                <w:noProof/>
                <w:webHidden/>
              </w:rPr>
              <w:tab/>
            </w:r>
            <w:r w:rsidR="009F64A1">
              <w:rPr>
                <w:noProof/>
                <w:webHidden/>
              </w:rPr>
              <w:fldChar w:fldCharType="begin"/>
            </w:r>
            <w:r w:rsidR="009F64A1">
              <w:rPr>
                <w:noProof/>
                <w:webHidden/>
              </w:rPr>
              <w:instrText xml:space="preserve"> PAGEREF _Toc433373632 \h </w:instrText>
            </w:r>
            <w:r w:rsidR="009F64A1">
              <w:rPr>
                <w:noProof/>
                <w:webHidden/>
              </w:rPr>
            </w:r>
            <w:r w:rsidR="009F64A1">
              <w:rPr>
                <w:noProof/>
                <w:webHidden/>
              </w:rPr>
              <w:fldChar w:fldCharType="separate"/>
            </w:r>
            <w:r w:rsidR="009F64A1">
              <w:rPr>
                <w:noProof/>
                <w:webHidden/>
              </w:rPr>
              <w:t>18</w:t>
            </w:r>
            <w:r w:rsidR="009F64A1">
              <w:rPr>
                <w:noProof/>
                <w:webHidden/>
              </w:rPr>
              <w:fldChar w:fldCharType="end"/>
            </w:r>
          </w:hyperlink>
        </w:p>
        <w:p w14:paraId="242CD2CB" w14:textId="77777777" w:rsidR="009F64A1" w:rsidRDefault="00974C36">
          <w:pPr>
            <w:pStyle w:val="TOC1"/>
            <w:tabs>
              <w:tab w:val="right" w:leader="dot" w:pos="9350"/>
            </w:tabs>
            <w:rPr>
              <w:rFonts w:asciiTheme="minorHAnsi" w:eastAsiaTheme="minorEastAsia" w:hAnsiTheme="minorHAnsi" w:cstheme="minorBidi"/>
              <w:noProof/>
              <w:sz w:val="22"/>
              <w:szCs w:val="22"/>
              <w:lang w:bidi="ar-SA"/>
            </w:rPr>
          </w:pPr>
          <w:hyperlink w:anchor="_Toc433373633" w:history="1">
            <w:r w:rsidR="009F64A1" w:rsidRPr="009A0D62">
              <w:rPr>
                <w:rStyle w:val="Hyperlink"/>
                <w:noProof/>
              </w:rPr>
              <w:t>Local Sales Taxes</w:t>
            </w:r>
            <w:r w:rsidR="009F64A1">
              <w:rPr>
                <w:noProof/>
                <w:webHidden/>
              </w:rPr>
              <w:tab/>
            </w:r>
            <w:r w:rsidR="009F64A1">
              <w:rPr>
                <w:noProof/>
                <w:webHidden/>
              </w:rPr>
              <w:fldChar w:fldCharType="begin"/>
            </w:r>
            <w:r w:rsidR="009F64A1">
              <w:rPr>
                <w:noProof/>
                <w:webHidden/>
              </w:rPr>
              <w:instrText xml:space="preserve"> PAGEREF _Toc433373633 \h </w:instrText>
            </w:r>
            <w:r w:rsidR="009F64A1">
              <w:rPr>
                <w:noProof/>
                <w:webHidden/>
              </w:rPr>
            </w:r>
            <w:r w:rsidR="009F64A1">
              <w:rPr>
                <w:noProof/>
                <w:webHidden/>
              </w:rPr>
              <w:fldChar w:fldCharType="separate"/>
            </w:r>
            <w:r w:rsidR="009F64A1">
              <w:rPr>
                <w:noProof/>
                <w:webHidden/>
              </w:rPr>
              <w:t>19</w:t>
            </w:r>
            <w:r w:rsidR="009F64A1">
              <w:rPr>
                <w:noProof/>
                <w:webHidden/>
              </w:rPr>
              <w:fldChar w:fldCharType="end"/>
            </w:r>
          </w:hyperlink>
        </w:p>
        <w:p w14:paraId="669F7762"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34" w:history="1">
            <w:r w:rsidR="009F64A1" w:rsidRPr="009A0D62">
              <w:rPr>
                <w:rStyle w:val="Hyperlink"/>
                <w:noProof/>
              </w:rPr>
              <w:t>Reliance on Local Sales Taxes</w:t>
            </w:r>
            <w:r w:rsidR="009F64A1">
              <w:rPr>
                <w:noProof/>
                <w:webHidden/>
              </w:rPr>
              <w:tab/>
            </w:r>
            <w:r w:rsidR="009F64A1">
              <w:rPr>
                <w:noProof/>
                <w:webHidden/>
              </w:rPr>
              <w:fldChar w:fldCharType="begin"/>
            </w:r>
            <w:r w:rsidR="009F64A1">
              <w:rPr>
                <w:noProof/>
                <w:webHidden/>
              </w:rPr>
              <w:instrText xml:space="preserve"> PAGEREF _Toc433373634 \h </w:instrText>
            </w:r>
            <w:r w:rsidR="009F64A1">
              <w:rPr>
                <w:noProof/>
                <w:webHidden/>
              </w:rPr>
            </w:r>
            <w:r w:rsidR="009F64A1">
              <w:rPr>
                <w:noProof/>
                <w:webHidden/>
              </w:rPr>
              <w:fldChar w:fldCharType="separate"/>
            </w:r>
            <w:r w:rsidR="009F64A1">
              <w:rPr>
                <w:noProof/>
                <w:webHidden/>
              </w:rPr>
              <w:t>19</w:t>
            </w:r>
            <w:r w:rsidR="009F64A1">
              <w:rPr>
                <w:noProof/>
                <w:webHidden/>
              </w:rPr>
              <w:fldChar w:fldCharType="end"/>
            </w:r>
          </w:hyperlink>
        </w:p>
        <w:p w14:paraId="0EB3C8F1"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35" w:history="1">
            <w:r w:rsidR="009F64A1" w:rsidRPr="009A0D62">
              <w:rPr>
                <w:rStyle w:val="Hyperlink"/>
                <w:noProof/>
              </w:rPr>
              <w:t>Local Sales Taxes in Selected States</w:t>
            </w:r>
            <w:r w:rsidR="009F64A1">
              <w:rPr>
                <w:noProof/>
                <w:webHidden/>
              </w:rPr>
              <w:tab/>
            </w:r>
            <w:r w:rsidR="009F64A1">
              <w:rPr>
                <w:noProof/>
                <w:webHidden/>
              </w:rPr>
              <w:fldChar w:fldCharType="begin"/>
            </w:r>
            <w:r w:rsidR="009F64A1">
              <w:rPr>
                <w:noProof/>
                <w:webHidden/>
              </w:rPr>
              <w:instrText xml:space="preserve"> PAGEREF _Toc433373635 \h </w:instrText>
            </w:r>
            <w:r w:rsidR="009F64A1">
              <w:rPr>
                <w:noProof/>
                <w:webHidden/>
              </w:rPr>
            </w:r>
            <w:r w:rsidR="009F64A1">
              <w:rPr>
                <w:noProof/>
                <w:webHidden/>
              </w:rPr>
              <w:fldChar w:fldCharType="separate"/>
            </w:r>
            <w:r w:rsidR="009F64A1">
              <w:rPr>
                <w:noProof/>
                <w:webHidden/>
              </w:rPr>
              <w:t>20</w:t>
            </w:r>
            <w:r w:rsidR="009F64A1">
              <w:rPr>
                <w:noProof/>
                <w:webHidden/>
              </w:rPr>
              <w:fldChar w:fldCharType="end"/>
            </w:r>
          </w:hyperlink>
        </w:p>
        <w:p w14:paraId="22306CF7"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36" w:history="1">
            <w:r w:rsidR="009F64A1" w:rsidRPr="009A0D62">
              <w:rPr>
                <w:rStyle w:val="Hyperlink"/>
                <w:noProof/>
              </w:rPr>
              <w:t>Georgia</w:t>
            </w:r>
            <w:r w:rsidR="009F64A1">
              <w:rPr>
                <w:noProof/>
                <w:webHidden/>
              </w:rPr>
              <w:tab/>
            </w:r>
            <w:r w:rsidR="009F64A1">
              <w:rPr>
                <w:noProof/>
                <w:webHidden/>
              </w:rPr>
              <w:fldChar w:fldCharType="begin"/>
            </w:r>
            <w:r w:rsidR="009F64A1">
              <w:rPr>
                <w:noProof/>
                <w:webHidden/>
              </w:rPr>
              <w:instrText xml:space="preserve"> PAGEREF _Toc433373636 \h </w:instrText>
            </w:r>
            <w:r w:rsidR="009F64A1">
              <w:rPr>
                <w:noProof/>
                <w:webHidden/>
              </w:rPr>
            </w:r>
            <w:r w:rsidR="009F64A1">
              <w:rPr>
                <w:noProof/>
                <w:webHidden/>
              </w:rPr>
              <w:fldChar w:fldCharType="separate"/>
            </w:r>
            <w:r w:rsidR="009F64A1">
              <w:rPr>
                <w:noProof/>
                <w:webHidden/>
              </w:rPr>
              <w:t>20</w:t>
            </w:r>
            <w:r w:rsidR="009F64A1">
              <w:rPr>
                <w:noProof/>
                <w:webHidden/>
              </w:rPr>
              <w:fldChar w:fldCharType="end"/>
            </w:r>
          </w:hyperlink>
        </w:p>
        <w:p w14:paraId="36D1080A"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37" w:history="1">
            <w:r w:rsidR="009F64A1" w:rsidRPr="009A0D62">
              <w:rPr>
                <w:rStyle w:val="Hyperlink"/>
                <w:noProof/>
              </w:rPr>
              <w:t>California</w:t>
            </w:r>
            <w:r w:rsidR="009F64A1">
              <w:rPr>
                <w:noProof/>
                <w:webHidden/>
              </w:rPr>
              <w:tab/>
            </w:r>
            <w:r w:rsidR="009F64A1">
              <w:rPr>
                <w:noProof/>
                <w:webHidden/>
              </w:rPr>
              <w:fldChar w:fldCharType="begin"/>
            </w:r>
            <w:r w:rsidR="009F64A1">
              <w:rPr>
                <w:noProof/>
                <w:webHidden/>
              </w:rPr>
              <w:instrText xml:space="preserve"> PAGEREF _Toc433373637 \h </w:instrText>
            </w:r>
            <w:r w:rsidR="009F64A1">
              <w:rPr>
                <w:noProof/>
                <w:webHidden/>
              </w:rPr>
            </w:r>
            <w:r w:rsidR="009F64A1">
              <w:rPr>
                <w:noProof/>
                <w:webHidden/>
              </w:rPr>
              <w:fldChar w:fldCharType="separate"/>
            </w:r>
            <w:r w:rsidR="009F64A1">
              <w:rPr>
                <w:noProof/>
                <w:webHidden/>
              </w:rPr>
              <w:t>21</w:t>
            </w:r>
            <w:r w:rsidR="009F64A1">
              <w:rPr>
                <w:noProof/>
                <w:webHidden/>
              </w:rPr>
              <w:fldChar w:fldCharType="end"/>
            </w:r>
          </w:hyperlink>
        </w:p>
        <w:p w14:paraId="0C2E25FA"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38" w:history="1">
            <w:r w:rsidR="009F64A1" w:rsidRPr="009A0D62">
              <w:rPr>
                <w:rStyle w:val="Hyperlink"/>
                <w:noProof/>
              </w:rPr>
              <w:t>Utah</w:t>
            </w:r>
            <w:r w:rsidR="009F64A1">
              <w:rPr>
                <w:noProof/>
                <w:webHidden/>
              </w:rPr>
              <w:tab/>
            </w:r>
            <w:r w:rsidR="009F64A1">
              <w:rPr>
                <w:noProof/>
                <w:webHidden/>
              </w:rPr>
              <w:fldChar w:fldCharType="begin"/>
            </w:r>
            <w:r w:rsidR="009F64A1">
              <w:rPr>
                <w:noProof/>
                <w:webHidden/>
              </w:rPr>
              <w:instrText xml:space="preserve"> PAGEREF _Toc433373638 \h </w:instrText>
            </w:r>
            <w:r w:rsidR="009F64A1">
              <w:rPr>
                <w:noProof/>
                <w:webHidden/>
              </w:rPr>
            </w:r>
            <w:r w:rsidR="009F64A1">
              <w:rPr>
                <w:noProof/>
                <w:webHidden/>
              </w:rPr>
              <w:fldChar w:fldCharType="separate"/>
            </w:r>
            <w:r w:rsidR="009F64A1">
              <w:rPr>
                <w:noProof/>
                <w:webHidden/>
              </w:rPr>
              <w:t>21</w:t>
            </w:r>
            <w:r w:rsidR="009F64A1">
              <w:rPr>
                <w:noProof/>
                <w:webHidden/>
              </w:rPr>
              <w:fldChar w:fldCharType="end"/>
            </w:r>
          </w:hyperlink>
        </w:p>
        <w:p w14:paraId="6173A017"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39" w:history="1">
            <w:r w:rsidR="009F64A1" w:rsidRPr="009A0D62">
              <w:rPr>
                <w:rStyle w:val="Hyperlink"/>
                <w:noProof/>
              </w:rPr>
              <w:t>Tennessee</w:t>
            </w:r>
            <w:r w:rsidR="009F64A1">
              <w:rPr>
                <w:noProof/>
                <w:webHidden/>
              </w:rPr>
              <w:tab/>
            </w:r>
            <w:r w:rsidR="009F64A1">
              <w:rPr>
                <w:noProof/>
                <w:webHidden/>
              </w:rPr>
              <w:fldChar w:fldCharType="begin"/>
            </w:r>
            <w:r w:rsidR="009F64A1">
              <w:rPr>
                <w:noProof/>
                <w:webHidden/>
              </w:rPr>
              <w:instrText xml:space="preserve"> PAGEREF _Toc433373639 \h </w:instrText>
            </w:r>
            <w:r w:rsidR="009F64A1">
              <w:rPr>
                <w:noProof/>
                <w:webHidden/>
              </w:rPr>
            </w:r>
            <w:r w:rsidR="009F64A1">
              <w:rPr>
                <w:noProof/>
                <w:webHidden/>
              </w:rPr>
              <w:fldChar w:fldCharType="separate"/>
            </w:r>
            <w:r w:rsidR="009F64A1">
              <w:rPr>
                <w:noProof/>
                <w:webHidden/>
              </w:rPr>
              <w:t>22</w:t>
            </w:r>
            <w:r w:rsidR="009F64A1">
              <w:rPr>
                <w:noProof/>
                <w:webHidden/>
              </w:rPr>
              <w:fldChar w:fldCharType="end"/>
            </w:r>
          </w:hyperlink>
        </w:p>
        <w:p w14:paraId="2BD17C02"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40" w:history="1">
            <w:r w:rsidR="009F64A1" w:rsidRPr="009A0D62">
              <w:rPr>
                <w:rStyle w:val="Hyperlink"/>
                <w:noProof/>
              </w:rPr>
              <w:t>Designing a Local Sales Tax System</w:t>
            </w:r>
            <w:r w:rsidR="009F64A1">
              <w:rPr>
                <w:noProof/>
                <w:webHidden/>
              </w:rPr>
              <w:tab/>
            </w:r>
            <w:r w:rsidR="009F64A1">
              <w:rPr>
                <w:noProof/>
                <w:webHidden/>
              </w:rPr>
              <w:fldChar w:fldCharType="begin"/>
            </w:r>
            <w:r w:rsidR="009F64A1">
              <w:rPr>
                <w:noProof/>
                <w:webHidden/>
              </w:rPr>
              <w:instrText xml:space="preserve"> PAGEREF _Toc433373640 \h </w:instrText>
            </w:r>
            <w:r w:rsidR="009F64A1">
              <w:rPr>
                <w:noProof/>
                <w:webHidden/>
              </w:rPr>
            </w:r>
            <w:r w:rsidR="009F64A1">
              <w:rPr>
                <w:noProof/>
                <w:webHidden/>
              </w:rPr>
              <w:fldChar w:fldCharType="separate"/>
            </w:r>
            <w:r w:rsidR="009F64A1">
              <w:rPr>
                <w:noProof/>
                <w:webHidden/>
              </w:rPr>
              <w:t>22</w:t>
            </w:r>
            <w:r w:rsidR="009F64A1">
              <w:rPr>
                <w:noProof/>
                <w:webHidden/>
              </w:rPr>
              <w:fldChar w:fldCharType="end"/>
            </w:r>
          </w:hyperlink>
        </w:p>
        <w:p w14:paraId="1E8F108D"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41" w:history="1">
            <w:r w:rsidR="009F64A1" w:rsidRPr="009A0D62">
              <w:rPr>
                <w:rStyle w:val="Hyperlink"/>
                <w:noProof/>
              </w:rPr>
              <w:t>Sales Tax Base</w:t>
            </w:r>
            <w:r w:rsidR="009F64A1">
              <w:rPr>
                <w:noProof/>
                <w:webHidden/>
              </w:rPr>
              <w:tab/>
            </w:r>
            <w:r w:rsidR="009F64A1">
              <w:rPr>
                <w:noProof/>
                <w:webHidden/>
              </w:rPr>
              <w:fldChar w:fldCharType="begin"/>
            </w:r>
            <w:r w:rsidR="009F64A1">
              <w:rPr>
                <w:noProof/>
                <w:webHidden/>
              </w:rPr>
              <w:instrText xml:space="preserve"> PAGEREF _Toc433373641 \h </w:instrText>
            </w:r>
            <w:r w:rsidR="009F64A1">
              <w:rPr>
                <w:noProof/>
                <w:webHidden/>
              </w:rPr>
            </w:r>
            <w:r w:rsidR="009F64A1">
              <w:rPr>
                <w:noProof/>
                <w:webHidden/>
              </w:rPr>
              <w:fldChar w:fldCharType="separate"/>
            </w:r>
            <w:r w:rsidR="009F64A1">
              <w:rPr>
                <w:noProof/>
                <w:webHidden/>
              </w:rPr>
              <w:t>22</w:t>
            </w:r>
            <w:r w:rsidR="009F64A1">
              <w:rPr>
                <w:noProof/>
                <w:webHidden/>
              </w:rPr>
              <w:fldChar w:fldCharType="end"/>
            </w:r>
          </w:hyperlink>
        </w:p>
        <w:p w14:paraId="717AB10F"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42" w:history="1">
            <w:r w:rsidR="009F64A1" w:rsidRPr="009A0D62">
              <w:rPr>
                <w:rStyle w:val="Hyperlink"/>
                <w:noProof/>
              </w:rPr>
              <w:t>Sales Tax Rate</w:t>
            </w:r>
            <w:r w:rsidR="009F64A1">
              <w:rPr>
                <w:noProof/>
                <w:webHidden/>
              </w:rPr>
              <w:tab/>
            </w:r>
            <w:r w:rsidR="009F64A1">
              <w:rPr>
                <w:noProof/>
                <w:webHidden/>
              </w:rPr>
              <w:fldChar w:fldCharType="begin"/>
            </w:r>
            <w:r w:rsidR="009F64A1">
              <w:rPr>
                <w:noProof/>
                <w:webHidden/>
              </w:rPr>
              <w:instrText xml:space="preserve"> PAGEREF _Toc433373642 \h </w:instrText>
            </w:r>
            <w:r w:rsidR="009F64A1">
              <w:rPr>
                <w:noProof/>
                <w:webHidden/>
              </w:rPr>
            </w:r>
            <w:r w:rsidR="009F64A1">
              <w:rPr>
                <w:noProof/>
                <w:webHidden/>
              </w:rPr>
              <w:fldChar w:fldCharType="separate"/>
            </w:r>
            <w:r w:rsidR="009F64A1">
              <w:rPr>
                <w:noProof/>
                <w:webHidden/>
              </w:rPr>
              <w:t>22</w:t>
            </w:r>
            <w:r w:rsidR="009F64A1">
              <w:rPr>
                <w:noProof/>
                <w:webHidden/>
              </w:rPr>
              <w:fldChar w:fldCharType="end"/>
            </w:r>
          </w:hyperlink>
        </w:p>
        <w:p w14:paraId="0AE7835D"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43" w:history="1">
            <w:r w:rsidR="009F64A1" w:rsidRPr="009A0D62">
              <w:rPr>
                <w:rStyle w:val="Hyperlink"/>
                <w:noProof/>
              </w:rPr>
              <w:t>Situs of Sales</w:t>
            </w:r>
            <w:r w:rsidR="009F64A1">
              <w:rPr>
                <w:noProof/>
                <w:webHidden/>
              </w:rPr>
              <w:tab/>
            </w:r>
            <w:r w:rsidR="009F64A1">
              <w:rPr>
                <w:noProof/>
                <w:webHidden/>
              </w:rPr>
              <w:fldChar w:fldCharType="begin"/>
            </w:r>
            <w:r w:rsidR="009F64A1">
              <w:rPr>
                <w:noProof/>
                <w:webHidden/>
              </w:rPr>
              <w:instrText xml:space="preserve"> PAGEREF _Toc433373643 \h </w:instrText>
            </w:r>
            <w:r w:rsidR="009F64A1">
              <w:rPr>
                <w:noProof/>
                <w:webHidden/>
              </w:rPr>
            </w:r>
            <w:r w:rsidR="009F64A1">
              <w:rPr>
                <w:noProof/>
                <w:webHidden/>
              </w:rPr>
              <w:fldChar w:fldCharType="separate"/>
            </w:r>
            <w:r w:rsidR="009F64A1">
              <w:rPr>
                <w:noProof/>
                <w:webHidden/>
              </w:rPr>
              <w:t>23</w:t>
            </w:r>
            <w:r w:rsidR="009F64A1">
              <w:rPr>
                <w:noProof/>
                <w:webHidden/>
              </w:rPr>
              <w:fldChar w:fldCharType="end"/>
            </w:r>
          </w:hyperlink>
        </w:p>
        <w:p w14:paraId="6EA74473"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44" w:history="1">
            <w:r w:rsidR="009F64A1" w:rsidRPr="009A0D62">
              <w:rPr>
                <w:rStyle w:val="Hyperlink"/>
                <w:noProof/>
              </w:rPr>
              <w:t>Optional versus Mandated Sales Tax</w:t>
            </w:r>
            <w:r w:rsidR="009F64A1">
              <w:rPr>
                <w:noProof/>
                <w:webHidden/>
              </w:rPr>
              <w:tab/>
            </w:r>
            <w:r w:rsidR="009F64A1">
              <w:rPr>
                <w:noProof/>
                <w:webHidden/>
              </w:rPr>
              <w:fldChar w:fldCharType="begin"/>
            </w:r>
            <w:r w:rsidR="009F64A1">
              <w:rPr>
                <w:noProof/>
                <w:webHidden/>
              </w:rPr>
              <w:instrText xml:space="preserve"> PAGEREF _Toc433373644 \h </w:instrText>
            </w:r>
            <w:r w:rsidR="009F64A1">
              <w:rPr>
                <w:noProof/>
                <w:webHidden/>
              </w:rPr>
            </w:r>
            <w:r w:rsidR="009F64A1">
              <w:rPr>
                <w:noProof/>
                <w:webHidden/>
              </w:rPr>
              <w:fldChar w:fldCharType="separate"/>
            </w:r>
            <w:r w:rsidR="009F64A1">
              <w:rPr>
                <w:noProof/>
                <w:webHidden/>
              </w:rPr>
              <w:t>23</w:t>
            </w:r>
            <w:r w:rsidR="009F64A1">
              <w:rPr>
                <w:noProof/>
                <w:webHidden/>
              </w:rPr>
              <w:fldChar w:fldCharType="end"/>
            </w:r>
          </w:hyperlink>
        </w:p>
        <w:p w14:paraId="21F9DC6D"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45" w:history="1">
            <w:r w:rsidR="009F64A1" w:rsidRPr="009A0D62">
              <w:rPr>
                <w:rStyle w:val="Hyperlink"/>
                <w:noProof/>
              </w:rPr>
              <w:t>Should a Referendum Be Required?</w:t>
            </w:r>
            <w:r w:rsidR="009F64A1">
              <w:rPr>
                <w:noProof/>
                <w:webHidden/>
              </w:rPr>
              <w:tab/>
            </w:r>
            <w:r w:rsidR="009F64A1">
              <w:rPr>
                <w:noProof/>
                <w:webHidden/>
              </w:rPr>
              <w:fldChar w:fldCharType="begin"/>
            </w:r>
            <w:r w:rsidR="009F64A1">
              <w:rPr>
                <w:noProof/>
                <w:webHidden/>
              </w:rPr>
              <w:instrText xml:space="preserve"> PAGEREF _Toc433373645 \h </w:instrText>
            </w:r>
            <w:r w:rsidR="009F64A1">
              <w:rPr>
                <w:noProof/>
                <w:webHidden/>
              </w:rPr>
            </w:r>
            <w:r w:rsidR="009F64A1">
              <w:rPr>
                <w:noProof/>
                <w:webHidden/>
              </w:rPr>
              <w:fldChar w:fldCharType="separate"/>
            </w:r>
            <w:r w:rsidR="009F64A1">
              <w:rPr>
                <w:noProof/>
                <w:webHidden/>
              </w:rPr>
              <w:t>23</w:t>
            </w:r>
            <w:r w:rsidR="009F64A1">
              <w:rPr>
                <w:noProof/>
                <w:webHidden/>
              </w:rPr>
              <w:fldChar w:fldCharType="end"/>
            </w:r>
          </w:hyperlink>
        </w:p>
        <w:p w14:paraId="098A03C3"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46" w:history="1">
            <w:r w:rsidR="009F64A1" w:rsidRPr="009A0D62">
              <w:rPr>
                <w:rStyle w:val="Hyperlink"/>
                <w:noProof/>
              </w:rPr>
              <w:t>Who Should Administer the Local Sales Tax?</w:t>
            </w:r>
            <w:r w:rsidR="009F64A1">
              <w:rPr>
                <w:noProof/>
                <w:webHidden/>
              </w:rPr>
              <w:tab/>
            </w:r>
            <w:r w:rsidR="009F64A1">
              <w:rPr>
                <w:noProof/>
                <w:webHidden/>
              </w:rPr>
              <w:fldChar w:fldCharType="begin"/>
            </w:r>
            <w:r w:rsidR="009F64A1">
              <w:rPr>
                <w:noProof/>
                <w:webHidden/>
              </w:rPr>
              <w:instrText xml:space="preserve"> PAGEREF _Toc433373646 \h </w:instrText>
            </w:r>
            <w:r w:rsidR="009F64A1">
              <w:rPr>
                <w:noProof/>
                <w:webHidden/>
              </w:rPr>
            </w:r>
            <w:r w:rsidR="009F64A1">
              <w:rPr>
                <w:noProof/>
                <w:webHidden/>
              </w:rPr>
              <w:fldChar w:fldCharType="separate"/>
            </w:r>
            <w:r w:rsidR="009F64A1">
              <w:rPr>
                <w:noProof/>
                <w:webHidden/>
              </w:rPr>
              <w:t>24</w:t>
            </w:r>
            <w:r w:rsidR="009F64A1">
              <w:rPr>
                <w:noProof/>
                <w:webHidden/>
              </w:rPr>
              <w:fldChar w:fldCharType="end"/>
            </w:r>
          </w:hyperlink>
        </w:p>
        <w:p w14:paraId="0EBF123B"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47" w:history="1">
            <w:r w:rsidR="009F64A1" w:rsidRPr="009A0D62">
              <w:rPr>
                <w:rStyle w:val="Hyperlink"/>
                <w:noProof/>
              </w:rPr>
              <w:t>Use of the Revenue</w:t>
            </w:r>
            <w:r w:rsidR="009F64A1">
              <w:rPr>
                <w:noProof/>
                <w:webHidden/>
              </w:rPr>
              <w:tab/>
            </w:r>
            <w:r w:rsidR="009F64A1">
              <w:rPr>
                <w:noProof/>
                <w:webHidden/>
              </w:rPr>
              <w:fldChar w:fldCharType="begin"/>
            </w:r>
            <w:r w:rsidR="009F64A1">
              <w:rPr>
                <w:noProof/>
                <w:webHidden/>
              </w:rPr>
              <w:instrText xml:space="preserve"> PAGEREF _Toc433373647 \h </w:instrText>
            </w:r>
            <w:r w:rsidR="009F64A1">
              <w:rPr>
                <w:noProof/>
                <w:webHidden/>
              </w:rPr>
            </w:r>
            <w:r w:rsidR="009F64A1">
              <w:rPr>
                <w:noProof/>
                <w:webHidden/>
              </w:rPr>
              <w:fldChar w:fldCharType="separate"/>
            </w:r>
            <w:r w:rsidR="009F64A1">
              <w:rPr>
                <w:noProof/>
                <w:webHidden/>
              </w:rPr>
              <w:t>24</w:t>
            </w:r>
            <w:r w:rsidR="009F64A1">
              <w:rPr>
                <w:noProof/>
                <w:webHidden/>
              </w:rPr>
              <w:fldChar w:fldCharType="end"/>
            </w:r>
          </w:hyperlink>
        </w:p>
        <w:p w14:paraId="532B125C"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48" w:history="1">
            <w:r w:rsidR="009F64A1" w:rsidRPr="009A0D62">
              <w:rPr>
                <w:rStyle w:val="Hyperlink"/>
                <w:noProof/>
              </w:rPr>
              <w:t>Geographic Coverage</w:t>
            </w:r>
            <w:r w:rsidR="009F64A1">
              <w:rPr>
                <w:noProof/>
                <w:webHidden/>
              </w:rPr>
              <w:tab/>
            </w:r>
            <w:r w:rsidR="009F64A1">
              <w:rPr>
                <w:noProof/>
                <w:webHidden/>
              </w:rPr>
              <w:fldChar w:fldCharType="begin"/>
            </w:r>
            <w:r w:rsidR="009F64A1">
              <w:rPr>
                <w:noProof/>
                <w:webHidden/>
              </w:rPr>
              <w:instrText xml:space="preserve"> PAGEREF _Toc433373648 \h </w:instrText>
            </w:r>
            <w:r w:rsidR="009F64A1">
              <w:rPr>
                <w:noProof/>
                <w:webHidden/>
              </w:rPr>
            </w:r>
            <w:r w:rsidR="009F64A1">
              <w:rPr>
                <w:noProof/>
                <w:webHidden/>
              </w:rPr>
              <w:fldChar w:fldCharType="separate"/>
            </w:r>
            <w:r w:rsidR="009F64A1">
              <w:rPr>
                <w:noProof/>
                <w:webHidden/>
              </w:rPr>
              <w:t>25</w:t>
            </w:r>
            <w:r w:rsidR="009F64A1">
              <w:rPr>
                <w:noProof/>
                <w:webHidden/>
              </w:rPr>
              <w:fldChar w:fldCharType="end"/>
            </w:r>
          </w:hyperlink>
        </w:p>
        <w:p w14:paraId="366C44B7"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49" w:history="1">
            <w:r w:rsidR="009F64A1" w:rsidRPr="009A0D62">
              <w:rPr>
                <w:rStyle w:val="Hyperlink"/>
                <w:noProof/>
              </w:rPr>
              <w:t>Economic Issues Associated with Local Sales Taxes</w:t>
            </w:r>
            <w:r w:rsidR="009F64A1">
              <w:rPr>
                <w:noProof/>
                <w:webHidden/>
              </w:rPr>
              <w:tab/>
            </w:r>
            <w:r w:rsidR="009F64A1">
              <w:rPr>
                <w:noProof/>
                <w:webHidden/>
              </w:rPr>
              <w:fldChar w:fldCharType="begin"/>
            </w:r>
            <w:r w:rsidR="009F64A1">
              <w:rPr>
                <w:noProof/>
                <w:webHidden/>
              </w:rPr>
              <w:instrText xml:space="preserve"> PAGEREF _Toc433373649 \h </w:instrText>
            </w:r>
            <w:r w:rsidR="009F64A1">
              <w:rPr>
                <w:noProof/>
                <w:webHidden/>
              </w:rPr>
            </w:r>
            <w:r w:rsidR="009F64A1">
              <w:rPr>
                <w:noProof/>
                <w:webHidden/>
              </w:rPr>
              <w:fldChar w:fldCharType="separate"/>
            </w:r>
            <w:r w:rsidR="009F64A1">
              <w:rPr>
                <w:noProof/>
                <w:webHidden/>
              </w:rPr>
              <w:t>25</w:t>
            </w:r>
            <w:r w:rsidR="009F64A1">
              <w:rPr>
                <w:noProof/>
                <w:webHidden/>
              </w:rPr>
              <w:fldChar w:fldCharType="end"/>
            </w:r>
          </w:hyperlink>
        </w:p>
        <w:p w14:paraId="7294EC88"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50" w:history="1">
            <w:r w:rsidR="009F64A1" w:rsidRPr="009A0D62">
              <w:rPr>
                <w:rStyle w:val="Hyperlink"/>
                <w:noProof/>
              </w:rPr>
              <w:t>Incentive Effects</w:t>
            </w:r>
            <w:r w:rsidR="009F64A1">
              <w:rPr>
                <w:noProof/>
                <w:webHidden/>
              </w:rPr>
              <w:tab/>
            </w:r>
            <w:r w:rsidR="009F64A1">
              <w:rPr>
                <w:noProof/>
                <w:webHidden/>
              </w:rPr>
              <w:fldChar w:fldCharType="begin"/>
            </w:r>
            <w:r w:rsidR="009F64A1">
              <w:rPr>
                <w:noProof/>
                <w:webHidden/>
              </w:rPr>
              <w:instrText xml:space="preserve"> PAGEREF _Toc433373650 \h </w:instrText>
            </w:r>
            <w:r w:rsidR="009F64A1">
              <w:rPr>
                <w:noProof/>
                <w:webHidden/>
              </w:rPr>
            </w:r>
            <w:r w:rsidR="009F64A1">
              <w:rPr>
                <w:noProof/>
                <w:webHidden/>
              </w:rPr>
              <w:fldChar w:fldCharType="separate"/>
            </w:r>
            <w:r w:rsidR="009F64A1">
              <w:rPr>
                <w:noProof/>
                <w:webHidden/>
              </w:rPr>
              <w:t>25</w:t>
            </w:r>
            <w:r w:rsidR="009F64A1">
              <w:rPr>
                <w:noProof/>
                <w:webHidden/>
              </w:rPr>
              <w:fldChar w:fldCharType="end"/>
            </w:r>
          </w:hyperlink>
        </w:p>
        <w:p w14:paraId="56430541"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51" w:history="1">
            <w:r w:rsidR="009F64A1" w:rsidRPr="009A0D62">
              <w:rPr>
                <w:rStyle w:val="Hyperlink"/>
                <w:noProof/>
              </w:rPr>
              <w:t>Revenue</w:t>
            </w:r>
            <w:r w:rsidR="009F64A1">
              <w:rPr>
                <w:noProof/>
                <w:webHidden/>
              </w:rPr>
              <w:tab/>
            </w:r>
            <w:r w:rsidR="009F64A1">
              <w:rPr>
                <w:noProof/>
                <w:webHidden/>
              </w:rPr>
              <w:fldChar w:fldCharType="begin"/>
            </w:r>
            <w:r w:rsidR="009F64A1">
              <w:rPr>
                <w:noProof/>
                <w:webHidden/>
              </w:rPr>
              <w:instrText xml:space="preserve"> PAGEREF _Toc433373651 \h </w:instrText>
            </w:r>
            <w:r w:rsidR="009F64A1">
              <w:rPr>
                <w:noProof/>
                <w:webHidden/>
              </w:rPr>
            </w:r>
            <w:r w:rsidR="009F64A1">
              <w:rPr>
                <w:noProof/>
                <w:webHidden/>
              </w:rPr>
              <w:fldChar w:fldCharType="separate"/>
            </w:r>
            <w:r w:rsidR="009F64A1">
              <w:rPr>
                <w:noProof/>
                <w:webHidden/>
              </w:rPr>
              <w:t>27</w:t>
            </w:r>
            <w:r w:rsidR="009F64A1">
              <w:rPr>
                <w:noProof/>
                <w:webHidden/>
              </w:rPr>
              <w:fldChar w:fldCharType="end"/>
            </w:r>
          </w:hyperlink>
        </w:p>
        <w:p w14:paraId="642D8586"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52" w:history="1">
            <w:r w:rsidR="009F64A1" w:rsidRPr="009A0D62">
              <w:rPr>
                <w:rStyle w:val="Hyperlink"/>
                <w:noProof/>
              </w:rPr>
              <w:t>Equity/Fairness</w:t>
            </w:r>
            <w:r w:rsidR="009F64A1">
              <w:rPr>
                <w:noProof/>
                <w:webHidden/>
              </w:rPr>
              <w:tab/>
            </w:r>
            <w:r w:rsidR="009F64A1">
              <w:rPr>
                <w:noProof/>
                <w:webHidden/>
              </w:rPr>
              <w:fldChar w:fldCharType="begin"/>
            </w:r>
            <w:r w:rsidR="009F64A1">
              <w:rPr>
                <w:noProof/>
                <w:webHidden/>
              </w:rPr>
              <w:instrText xml:space="preserve"> PAGEREF _Toc433373652 \h </w:instrText>
            </w:r>
            <w:r w:rsidR="009F64A1">
              <w:rPr>
                <w:noProof/>
                <w:webHidden/>
              </w:rPr>
            </w:r>
            <w:r w:rsidR="009F64A1">
              <w:rPr>
                <w:noProof/>
                <w:webHidden/>
              </w:rPr>
              <w:fldChar w:fldCharType="separate"/>
            </w:r>
            <w:r w:rsidR="009F64A1">
              <w:rPr>
                <w:noProof/>
                <w:webHidden/>
              </w:rPr>
              <w:t>32</w:t>
            </w:r>
            <w:r w:rsidR="009F64A1">
              <w:rPr>
                <w:noProof/>
                <w:webHidden/>
              </w:rPr>
              <w:fldChar w:fldCharType="end"/>
            </w:r>
          </w:hyperlink>
        </w:p>
        <w:p w14:paraId="416849A2"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53" w:history="1">
            <w:r w:rsidR="009F64A1" w:rsidRPr="009A0D62">
              <w:rPr>
                <w:rStyle w:val="Hyperlink"/>
                <w:noProof/>
              </w:rPr>
              <w:t>Fiscal Disparities</w:t>
            </w:r>
            <w:r w:rsidR="009F64A1">
              <w:rPr>
                <w:noProof/>
                <w:webHidden/>
              </w:rPr>
              <w:tab/>
            </w:r>
            <w:r w:rsidR="009F64A1">
              <w:rPr>
                <w:noProof/>
                <w:webHidden/>
              </w:rPr>
              <w:fldChar w:fldCharType="begin"/>
            </w:r>
            <w:r w:rsidR="009F64A1">
              <w:rPr>
                <w:noProof/>
                <w:webHidden/>
              </w:rPr>
              <w:instrText xml:space="preserve"> PAGEREF _Toc433373653 \h </w:instrText>
            </w:r>
            <w:r w:rsidR="009F64A1">
              <w:rPr>
                <w:noProof/>
                <w:webHidden/>
              </w:rPr>
            </w:r>
            <w:r w:rsidR="009F64A1">
              <w:rPr>
                <w:noProof/>
                <w:webHidden/>
              </w:rPr>
              <w:fldChar w:fldCharType="separate"/>
            </w:r>
            <w:r w:rsidR="009F64A1">
              <w:rPr>
                <w:noProof/>
                <w:webHidden/>
              </w:rPr>
              <w:t>32</w:t>
            </w:r>
            <w:r w:rsidR="009F64A1">
              <w:rPr>
                <w:noProof/>
                <w:webHidden/>
              </w:rPr>
              <w:fldChar w:fldCharType="end"/>
            </w:r>
          </w:hyperlink>
        </w:p>
        <w:p w14:paraId="58DDB187"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54" w:history="1">
            <w:r w:rsidR="009F64A1" w:rsidRPr="009A0D62">
              <w:rPr>
                <w:rStyle w:val="Hyperlink"/>
                <w:noProof/>
              </w:rPr>
              <w:t>Summary Discussion Regarding Adopting a Local Sales Tax</w:t>
            </w:r>
            <w:r w:rsidR="009F64A1">
              <w:rPr>
                <w:noProof/>
                <w:webHidden/>
              </w:rPr>
              <w:tab/>
            </w:r>
            <w:r w:rsidR="009F64A1">
              <w:rPr>
                <w:noProof/>
                <w:webHidden/>
              </w:rPr>
              <w:fldChar w:fldCharType="begin"/>
            </w:r>
            <w:r w:rsidR="009F64A1">
              <w:rPr>
                <w:noProof/>
                <w:webHidden/>
              </w:rPr>
              <w:instrText xml:space="preserve"> PAGEREF _Toc433373654 \h </w:instrText>
            </w:r>
            <w:r w:rsidR="009F64A1">
              <w:rPr>
                <w:noProof/>
                <w:webHidden/>
              </w:rPr>
            </w:r>
            <w:r w:rsidR="009F64A1">
              <w:rPr>
                <w:noProof/>
                <w:webHidden/>
              </w:rPr>
              <w:fldChar w:fldCharType="separate"/>
            </w:r>
            <w:r w:rsidR="009F64A1">
              <w:rPr>
                <w:noProof/>
                <w:webHidden/>
              </w:rPr>
              <w:t>34</w:t>
            </w:r>
            <w:r w:rsidR="009F64A1">
              <w:rPr>
                <w:noProof/>
                <w:webHidden/>
              </w:rPr>
              <w:fldChar w:fldCharType="end"/>
            </w:r>
          </w:hyperlink>
        </w:p>
        <w:p w14:paraId="4BF0748A" w14:textId="77777777" w:rsidR="009F64A1" w:rsidRDefault="00974C36">
          <w:pPr>
            <w:pStyle w:val="TOC1"/>
            <w:tabs>
              <w:tab w:val="right" w:leader="dot" w:pos="9350"/>
            </w:tabs>
            <w:rPr>
              <w:rFonts w:asciiTheme="minorHAnsi" w:eastAsiaTheme="minorEastAsia" w:hAnsiTheme="minorHAnsi" w:cstheme="minorBidi"/>
              <w:noProof/>
              <w:sz w:val="22"/>
              <w:szCs w:val="22"/>
              <w:lang w:bidi="ar-SA"/>
            </w:rPr>
          </w:pPr>
          <w:hyperlink w:anchor="_Toc433373655" w:history="1">
            <w:r w:rsidR="009F64A1" w:rsidRPr="009A0D62">
              <w:rPr>
                <w:rStyle w:val="Hyperlink"/>
                <w:noProof/>
              </w:rPr>
              <w:t>Local Income Taxes</w:t>
            </w:r>
            <w:r w:rsidR="009F64A1">
              <w:rPr>
                <w:noProof/>
                <w:webHidden/>
              </w:rPr>
              <w:tab/>
            </w:r>
            <w:r w:rsidR="009F64A1">
              <w:rPr>
                <w:noProof/>
                <w:webHidden/>
              </w:rPr>
              <w:fldChar w:fldCharType="begin"/>
            </w:r>
            <w:r w:rsidR="009F64A1">
              <w:rPr>
                <w:noProof/>
                <w:webHidden/>
              </w:rPr>
              <w:instrText xml:space="preserve"> PAGEREF _Toc433373655 \h </w:instrText>
            </w:r>
            <w:r w:rsidR="009F64A1">
              <w:rPr>
                <w:noProof/>
                <w:webHidden/>
              </w:rPr>
            </w:r>
            <w:r w:rsidR="009F64A1">
              <w:rPr>
                <w:noProof/>
                <w:webHidden/>
              </w:rPr>
              <w:fldChar w:fldCharType="separate"/>
            </w:r>
            <w:r w:rsidR="009F64A1">
              <w:rPr>
                <w:noProof/>
                <w:webHidden/>
              </w:rPr>
              <w:t>35</w:t>
            </w:r>
            <w:r w:rsidR="009F64A1">
              <w:rPr>
                <w:noProof/>
                <w:webHidden/>
              </w:rPr>
              <w:fldChar w:fldCharType="end"/>
            </w:r>
          </w:hyperlink>
        </w:p>
        <w:p w14:paraId="62B3AC92"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56" w:history="1">
            <w:r w:rsidR="009F64A1" w:rsidRPr="009A0D62">
              <w:rPr>
                <w:rStyle w:val="Hyperlink"/>
                <w:noProof/>
              </w:rPr>
              <w:t>Reliance on Local Income Taxes</w:t>
            </w:r>
            <w:r w:rsidR="009F64A1">
              <w:rPr>
                <w:noProof/>
                <w:webHidden/>
              </w:rPr>
              <w:tab/>
            </w:r>
            <w:r w:rsidR="009F64A1">
              <w:rPr>
                <w:noProof/>
                <w:webHidden/>
              </w:rPr>
              <w:fldChar w:fldCharType="begin"/>
            </w:r>
            <w:r w:rsidR="009F64A1">
              <w:rPr>
                <w:noProof/>
                <w:webHidden/>
              </w:rPr>
              <w:instrText xml:space="preserve"> PAGEREF _Toc433373656 \h </w:instrText>
            </w:r>
            <w:r w:rsidR="009F64A1">
              <w:rPr>
                <w:noProof/>
                <w:webHidden/>
              </w:rPr>
            </w:r>
            <w:r w:rsidR="009F64A1">
              <w:rPr>
                <w:noProof/>
                <w:webHidden/>
              </w:rPr>
              <w:fldChar w:fldCharType="separate"/>
            </w:r>
            <w:r w:rsidR="009F64A1">
              <w:rPr>
                <w:noProof/>
                <w:webHidden/>
              </w:rPr>
              <w:t>35</w:t>
            </w:r>
            <w:r w:rsidR="009F64A1">
              <w:rPr>
                <w:noProof/>
                <w:webHidden/>
              </w:rPr>
              <w:fldChar w:fldCharType="end"/>
            </w:r>
          </w:hyperlink>
        </w:p>
        <w:p w14:paraId="21F04019"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57" w:history="1">
            <w:r w:rsidR="009F64A1" w:rsidRPr="009A0D62">
              <w:rPr>
                <w:rStyle w:val="Hyperlink"/>
                <w:noProof/>
              </w:rPr>
              <w:t>Local Income Taxes in Selected States</w:t>
            </w:r>
            <w:r w:rsidR="009F64A1">
              <w:rPr>
                <w:noProof/>
                <w:webHidden/>
              </w:rPr>
              <w:tab/>
            </w:r>
            <w:r w:rsidR="009F64A1">
              <w:rPr>
                <w:noProof/>
                <w:webHidden/>
              </w:rPr>
              <w:fldChar w:fldCharType="begin"/>
            </w:r>
            <w:r w:rsidR="009F64A1">
              <w:rPr>
                <w:noProof/>
                <w:webHidden/>
              </w:rPr>
              <w:instrText xml:space="preserve"> PAGEREF _Toc433373657 \h </w:instrText>
            </w:r>
            <w:r w:rsidR="009F64A1">
              <w:rPr>
                <w:noProof/>
                <w:webHidden/>
              </w:rPr>
            </w:r>
            <w:r w:rsidR="009F64A1">
              <w:rPr>
                <w:noProof/>
                <w:webHidden/>
              </w:rPr>
              <w:fldChar w:fldCharType="separate"/>
            </w:r>
            <w:r w:rsidR="009F64A1">
              <w:rPr>
                <w:noProof/>
                <w:webHidden/>
              </w:rPr>
              <w:t>36</w:t>
            </w:r>
            <w:r w:rsidR="009F64A1">
              <w:rPr>
                <w:noProof/>
                <w:webHidden/>
              </w:rPr>
              <w:fldChar w:fldCharType="end"/>
            </w:r>
          </w:hyperlink>
        </w:p>
        <w:p w14:paraId="18D7B781"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58" w:history="1">
            <w:r w:rsidR="009F64A1" w:rsidRPr="009A0D62">
              <w:rPr>
                <w:rStyle w:val="Hyperlink"/>
                <w:noProof/>
              </w:rPr>
              <w:t>Ohio</w:t>
            </w:r>
            <w:r w:rsidR="009F64A1">
              <w:rPr>
                <w:noProof/>
                <w:webHidden/>
              </w:rPr>
              <w:tab/>
            </w:r>
            <w:r w:rsidR="009F64A1">
              <w:rPr>
                <w:noProof/>
                <w:webHidden/>
              </w:rPr>
              <w:fldChar w:fldCharType="begin"/>
            </w:r>
            <w:r w:rsidR="009F64A1">
              <w:rPr>
                <w:noProof/>
                <w:webHidden/>
              </w:rPr>
              <w:instrText xml:space="preserve"> PAGEREF _Toc433373658 \h </w:instrText>
            </w:r>
            <w:r w:rsidR="009F64A1">
              <w:rPr>
                <w:noProof/>
                <w:webHidden/>
              </w:rPr>
            </w:r>
            <w:r w:rsidR="009F64A1">
              <w:rPr>
                <w:noProof/>
                <w:webHidden/>
              </w:rPr>
              <w:fldChar w:fldCharType="separate"/>
            </w:r>
            <w:r w:rsidR="009F64A1">
              <w:rPr>
                <w:noProof/>
                <w:webHidden/>
              </w:rPr>
              <w:t>36</w:t>
            </w:r>
            <w:r w:rsidR="009F64A1">
              <w:rPr>
                <w:noProof/>
                <w:webHidden/>
              </w:rPr>
              <w:fldChar w:fldCharType="end"/>
            </w:r>
          </w:hyperlink>
        </w:p>
        <w:p w14:paraId="26A7A116"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59" w:history="1">
            <w:r w:rsidR="009F64A1" w:rsidRPr="009A0D62">
              <w:rPr>
                <w:rStyle w:val="Hyperlink"/>
                <w:noProof/>
              </w:rPr>
              <w:t>Pennsylvania</w:t>
            </w:r>
            <w:r w:rsidR="009F64A1">
              <w:rPr>
                <w:noProof/>
                <w:webHidden/>
              </w:rPr>
              <w:tab/>
            </w:r>
            <w:r w:rsidR="009F64A1">
              <w:rPr>
                <w:noProof/>
                <w:webHidden/>
              </w:rPr>
              <w:fldChar w:fldCharType="begin"/>
            </w:r>
            <w:r w:rsidR="009F64A1">
              <w:rPr>
                <w:noProof/>
                <w:webHidden/>
              </w:rPr>
              <w:instrText xml:space="preserve"> PAGEREF _Toc433373659 \h </w:instrText>
            </w:r>
            <w:r w:rsidR="009F64A1">
              <w:rPr>
                <w:noProof/>
                <w:webHidden/>
              </w:rPr>
            </w:r>
            <w:r w:rsidR="009F64A1">
              <w:rPr>
                <w:noProof/>
                <w:webHidden/>
              </w:rPr>
              <w:fldChar w:fldCharType="separate"/>
            </w:r>
            <w:r w:rsidR="009F64A1">
              <w:rPr>
                <w:noProof/>
                <w:webHidden/>
              </w:rPr>
              <w:t>36</w:t>
            </w:r>
            <w:r w:rsidR="009F64A1">
              <w:rPr>
                <w:noProof/>
                <w:webHidden/>
              </w:rPr>
              <w:fldChar w:fldCharType="end"/>
            </w:r>
          </w:hyperlink>
        </w:p>
        <w:p w14:paraId="07DB9EF0"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60" w:history="1">
            <w:r w:rsidR="009F64A1" w:rsidRPr="009A0D62">
              <w:rPr>
                <w:rStyle w:val="Hyperlink"/>
                <w:noProof/>
              </w:rPr>
              <w:t>Kentucky</w:t>
            </w:r>
            <w:r w:rsidR="009F64A1">
              <w:rPr>
                <w:noProof/>
                <w:webHidden/>
              </w:rPr>
              <w:tab/>
            </w:r>
            <w:r w:rsidR="009F64A1">
              <w:rPr>
                <w:noProof/>
                <w:webHidden/>
              </w:rPr>
              <w:fldChar w:fldCharType="begin"/>
            </w:r>
            <w:r w:rsidR="009F64A1">
              <w:rPr>
                <w:noProof/>
                <w:webHidden/>
              </w:rPr>
              <w:instrText xml:space="preserve"> PAGEREF _Toc433373660 \h </w:instrText>
            </w:r>
            <w:r w:rsidR="009F64A1">
              <w:rPr>
                <w:noProof/>
                <w:webHidden/>
              </w:rPr>
            </w:r>
            <w:r w:rsidR="009F64A1">
              <w:rPr>
                <w:noProof/>
                <w:webHidden/>
              </w:rPr>
              <w:fldChar w:fldCharType="separate"/>
            </w:r>
            <w:r w:rsidR="009F64A1">
              <w:rPr>
                <w:noProof/>
                <w:webHidden/>
              </w:rPr>
              <w:t>36</w:t>
            </w:r>
            <w:r w:rsidR="009F64A1">
              <w:rPr>
                <w:noProof/>
                <w:webHidden/>
              </w:rPr>
              <w:fldChar w:fldCharType="end"/>
            </w:r>
          </w:hyperlink>
        </w:p>
        <w:p w14:paraId="0F6D1DC7"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61" w:history="1">
            <w:r w:rsidR="009F64A1" w:rsidRPr="009A0D62">
              <w:rPr>
                <w:rStyle w:val="Hyperlink"/>
                <w:noProof/>
              </w:rPr>
              <w:t>Structuring a Local Income Tax System</w:t>
            </w:r>
            <w:r w:rsidR="009F64A1">
              <w:rPr>
                <w:noProof/>
                <w:webHidden/>
              </w:rPr>
              <w:tab/>
            </w:r>
            <w:r w:rsidR="009F64A1">
              <w:rPr>
                <w:noProof/>
                <w:webHidden/>
              </w:rPr>
              <w:fldChar w:fldCharType="begin"/>
            </w:r>
            <w:r w:rsidR="009F64A1">
              <w:rPr>
                <w:noProof/>
                <w:webHidden/>
              </w:rPr>
              <w:instrText xml:space="preserve"> PAGEREF _Toc433373661 \h </w:instrText>
            </w:r>
            <w:r w:rsidR="009F64A1">
              <w:rPr>
                <w:noProof/>
                <w:webHidden/>
              </w:rPr>
            </w:r>
            <w:r w:rsidR="009F64A1">
              <w:rPr>
                <w:noProof/>
                <w:webHidden/>
              </w:rPr>
              <w:fldChar w:fldCharType="separate"/>
            </w:r>
            <w:r w:rsidR="009F64A1">
              <w:rPr>
                <w:noProof/>
                <w:webHidden/>
              </w:rPr>
              <w:t>37</w:t>
            </w:r>
            <w:r w:rsidR="009F64A1">
              <w:rPr>
                <w:noProof/>
                <w:webHidden/>
              </w:rPr>
              <w:fldChar w:fldCharType="end"/>
            </w:r>
          </w:hyperlink>
        </w:p>
        <w:p w14:paraId="681C24CC"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62" w:history="1">
            <w:r w:rsidR="009F64A1" w:rsidRPr="009A0D62">
              <w:rPr>
                <w:rStyle w:val="Hyperlink"/>
                <w:noProof/>
              </w:rPr>
              <w:t>Income Tax Base</w:t>
            </w:r>
            <w:r w:rsidR="009F64A1">
              <w:rPr>
                <w:noProof/>
                <w:webHidden/>
              </w:rPr>
              <w:tab/>
            </w:r>
            <w:r w:rsidR="009F64A1">
              <w:rPr>
                <w:noProof/>
                <w:webHidden/>
              </w:rPr>
              <w:fldChar w:fldCharType="begin"/>
            </w:r>
            <w:r w:rsidR="009F64A1">
              <w:rPr>
                <w:noProof/>
                <w:webHidden/>
              </w:rPr>
              <w:instrText xml:space="preserve"> PAGEREF _Toc433373662 \h </w:instrText>
            </w:r>
            <w:r w:rsidR="009F64A1">
              <w:rPr>
                <w:noProof/>
                <w:webHidden/>
              </w:rPr>
            </w:r>
            <w:r w:rsidR="009F64A1">
              <w:rPr>
                <w:noProof/>
                <w:webHidden/>
              </w:rPr>
              <w:fldChar w:fldCharType="separate"/>
            </w:r>
            <w:r w:rsidR="009F64A1">
              <w:rPr>
                <w:noProof/>
                <w:webHidden/>
              </w:rPr>
              <w:t>37</w:t>
            </w:r>
            <w:r w:rsidR="009F64A1">
              <w:rPr>
                <w:noProof/>
                <w:webHidden/>
              </w:rPr>
              <w:fldChar w:fldCharType="end"/>
            </w:r>
          </w:hyperlink>
        </w:p>
        <w:p w14:paraId="1ABC8738"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63" w:history="1">
            <w:r w:rsidR="009F64A1" w:rsidRPr="009A0D62">
              <w:rPr>
                <w:rStyle w:val="Hyperlink"/>
                <w:noProof/>
              </w:rPr>
              <w:t>Income Tax Rate</w:t>
            </w:r>
            <w:r w:rsidR="009F64A1">
              <w:rPr>
                <w:noProof/>
                <w:webHidden/>
              </w:rPr>
              <w:tab/>
            </w:r>
            <w:r w:rsidR="009F64A1">
              <w:rPr>
                <w:noProof/>
                <w:webHidden/>
              </w:rPr>
              <w:fldChar w:fldCharType="begin"/>
            </w:r>
            <w:r w:rsidR="009F64A1">
              <w:rPr>
                <w:noProof/>
                <w:webHidden/>
              </w:rPr>
              <w:instrText xml:space="preserve"> PAGEREF _Toc433373663 \h </w:instrText>
            </w:r>
            <w:r w:rsidR="009F64A1">
              <w:rPr>
                <w:noProof/>
                <w:webHidden/>
              </w:rPr>
            </w:r>
            <w:r w:rsidR="009F64A1">
              <w:rPr>
                <w:noProof/>
                <w:webHidden/>
              </w:rPr>
              <w:fldChar w:fldCharType="separate"/>
            </w:r>
            <w:r w:rsidR="009F64A1">
              <w:rPr>
                <w:noProof/>
                <w:webHidden/>
              </w:rPr>
              <w:t>38</w:t>
            </w:r>
            <w:r w:rsidR="009F64A1">
              <w:rPr>
                <w:noProof/>
                <w:webHidden/>
              </w:rPr>
              <w:fldChar w:fldCharType="end"/>
            </w:r>
          </w:hyperlink>
        </w:p>
        <w:p w14:paraId="4D9C3267"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64" w:history="1">
            <w:r w:rsidR="009F64A1" w:rsidRPr="009A0D62">
              <w:rPr>
                <w:rStyle w:val="Hyperlink"/>
                <w:noProof/>
              </w:rPr>
              <w:t>Optional versus Mandated Income Tax</w:t>
            </w:r>
            <w:r w:rsidR="009F64A1">
              <w:rPr>
                <w:noProof/>
                <w:webHidden/>
              </w:rPr>
              <w:tab/>
            </w:r>
            <w:r w:rsidR="009F64A1">
              <w:rPr>
                <w:noProof/>
                <w:webHidden/>
              </w:rPr>
              <w:fldChar w:fldCharType="begin"/>
            </w:r>
            <w:r w:rsidR="009F64A1">
              <w:rPr>
                <w:noProof/>
                <w:webHidden/>
              </w:rPr>
              <w:instrText xml:space="preserve"> PAGEREF _Toc433373664 \h </w:instrText>
            </w:r>
            <w:r w:rsidR="009F64A1">
              <w:rPr>
                <w:noProof/>
                <w:webHidden/>
              </w:rPr>
            </w:r>
            <w:r w:rsidR="009F64A1">
              <w:rPr>
                <w:noProof/>
                <w:webHidden/>
              </w:rPr>
              <w:fldChar w:fldCharType="separate"/>
            </w:r>
            <w:r w:rsidR="009F64A1">
              <w:rPr>
                <w:noProof/>
                <w:webHidden/>
              </w:rPr>
              <w:t>38</w:t>
            </w:r>
            <w:r w:rsidR="009F64A1">
              <w:rPr>
                <w:noProof/>
                <w:webHidden/>
              </w:rPr>
              <w:fldChar w:fldCharType="end"/>
            </w:r>
          </w:hyperlink>
        </w:p>
        <w:p w14:paraId="7C46890F"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65" w:history="1">
            <w:r w:rsidR="009F64A1" w:rsidRPr="009A0D62">
              <w:rPr>
                <w:rStyle w:val="Hyperlink"/>
                <w:noProof/>
              </w:rPr>
              <w:t>Situs/Allocation of Revenue</w:t>
            </w:r>
            <w:r w:rsidR="009F64A1">
              <w:rPr>
                <w:noProof/>
                <w:webHidden/>
              </w:rPr>
              <w:tab/>
            </w:r>
            <w:r w:rsidR="009F64A1">
              <w:rPr>
                <w:noProof/>
                <w:webHidden/>
              </w:rPr>
              <w:fldChar w:fldCharType="begin"/>
            </w:r>
            <w:r w:rsidR="009F64A1">
              <w:rPr>
                <w:noProof/>
                <w:webHidden/>
              </w:rPr>
              <w:instrText xml:space="preserve"> PAGEREF _Toc433373665 \h </w:instrText>
            </w:r>
            <w:r w:rsidR="009F64A1">
              <w:rPr>
                <w:noProof/>
                <w:webHidden/>
              </w:rPr>
            </w:r>
            <w:r w:rsidR="009F64A1">
              <w:rPr>
                <w:noProof/>
                <w:webHidden/>
              </w:rPr>
              <w:fldChar w:fldCharType="separate"/>
            </w:r>
            <w:r w:rsidR="009F64A1">
              <w:rPr>
                <w:noProof/>
                <w:webHidden/>
              </w:rPr>
              <w:t>38</w:t>
            </w:r>
            <w:r w:rsidR="009F64A1">
              <w:rPr>
                <w:noProof/>
                <w:webHidden/>
              </w:rPr>
              <w:fldChar w:fldCharType="end"/>
            </w:r>
          </w:hyperlink>
        </w:p>
        <w:p w14:paraId="3904F704"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66" w:history="1">
            <w:r w:rsidR="009F64A1" w:rsidRPr="009A0D62">
              <w:rPr>
                <w:rStyle w:val="Hyperlink"/>
                <w:noProof/>
              </w:rPr>
              <w:t>Should a Referendum Be Required?</w:t>
            </w:r>
            <w:r w:rsidR="009F64A1">
              <w:rPr>
                <w:noProof/>
                <w:webHidden/>
              </w:rPr>
              <w:tab/>
            </w:r>
            <w:r w:rsidR="009F64A1">
              <w:rPr>
                <w:noProof/>
                <w:webHidden/>
              </w:rPr>
              <w:fldChar w:fldCharType="begin"/>
            </w:r>
            <w:r w:rsidR="009F64A1">
              <w:rPr>
                <w:noProof/>
                <w:webHidden/>
              </w:rPr>
              <w:instrText xml:space="preserve"> PAGEREF _Toc433373666 \h </w:instrText>
            </w:r>
            <w:r w:rsidR="009F64A1">
              <w:rPr>
                <w:noProof/>
                <w:webHidden/>
              </w:rPr>
            </w:r>
            <w:r w:rsidR="009F64A1">
              <w:rPr>
                <w:noProof/>
                <w:webHidden/>
              </w:rPr>
              <w:fldChar w:fldCharType="separate"/>
            </w:r>
            <w:r w:rsidR="009F64A1">
              <w:rPr>
                <w:noProof/>
                <w:webHidden/>
              </w:rPr>
              <w:t>39</w:t>
            </w:r>
            <w:r w:rsidR="009F64A1">
              <w:rPr>
                <w:noProof/>
                <w:webHidden/>
              </w:rPr>
              <w:fldChar w:fldCharType="end"/>
            </w:r>
          </w:hyperlink>
        </w:p>
        <w:p w14:paraId="0E8523F5"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67" w:history="1">
            <w:r w:rsidR="009F64A1" w:rsidRPr="009A0D62">
              <w:rPr>
                <w:rStyle w:val="Hyperlink"/>
                <w:noProof/>
              </w:rPr>
              <w:t>Who Should Administer the Local Income Tax?</w:t>
            </w:r>
            <w:r w:rsidR="009F64A1">
              <w:rPr>
                <w:noProof/>
                <w:webHidden/>
              </w:rPr>
              <w:tab/>
            </w:r>
            <w:r w:rsidR="009F64A1">
              <w:rPr>
                <w:noProof/>
                <w:webHidden/>
              </w:rPr>
              <w:fldChar w:fldCharType="begin"/>
            </w:r>
            <w:r w:rsidR="009F64A1">
              <w:rPr>
                <w:noProof/>
                <w:webHidden/>
              </w:rPr>
              <w:instrText xml:space="preserve"> PAGEREF _Toc433373667 \h </w:instrText>
            </w:r>
            <w:r w:rsidR="009F64A1">
              <w:rPr>
                <w:noProof/>
                <w:webHidden/>
              </w:rPr>
            </w:r>
            <w:r w:rsidR="009F64A1">
              <w:rPr>
                <w:noProof/>
                <w:webHidden/>
              </w:rPr>
              <w:fldChar w:fldCharType="separate"/>
            </w:r>
            <w:r w:rsidR="009F64A1">
              <w:rPr>
                <w:noProof/>
                <w:webHidden/>
              </w:rPr>
              <w:t>39</w:t>
            </w:r>
            <w:r w:rsidR="009F64A1">
              <w:rPr>
                <w:noProof/>
                <w:webHidden/>
              </w:rPr>
              <w:fldChar w:fldCharType="end"/>
            </w:r>
          </w:hyperlink>
        </w:p>
        <w:p w14:paraId="24C116C4"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68" w:history="1">
            <w:r w:rsidR="009F64A1" w:rsidRPr="009A0D62">
              <w:rPr>
                <w:rStyle w:val="Hyperlink"/>
                <w:noProof/>
              </w:rPr>
              <w:t>Use of the Revenue</w:t>
            </w:r>
            <w:r w:rsidR="009F64A1">
              <w:rPr>
                <w:noProof/>
                <w:webHidden/>
              </w:rPr>
              <w:tab/>
            </w:r>
            <w:r w:rsidR="009F64A1">
              <w:rPr>
                <w:noProof/>
                <w:webHidden/>
              </w:rPr>
              <w:fldChar w:fldCharType="begin"/>
            </w:r>
            <w:r w:rsidR="009F64A1">
              <w:rPr>
                <w:noProof/>
                <w:webHidden/>
              </w:rPr>
              <w:instrText xml:space="preserve"> PAGEREF _Toc433373668 \h </w:instrText>
            </w:r>
            <w:r w:rsidR="009F64A1">
              <w:rPr>
                <w:noProof/>
                <w:webHidden/>
              </w:rPr>
            </w:r>
            <w:r w:rsidR="009F64A1">
              <w:rPr>
                <w:noProof/>
                <w:webHidden/>
              </w:rPr>
              <w:fldChar w:fldCharType="separate"/>
            </w:r>
            <w:r w:rsidR="009F64A1">
              <w:rPr>
                <w:noProof/>
                <w:webHidden/>
              </w:rPr>
              <w:t>40</w:t>
            </w:r>
            <w:r w:rsidR="009F64A1">
              <w:rPr>
                <w:noProof/>
                <w:webHidden/>
              </w:rPr>
              <w:fldChar w:fldCharType="end"/>
            </w:r>
          </w:hyperlink>
        </w:p>
        <w:p w14:paraId="1E932FDA"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69" w:history="1">
            <w:r w:rsidR="009F64A1" w:rsidRPr="009A0D62">
              <w:rPr>
                <w:rStyle w:val="Hyperlink"/>
                <w:noProof/>
              </w:rPr>
              <w:t>Geographic Coverage</w:t>
            </w:r>
            <w:r w:rsidR="009F64A1">
              <w:rPr>
                <w:noProof/>
                <w:webHidden/>
              </w:rPr>
              <w:tab/>
            </w:r>
            <w:r w:rsidR="009F64A1">
              <w:rPr>
                <w:noProof/>
                <w:webHidden/>
              </w:rPr>
              <w:fldChar w:fldCharType="begin"/>
            </w:r>
            <w:r w:rsidR="009F64A1">
              <w:rPr>
                <w:noProof/>
                <w:webHidden/>
              </w:rPr>
              <w:instrText xml:space="preserve"> PAGEREF _Toc433373669 \h </w:instrText>
            </w:r>
            <w:r w:rsidR="009F64A1">
              <w:rPr>
                <w:noProof/>
                <w:webHidden/>
              </w:rPr>
            </w:r>
            <w:r w:rsidR="009F64A1">
              <w:rPr>
                <w:noProof/>
                <w:webHidden/>
              </w:rPr>
              <w:fldChar w:fldCharType="separate"/>
            </w:r>
            <w:r w:rsidR="009F64A1">
              <w:rPr>
                <w:noProof/>
                <w:webHidden/>
              </w:rPr>
              <w:t>40</w:t>
            </w:r>
            <w:r w:rsidR="009F64A1">
              <w:rPr>
                <w:noProof/>
                <w:webHidden/>
              </w:rPr>
              <w:fldChar w:fldCharType="end"/>
            </w:r>
          </w:hyperlink>
        </w:p>
        <w:p w14:paraId="0F9F7F16"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70" w:history="1">
            <w:r w:rsidR="009F64A1" w:rsidRPr="009A0D62">
              <w:rPr>
                <w:rStyle w:val="Hyperlink"/>
                <w:noProof/>
              </w:rPr>
              <w:t>Economic Issues Associated with Local Income Taxes</w:t>
            </w:r>
            <w:r w:rsidR="009F64A1">
              <w:rPr>
                <w:noProof/>
                <w:webHidden/>
              </w:rPr>
              <w:tab/>
            </w:r>
            <w:r w:rsidR="009F64A1">
              <w:rPr>
                <w:noProof/>
                <w:webHidden/>
              </w:rPr>
              <w:fldChar w:fldCharType="begin"/>
            </w:r>
            <w:r w:rsidR="009F64A1">
              <w:rPr>
                <w:noProof/>
                <w:webHidden/>
              </w:rPr>
              <w:instrText xml:space="preserve"> PAGEREF _Toc433373670 \h </w:instrText>
            </w:r>
            <w:r w:rsidR="009F64A1">
              <w:rPr>
                <w:noProof/>
                <w:webHidden/>
              </w:rPr>
            </w:r>
            <w:r w:rsidR="009F64A1">
              <w:rPr>
                <w:noProof/>
                <w:webHidden/>
              </w:rPr>
              <w:fldChar w:fldCharType="separate"/>
            </w:r>
            <w:r w:rsidR="009F64A1">
              <w:rPr>
                <w:noProof/>
                <w:webHidden/>
              </w:rPr>
              <w:t>40</w:t>
            </w:r>
            <w:r w:rsidR="009F64A1">
              <w:rPr>
                <w:noProof/>
                <w:webHidden/>
              </w:rPr>
              <w:fldChar w:fldCharType="end"/>
            </w:r>
          </w:hyperlink>
        </w:p>
        <w:p w14:paraId="74DB2E01"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71" w:history="1">
            <w:r w:rsidR="009F64A1" w:rsidRPr="009A0D62">
              <w:rPr>
                <w:rStyle w:val="Hyperlink"/>
                <w:noProof/>
              </w:rPr>
              <w:t>Incentive Effects</w:t>
            </w:r>
            <w:r w:rsidR="009F64A1">
              <w:rPr>
                <w:noProof/>
                <w:webHidden/>
              </w:rPr>
              <w:tab/>
            </w:r>
            <w:r w:rsidR="009F64A1">
              <w:rPr>
                <w:noProof/>
                <w:webHidden/>
              </w:rPr>
              <w:fldChar w:fldCharType="begin"/>
            </w:r>
            <w:r w:rsidR="009F64A1">
              <w:rPr>
                <w:noProof/>
                <w:webHidden/>
              </w:rPr>
              <w:instrText xml:space="preserve"> PAGEREF _Toc433373671 \h </w:instrText>
            </w:r>
            <w:r w:rsidR="009F64A1">
              <w:rPr>
                <w:noProof/>
                <w:webHidden/>
              </w:rPr>
            </w:r>
            <w:r w:rsidR="009F64A1">
              <w:rPr>
                <w:noProof/>
                <w:webHidden/>
              </w:rPr>
              <w:fldChar w:fldCharType="separate"/>
            </w:r>
            <w:r w:rsidR="009F64A1">
              <w:rPr>
                <w:noProof/>
                <w:webHidden/>
              </w:rPr>
              <w:t>40</w:t>
            </w:r>
            <w:r w:rsidR="009F64A1">
              <w:rPr>
                <w:noProof/>
                <w:webHidden/>
              </w:rPr>
              <w:fldChar w:fldCharType="end"/>
            </w:r>
          </w:hyperlink>
        </w:p>
        <w:p w14:paraId="1780D35A"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72" w:history="1">
            <w:r w:rsidR="009F64A1" w:rsidRPr="009A0D62">
              <w:rPr>
                <w:rStyle w:val="Hyperlink"/>
                <w:noProof/>
              </w:rPr>
              <w:t>Revenue</w:t>
            </w:r>
            <w:r w:rsidR="009F64A1">
              <w:rPr>
                <w:noProof/>
                <w:webHidden/>
              </w:rPr>
              <w:tab/>
            </w:r>
            <w:r w:rsidR="009F64A1">
              <w:rPr>
                <w:noProof/>
                <w:webHidden/>
              </w:rPr>
              <w:fldChar w:fldCharType="begin"/>
            </w:r>
            <w:r w:rsidR="009F64A1">
              <w:rPr>
                <w:noProof/>
                <w:webHidden/>
              </w:rPr>
              <w:instrText xml:space="preserve"> PAGEREF _Toc433373672 \h </w:instrText>
            </w:r>
            <w:r w:rsidR="009F64A1">
              <w:rPr>
                <w:noProof/>
                <w:webHidden/>
              </w:rPr>
            </w:r>
            <w:r w:rsidR="009F64A1">
              <w:rPr>
                <w:noProof/>
                <w:webHidden/>
              </w:rPr>
              <w:fldChar w:fldCharType="separate"/>
            </w:r>
            <w:r w:rsidR="009F64A1">
              <w:rPr>
                <w:noProof/>
                <w:webHidden/>
              </w:rPr>
              <w:t>41</w:t>
            </w:r>
            <w:r w:rsidR="009F64A1">
              <w:rPr>
                <w:noProof/>
                <w:webHidden/>
              </w:rPr>
              <w:fldChar w:fldCharType="end"/>
            </w:r>
          </w:hyperlink>
        </w:p>
        <w:p w14:paraId="4438E841"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73" w:history="1">
            <w:r w:rsidR="009F64A1" w:rsidRPr="009A0D62">
              <w:rPr>
                <w:rStyle w:val="Hyperlink"/>
                <w:noProof/>
              </w:rPr>
              <w:t>Equity/Fairness</w:t>
            </w:r>
            <w:r w:rsidR="009F64A1">
              <w:rPr>
                <w:noProof/>
                <w:webHidden/>
              </w:rPr>
              <w:tab/>
            </w:r>
            <w:r w:rsidR="009F64A1">
              <w:rPr>
                <w:noProof/>
                <w:webHidden/>
              </w:rPr>
              <w:fldChar w:fldCharType="begin"/>
            </w:r>
            <w:r w:rsidR="009F64A1">
              <w:rPr>
                <w:noProof/>
                <w:webHidden/>
              </w:rPr>
              <w:instrText xml:space="preserve"> PAGEREF _Toc433373673 \h </w:instrText>
            </w:r>
            <w:r w:rsidR="009F64A1">
              <w:rPr>
                <w:noProof/>
                <w:webHidden/>
              </w:rPr>
            </w:r>
            <w:r w:rsidR="009F64A1">
              <w:rPr>
                <w:noProof/>
                <w:webHidden/>
              </w:rPr>
              <w:fldChar w:fldCharType="separate"/>
            </w:r>
            <w:r w:rsidR="009F64A1">
              <w:rPr>
                <w:noProof/>
                <w:webHidden/>
              </w:rPr>
              <w:t>50</w:t>
            </w:r>
            <w:r w:rsidR="009F64A1">
              <w:rPr>
                <w:noProof/>
                <w:webHidden/>
              </w:rPr>
              <w:fldChar w:fldCharType="end"/>
            </w:r>
          </w:hyperlink>
        </w:p>
        <w:p w14:paraId="5632E72B" w14:textId="77777777" w:rsidR="009F64A1" w:rsidRDefault="00974C36">
          <w:pPr>
            <w:pStyle w:val="TOC3"/>
            <w:tabs>
              <w:tab w:val="right" w:leader="dot" w:pos="9350"/>
            </w:tabs>
            <w:rPr>
              <w:rFonts w:asciiTheme="minorHAnsi" w:eastAsiaTheme="minorEastAsia" w:hAnsiTheme="minorHAnsi" w:cstheme="minorBidi"/>
              <w:noProof/>
              <w:sz w:val="22"/>
              <w:szCs w:val="22"/>
              <w:lang w:bidi="ar-SA"/>
            </w:rPr>
          </w:pPr>
          <w:hyperlink w:anchor="_Toc433373674" w:history="1">
            <w:r w:rsidR="009F64A1" w:rsidRPr="009A0D62">
              <w:rPr>
                <w:rStyle w:val="Hyperlink"/>
                <w:noProof/>
              </w:rPr>
              <w:t>Fiscal Disparities</w:t>
            </w:r>
            <w:r w:rsidR="009F64A1">
              <w:rPr>
                <w:noProof/>
                <w:webHidden/>
              </w:rPr>
              <w:tab/>
            </w:r>
            <w:r w:rsidR="009F64A1">
              <w:rPr>
                <w:noProof/>
                <w:webHidden/>
              </w:rPr>
              <w:fldChar w:fldCharType="begin"/>
            </w:r>
            <w:r w:rsidR="009F64A1">
              <w:rPr>
                <w:noProof/>
                <w:webHidden/>
              </w:rPr>
              <w:instrText xml:space="preserve"> PAGEREF _Toc433373674 \h </w:instrText>
            </w:r>
            <w:r w:rsidR="009F64A1">
              <w:rPr>
                <w:noProof/>
                <w:webHidden/>
              </w:rPr>
            </w:r>
            <w:r w:rsidR="009F64A1">
              <w:rPr>
                <w:noProof/>
                <w:webHidden/>
              </w:rPr>
              <w:fldChar w:fldCharType="separate"/>
            </w:r>
            <w:r w:rsidR="009F64A1">
              <w:rPr>
                <w:noProof/>
                <w:webHidden/>
              </w:rPr>
              <w:t>51</w:t>
            </w:r>
            <w:r w:rsidR="009F64A1">
              <w:rPr>
                <w:noProof/>
                <w:webHidden/>
              </w:rPr>
              <w:fldChar w:fldCharType="end"/>
            </w:r>
          </w:hyperlink>
        </w:p>
        <w:p w14:paraId="79DB497D"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75" w:history="1">
            <w:r w:rsidR="009F64A1" w:rsidRPr="009A0D62">
              <w:rPr>
                <w:rStyle w:val="Hyperlink"/>
                <w:noProof/>
              </w:rPr>
              <w:t>Summary Discussion Regarding Adopting a Local Income Tax</w:t>
            </w:r>
            <w:r w:rsidR="009F64A1">
              <w:rPr>
                <w:noProof/>
                <w:webHidden/>
              </w:rPr>
              <w:tab/>
            </w:r>
            <w:r w:rsidR="009F64A1">
              <w:rPr>
                <w:noProof/>
                <w:webHidden/>
              </w:rPr>
              <w:fldChar w:fldCharType="begin"/>
            </w:r>
            <w:r w:rsidR="009F64A1">
              <w:rPr>
                <w:noProof/>
                <w:webHidden/>
              </w:rPr>
              <w:instrText xml:space="preserve"> PAGEREF _Toc433373675 \h </w:instrText>
            </w:r>
            <w:r w:rsidR="009F64A1">
              <w:rPr>
                <w:noProof/>
                <w:webHidden/>
              </w:rPr>
            </w:r>
            <w:r w:rsidR="009F64A1">
              <w:rPr>
                <w:noProof/>
                <w:webHidden/>
              </w:rPr>
              <w:fldChar w:fldCharType="separate"/>
            </w:r>
            <w:r w:rsidR="009F64A1">
              <w:rPr>
                <w:noProof/>
                <w:webHidden/>
              </w:rPr>
              <w:t>53</w:t>
            </w:r>
            <w:r w:rsidR="009F64A1">
              <w:rPr>
                <w:noProof/>
                <w:webHidden/>
              </w:rPr>
              <w:fldChar w:fldCharType="end"/>
            </w:r>
          </w:hyperlink>
        </w:p>
        <w:p w14:paraId="6C9F3DB0" w14:textId="77777777" w:rsidR="009F64A1" w:rsidRDefault="00974C36">
          <w:pPr>
            <w:pStyle w:val="TOC1"/>
            <w:tabs>
              <w:tab w:val="right" w:leader="dot" w:pos="9350"/>
            </w:tabs>
            <w:rPr>
              <w:rFonts w:asciiTheme="minorHAnsi" w:eastAsiaTheme="minorEastAsia" w:hAnsiTheme="minorHAnsi" w:cstheme="minorBidi"/>
              <w:noProof/>
              <w:sz w:val="22"/>
              <w:szCs w:val="22"/>
              <w:lang w:bidi="ar-SA"/>
            </w:rPr>
          </w:pPr>
          <w:hyperlink w:anchor="_Toc433373676" w:history="1">
            <w:r w:rsidR="009F64A1" w:rsidRPr="009A0D62">
              <w:rPr>
                <w:rStyle w:val="Hyperlink"/>
                <w:noProof/>
              </w:rPr>
              <w:t>User Charges and Fees</w:t>
            </w:r>
            <w:r w:rsidR="009F64A1">
              <w:rPr>
                <w:noProof/>
                <w:webHidden/>
              </w:rPr>
              <w:tab/>
            </w:r>
            <w:r w:rsidR="009F64A1">
              <w:rPr>
                <w:noProof/>
                <w:webHidden/>
              </w:rPr>
              <w:fldChar w:fldCharType="begin"/>
            </w:r>
            <w:r w:rsidR="009F64A1">
              <w:rPr>
                <w:noProof/>
                <w:webHidden/>
              </w:rPr>
              <w:instrText xml:space="preserve"> PAGEREF _Toc433373676 \h </w:instrText>
            </w:r>
            <w:r w:rsidR="009F64A1">
              <w:rPr>
                <w:noProof/>
                <w:webHidden/>
              </w:rPr>
            </w:r>
            <w:r w:rsidR="009F64A1">
              <w:rPr>
                <w:noProof/>
                <w:webHidden/>
              </w:rPr>
              <w:fldChar w:fldCharType="separate"/>
            </w:r>
            <w:r w:rsidR="009F64A1">
              <w:rPr>
                <w:noProof/>
                <w:webHidden/>
              </w:rPr>
              <w:t>54</w:t>
            </w:r>
            <w:r w:rsidR="009F64A1">
              <w:rPr>
                <w:noProof/>
                <w:webHidden/>
              </w:rPr>
              <w:fldChar w:fldCharType="end"/>
            </w:r>
          </w:hyperlink>
        </w:p>
        <w:p w14:paraId="340E7DC0"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77" w:history="1">
            <w:r w:rsidR="009F64A1" w:rsidRPr="009A0D62">
              <w:rPr>
                <w:rStyle w:val="Hyperlink"/>
                <w:noProof/>
              </w:rPr>
              <w:t>Reliance on User Charges and Fees</w:t>
            </w:r>
            <w:r w:rsidR="009F64A1">
              <w:rPr>
                <w:noProof/>
                <w:webHidden/>
              </w:rPr>
              <w:tab/>
            </w:r>
            <w:r w:rsidR="009F64A1">
              <w:rPr>
                <w:noProof/>
                <w:webHidden/>
              </w:rPr>
              <w:fldChar w:fldCharType="begin"/>
            </w:r>
            <w:r w:rsidR="009F64A1">
              <w:rPr>
                <w:noProof/>
                <w:webHidden/>
              </w:rPr>
              <w:instrText xml:space="preserve"> PAGEREF _Toc433373677 \h </w:instrText>
            </w:r>
            <w:r w:rsidR="009F64A1">
              <w:rPr>
                <w:noProof/>
                <w:webHidden/>
              </w:rPr>
            </w:r>
            <w:r w:rsidR="009F64A1">
              <w:rPr>
                <w:noProof/>
                <w:webHidden/>
              </w:rPr>
              <w:fldChar w:fldCharType="separate"/>
            </w:r>
            <w:r w:rsidR="009F64A1">
              <w:rPr>
                <w:noProof/>
                <w:webHidden/>
              </w:rPr>
              <w:t>54</w:t>
            </w:r>
            <w:r w:rsidR="009F64A1">
              <w:rPr>
                <w:noProof/>
                <w:webHidden/>
              </w:rPr>
              <w:fldChar w:fldCharType="end"/>
            </w:r>
          </w:hyperlink>
        </w:p>
        <w:p w14:paraId="2AFB0F7C"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78" w:history="1">
            <w:r w:rsidR="009F64A1" w:rsidRPr="009A0D62">
              <w:rPr>
                <w:rStyle w:val="Hyperlink"/>
                <w:noProof/>
              </w:rPr>
              <w:t>Issues Associated with Current Charges</w:t>
            </w:r>
            <w:r w:rsidR="009F64A1">
              <w:rPr>
                <w:noProof/>
                <w:webHidden/>
              </w:rPr>
              <w:tab/>
            </w:r>
            <w:r w:rsidR="009F64A1">
              <w:rPr>
                <w:noProof/>
                <w:webHidden/>
              </w:rPr>
              <w:fldChar w:fldCharType="begin"/>
            </w:r>
            <w:r w:rsidR="009F64A1">
              <w:rPr>
                <w:noProof/>
                <w:webHidden/>
              </w:rPr>
              <w:instrText xml:space="preserve"> PAGEREF _Toc433373678 \h </w:instrText>
            </w:r>
            <w:r w:rsidR="009F64A1">
              <w:rPr>
                <w:noProof/>
                <w:webHidden/>
              </w:rPr>
            </w:r>
            <w:r w:rsidR="009F64A1">
              <w:rPr>
                <w:noProof/>
                <w:webHidden/>
              </w:rPr>
              <w:fldChar w:fldCharType="separate"/>
            </w:r>
            <w:r w:rsidR="009F64A1">
              <w:rPr>
                <w:noProof/>
                <w:webHidden/>
              </w:rPr>
              <w:t>57</w:t>
            </w:r>
            <w:r w:rsidR="009F64A1">
              <w:rPr>
                <w:noProof/>
                <w:webHidden/>
              </w:rPr>
              <w:fldChar w:fldCharType="end"/>
            </w:r>
          </w:hyperlink>
        </w:p>
        <w:p w14:paraId="7C8DCEA0"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79" w:history="1">
            <w:r w:rsidR="009F64A1" w:rsidRPr="009A0D62">
              <w:rPr>
                <w:rStyle w:val="Hyperlink"/>
                <w:noProof/>
              </w:rPr>
              <w:t>The Potential for Expanding the Use of Current Charges in Connecticut</w:t>
            </w:r>
            <w:r w:rsidR="009F64A1">
              <w:rPr>
                <w:noProof/>
                <w:webHidden/>
              </w:rPr>
              <w:tab/>
            </w:r>
            <w:r w:rsidR="009F64A1">
              <w:rPr>
                <w:noProof/>
                <w:webHidden/>
              </w:rPr>
              <w:fldChar w:fldCharType="begin"/>
            </w:r>
            <w:r w:rsidR="009F64A1">
              <w:rPr>
                <w:noProof/>
                <w:webHidden/>
              </w:rPr>
              <w:instrText xml:space="preserve"> PAGEREF _Toc433373679 \h </w:instrText>
            </w:r>
            <w:r w:rsidR="009F64A1">
              <w:rPr>
                <w:noProof/>
                <w:webHidden/>
              </w:rPr>
            </w:r>
            <w:r w:rsidR="009F64A1">
              <w:rPr>
                <w:noProof/>
                <w:webHidden/>
              </w:rPr>
              <w:fldChar w:fldCharType="separate"/>
            </w:r>
            <w:r w:rsidR="009F64A1">
              <w:rPr>
                <w:noProof/>
                <w:webHidden/>
              </w:rPr>
              <w:t>58</w:t>
            </w:r>
            <w:r w:rsidR="009F64A1">
              <w:rPr>
                <w:noProof/>
                <w:webHidden/>
              </w:rPr>
              <w:fldChar w:fldCharType="end"/>
            </w:r>
          </w:hyperlink>
        </w:p>
        <w:p w14:paraId="673CD45F"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80" w:history="1">
            <w:r w:rsidR="009F64A1" w:rsidRPr="009A0D62">
              <w:rPr>
                <w:rStyle w:val="Hyperlink"/>
                <w:noProof/>
              </w:rPr>
              <w:t>Impact Fees</w:t>
            </w:r>
            <w:r w:rsidR="009F64A1">
              <w:rPr>
                <w:noProof/>
                <w:webHidden/>
              </w:rPr>
              <w:tab/>
            </w:r>
            <w:r w:rsidR="009F64A1">
              <w:rPr>
                <w:noProof/>
                <w:webHidden/>
              </w:rPr>
              <w:fldChar w:fldCharType="begin"/>
            </w:r>
            <w:r w:rsidR="009F64A1">
              <w:rPr>
                <w:noProof/>
                <w:webHidden/>
              </w:rPr>
              <w:instrText xml:space="preserve"> PAGEREF _Toc433373680 \h </w:instrText>
            </w:r>
            <w:r w:rsidR="009F64A1">
              <w:rPr>
                <w:noProof/>
                <w:webHidden/>
              </w:rPr>
            </w:r>
            <w:r w:rsidR="009F64A1">
              <w:rPr>
                <w:noProof/>
                <w:webHidden/>
              </w:rPr>
              <w:fldChar w:fldCharType="separate"/>
            </w:r>
            <w:r w:rsidR="009F64A1">
              <w:rPr>
                <w:noProof/>
                <w:webHidden/>
              </w:rPr>
              <w:t>59</w:t>
            </w:r>
            <w:r w:rsidR="009F64A1">
              <w:rPr>
                <w:noProof/>
                <w:webHidden/>
              </w:rPr>
              <w:fldChar w:fldCharType="end"/>
            </w:r>
          </w:hyperlink>
        </w:p>
        <w:p w14:paraId="23AC3148"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81" w:history="1">
            <w:r w:rsidR="009F64A1" w:rsidRPr="009A0D62">
              <w:rPr>
                <w:rStyle w:val="Hyperlink"/>
                <w:noProof/>
              </w:rPr>
              <w:t>Summary Discussion of Charges and Fees</w:t>
            </w:r>
            <w:r w:rsidR="009F64A1">
              <w:rPr>
                <w:noProof/>
                <w:webHidden/>
              </w:rPr>
              <w:tab/>
            </w:r>
            <w:r w:rsidR="009F64A1">
              <w:rPr>
                <w:noProof/>
                <w:webHidden/>
              </w:rPr>
              <w:fldChar w:fldCharType="begin"/>
            </w:r>
            <w:r w:rsidR="009F64A1">
              <w:rPr>
                <w:noProof/>
                <w:webHidden/>
              </w:rPr>
              <w:instrText xml:space="preserve"> PAGEREF _Toc433373681 \h </w:instrText>
            </w:r>
            <w:r w:rsidR="009F64A1">
              <w:rPr>
                <w:noProof/>
                <w:webHidden/>
              </w:rPr>
            </w:r>
            <w:r w:rsidR="009F64A1">
              <w:rPr>
                <w:noProof/>
                <w:webHidden/>
              </w:rPr>
              <w:fldChar w:fldCharType="separate"/>
            </w:r>
            <w:r w:rsidR="009F64A1">
              <w:rPr>
                <w:noProof/>
                <w:webHidden/>
              </w:rPr>
              <w:t>60</w:t>
            </w:r>
            <w:r w:rsidR="009F64A1">
              <w:rPr>
                <w:noProof/>
                <w:webHidden/>
              </w:rPr>
              <w:fldChar w:fldCharType="end"/>
            </w:r>
          </w:hyperlink>
        </w:p>
        <w:p w14:paraId="1FEB58CC" w14:textId="77777777" w:rsidR="009F64A1" w:rsidRDefault="00974C36">
          <w:pPr>
            <w:pStyle w:val="TOC1"/>
            <w:tabs>
              <w:tab w:val="right" w:leader="dot" w:pos="9350"/>
            </w:tabs>
            <w:rPr>
              <w:rFonts w:asciiTheme="minorHAnsi" w:eastAsiaTheme="minorEastAsia" w:hAnsiTheme="minorHAnsi" w:cstheme="minorBidi"/>
              <w:noProof/>
              <w:sz w:val="22"/>
              <w:szCs w:val="22"/>
              <w:lang w:bidi="ar-SA"/>
            </w:rPr>
          </w:pPr>
          <w:hyperlink w:anchor="_Toc433373682" w:history="1">
            <w:r w:rsidR="009F64A1" w:rsidRPr="009A0D62">
              <w:rPr>
                <w:rStyle w:val="Hyperlink"/>
                <w:noProof/>
              </w:rPr>
              <w:t>References</w:t>
            </w:r>
            <w:r w:rsidR="009F64A1">
              <w:rPr>
                <w:noProof/>
                <w:webHidden/>
              </w:rPr>
              <w:tab/>
            </w:r>
            <w:r w:rsidR="009F64A1">
              <w:rPr>
                <w:noProof/>
                <w:webHidden/>
              </w:rPr>
              <w:fldChar w:fldCharType="begin"/>
            </w:r>
            <w:r w:rsidR="009F64A1">
              <w:rPr>
                <w:noProof/>
                <w:webHidden/>
              </w:rPr>
              <w:instrText xml:space="preserve"> PAGEREF _Toc433373682 \h </w:instrText>
            </w:r>
            <w:r w:rsidR="009F64A1">
              <w:rPr>
                <w:noProof/>
                <w:webHidden/>
              </w:rPr>
            </w:r>
            <w:r w:rsidR="009F64A1">
              <w:rPr>
                <w:noProof/>
                <w:webHidden/>
              </w:rPr>
              <w:fldChar w:fldCharType="separate"/>
            </w:r>
            <w:r w:rsidR="009F64A1">
              <w:rPr>
                <w:noProof/>
                <w:webHidden/>
              </w:rPr>
              <w:t>62</w:t>
            </w:r>
            <w:r w:rsidR="009F64A1">
              <w:rPr>
                <w:noProof/>
                <w:webHidden/>
              </w:rPr>
              <w:fldChar w:fldCharType="end"/>
            </w:r>
          </w:hyperlink>
        </w:p>
        <w:p w14:paraId="22BA4215" w14:textId="77777777" w:rsidR="009F64A1" w:rsidRDefault="00974C36">
          <w:pPr>
            <w:pStyle w:val="TOC1"/>
            <w:tabs>
              <w:tab w:val="right" w:leader="dot" w:pos="9350"/>
            </w:tabs>
            <w:rPr>
              <w:rFonts w:asciiTheme="minorHAnsi" w:eastAsiaTheme="minorEastAsia" w:hAnsiTheme="minorHAnsi" w:cstheme="minorBidi"/>
              <w:noProof/>
              <w:sz w:val="22"/>
              <w:szCs w:val="22"/>
              <w:lang w:bidi="ar-SA"/>
            </w:rPr>
          </w:pPr>
          <w:hyperlink w:anchor="_Toc433373683" w:history="1">
            <w:r w:rsidR="009F64A1" w:rsidRPr="009A0D62">
              <w:rPr>
                <w:rStyle w:val="Hyperlink"/>
                <w:noProof/>
              </w:rPr>
              <w:t>Appendix A. Notes on Revenue Data and Revenue Estimation.</w:t>
            </w:r>
            <w:r w:rsidR="009F64A1">
              <w:rPr>
                <w:noProof/>
                <w:webHidden/>
              </w:rPr>
              <w:tab/>
            </w:r>
            <w:r w:rsidR="009F64A1">
              <w:rPr>
                <w:noProof/>
                <w:webHidden/>
              </w:rPr>
              <w:fldChar w:fldCharType="begin"/>
            </w:r>
            <w:r w:rsidR="009F64A1">
              <w:rPr>
                <w:noProof/>
                <w:webHidden/>
              </w:rPr>
              <w:instrText xml:space="preserve"> PAGEREF _Toc433373683 \h </w:instrText>
            </w:r>
            <w:r w:rsidR="009F64A1">
              <w:rPr>
                <w:noProof/>
                <w:webHidden/>
              </w:rPr>
            </w:r>
            <w:r w:rsidR="009F64A1">
              <w:rPr>
                <w:noProof/>
                <w:webHidden/>
              </w:rPr>
              <w:fldChar w:fldCharType="separate"/>
            </w:r>
            <w:r w:rsidR="009F64A1">
              <w:rPr>
                <w:noProof/>
                <w:webHidden/>
              </w:rPr>
              <w:t>67</w:t>
            </w:r>
            <w:r w:rsidR="009F64A1">
              <w:rPr>
                <w:noProof/>
                <w:webHidden/>
              </w:rPr>
              <w:fldChar w:fldCharType="end"/>
            </w:r>
          </w:hyperlink>
        </w:p>
        <w:p w14:paraId="5E85ED67"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84" w:history="1">
            <w:r w:rsidR="009F64A1" w:rsidRPr="009A0D62">
              <w:rPr>
                <w:rStyle w:val="Hyperlink"/>
                <w:noProof/>
              </w:rPr>
              <w:t>Census Bureau Revenue Data</w:t>
            </w:r>
            <w:r w:rsidR="009F64A1">
              <w:rPr>
                <w:noProof/>
                <w:webHidden/>
              </w:rPr>
              <w:tab/>
            </w:r>
            <w:r w:rsidR="009F64A1">
              <w:rPr>
                <w:noProof/>
                <w:webHidden/>
              </w:rPr>
              <w:fldChar w:fldCharType="begin"/>
            </w:r>
            <w:r w:rsidR="009F64A1">
              <w:rPr>
                <w:noProof/>
                <w:webHidden/>
              </w:rPr>
              <w:instrText xml:space="preserve"> PAGEREF _Toc433373684 \h </w:instrText>
            </w:r>
            <w:r w:rsidR="009F64A1">
              <w:rPr>
                <w:noProof/>
                <w:webHidden/>
              </w:rPr>
            </w:r>
            <w:r w:rsidR="009F64A1">
              <w:rPr>
                <w:noProof/>
                <w:webHidden/>
              </w:rPr>
              <w:fldChar w:fldCharType="separate"/>
            </w:r>
            <w:r w:rsidR="009F64A1">
              <w:rPr>
                <w:noProof/>
                <w:webHidden/>
              </w:rPr>
              <w:t>67</w:t>
            </w:r>
            <w:r w:rsidR="009F64A1">
              <w:rPr>
                <w:noProof/>
                <w:webHidden/>
              </w:rPr>
              <w:fldChar w:fldCharType="end"/>
            </w:r>
          </w:hyperlink>
        </w:p>
        <w:p w14:paraId="52F17716"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85" w:history="1">
            <w:r w:rsidR="009F64A1" w:rsidRPr="009A0D62">
              <w:rPr>
                <w:rStyle w:val="Hyperlink"/>
                <w:noProof/>
              </w:rPr>
              <w:t>Herfindahl Index</w:t>
            </w:r>
            <w:r w:rsidR="009F64A1">
              <w:rPr>
                <w:noProof/>
                <w:webHidden/>
              </w:rPr>
              <w:tab/>
            </w:r>
            <w:r w:rsidR="009F64A1">
              <w:rPr>
                <w:noProof/>
                <w:webHidden/>
              </w:rPr>
              <w:fldChar w:fldCharType="begin"/>
            </w:r>
            <w:r w:rsidR="009F64A1">
              <w:rPr>
                <w:noProof/>
                <w:webHidden/>
              </w:rPr>
              <w:instrText xml:space="preserve"> PAGEREF _Toc433373685 \h </w:instrText>
            </w:r>
            <w:r w:rsidR="009F64A1">
              <w:rPr>
                <w:noProof/>
                <w:webHidden/>
              </w:rPr>
            </w:r>
            <w:r w:rsidR="009F64A1">
              <w:rPr>
                <w:noProof/>
                <w:webHidden/>
              </w:rPr>
              <w:fldChar w:fldCharType="separate"/>
            </w:r>
            <w:r w:rsidR="009F64A1">
              <w:rPr>
                <w:noProof/>
                <w:webHidden/>
              </w:rPr>
              <w:t>67</w:t>
            </w:r>
            <w:r w:rsidR="009F64A1">
              <w:rPr>
                <w:noProof/>
                <w:webHidden/>
              </w:rPr>
              <w:fldChar w:fldCharType="end"/>
            </w:r>
          </w:hyperlink>
        </w:p>
        <w:p w14:paraId="14726BB3"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86" w:history="1">
            <w:r w:rsidR="009F64A1" w:rsidRPr="009A0D62">
              <w:rPr>
                <w:rStyle w:val="Hyperlink"/>
                <w:noProof/>
              </w:rPr>
              <w:t>Estimating Sales Tax Revenue</w:t>
            </w:r>
            <w:r w:rsidR="009F64A1">
              <w:rPr>
                <w:noProof/>
                <w:webHidden/>
              </w:rPr>
              <w:tab/>
            </w:r>
            <w:r w:rsidR="009F64A1">
              <w:rPr>
                <w:noProof/>
                <w:webHidden/>
              </w:rPr>
              <w:fldChar w:fldCharType="begin"/>
            </w:r>
            <w:r w:rsidR="009F64A1">
              <w:rPr>
                <w:noProof/>
                <w:webHidden/>
              </w:rPr>
              <w:instrText xml:space="preserve"> PAGEREF _Toc433373686 \h </w:instrText>
            </w:r>
            <w:r w:rsidR="009F64A1">
              <w:rPr>
                <w:noProof/>
                <w:webHidden/>
              </w:rPr>
            </w:r>
            <w:r w:rsidR="009F64A1">
              <w:rPr>
                <w:noProof/>
                <w:webHidden/>
              </w:rPr>
              <w:fldChar w:fldCharType="separate"/>
            </w:r>
            <w:r w:rsidR="009F64A1">
              <w:rPr>
                <w:noProof/>
                <w:webHidden/>
              </w:rPr>
              <w:t>67</w:t>
            </w:r>
            <w:r w:rsidR="009F64A1">
              <w:rPr>
                <w:noProof/>
                <w:webHidden/>
              </w:rPr>
              <w:fldChar w:fldCharType="end"/>
            </w:r>
          </w:hyperlink>
        </w:p>
        <w:p w14:paraId="049A6A4D" w14:textId="77777777" w:rsidR="009F64A1" w:rsidRDefault="00974C36">
          <w:pPr>
            <w:pStyle w:val="TOC2"/>
            <w:tabs>
              <w:tab w:val="right" w:leader="dot" w:pos="9350"/>
            </w:tabs>
            <w:rPr>
              <w:rFonts w:asciiTheme="minorHAnsi" w:eastAsiaTheme="minorEastAsia" w:hAnsiTheme="minorHAnsi" w:cstheme="minorBidi"/>
              <w:noProof/>
              <w:sz w:val="22"/>
              <w:szCs w:val="22"/>
              <w:lang w:bidi="ar-SA"/>
            </w:rPr>
          </w:pPr>
          <w:hyperlink w:anchor="_Toc433373687" w:history="1">
            <w:r w:rsidR="009F64A1" w:rsidRPr="009A0D62">
              <w:rPr>
                <w:rStyle w:val="Hyperlink"/>
                <w:noProof/>
              </w:rPr>
              <w:t>Estimating Income Tax Revenue</w:t>
            </w:r>
            <w:r w:rsidR="009F64A1">
              <w:rPr>
                <w:noProof/>
                <w:webHidden/>
              </w:rPr>
              <w:tab/>
            </w:r>
            <w:r w:rsidR="009F64A1">
              <w:rPr>
                <w:noProof/>
                <w:webHidden/>
              </w:rPr>
              <w:fldChar w:fldCharType="begin"/>
            </w:r>
            <w:r w:rsidR="009F64A1">
              <w:rPr>
                <w:noProof/>
                <w:webHidden/>
              </w:rPr>
              <w:instrText xml:space="preserve"> PAGEREF _Toc433373687 \h </w:instrText>
            </w:r>
            <w:r w:rsidR="009F64A1">
              <w:rPr>
                <w:noProof/>
                <w:webHidden/>
              </w:rPr>
            </w:r>
            <w:r w:rsidR="009F64A1">
              <w:rPr>
                <w:noProof/>
                <w:webHidden/>
              </w:rPr>
              <w:fldChar w:fldCharType="separate"/>
            </w:r>
            <w:r w:rsidR="009F64A1">
              <w:rPr>
                <w:noProof/>
                <w:webHidden/>
              </w:rPr>
              <w:t>68</w:t>
            </w:r>
            <w:r w:rsidR="009F64A1">
              <w:rPr>
                <w:noProof/>
                <w:webHidden/>
              </w:rPr>
              <w:fldChar w:fldCharType="end"/>
            </w:r>
          </w:hyperlink>
        </w:p>
        <w:p w14:paraId="32ECCF42" w14:textId="77777777" w:rsidR="009F64A1" w:rsidRDefault="00974C36">
          <w:pPr>
            <w:pStyle w:val="TOC1"/>
            <w:tabs>
              <w:tab w:val="right" w:leader="dot" w:pos="9350"/>
            </w:tabs>
            <w:rPr>
              <w:rFonts w:asciiTheme="minorHAnsi" w:eastAsiaTheme="minorEastAsia" w:hAnsiTheme="minorHAnsi" w:cstheme="minorBidi"/>
              <w:noProof/>
              <w:sz w:val="22"/>
              <w:szCs w:val="22"/>
              <w:lang w:bidi="ar-SA"/>
            </w:rPr>
          </w:pPr>
          <w:hyperlink w:anchor="_Toc433373688" w:history="1">
            <w:r w:rsidR="009F64A1" w:rsidRPr="009A0D62">
              <w:rPr>
                <w:rStyle w:val="Hyperlink"/>
                <w:noProof/>
              </w:rPr>
              <w:t>Appendix B. Appendix Tables</w:t>
            </w:r>
            <w:r w:rsidR="009F64A1">
              <w:rPr>
                <w:noProof/>
                <w:webHidden/>
              </w:rPr>
              <w:tab/>
            </w:r>
            <w:r w:rsidR="009F64A1">
              <w:rPr>
                <w:noProof/>
                <w:webHidden/>
              </w:rPr>
              <w:fldChar w:fldCharType="begin"/>
            </w:r>
            <w:r w:rsidR="009F64A1">
              <w:rPr>
                <w:noProof/>
                <w:webHidden/>
              </w:rPr>
              <w:instrText xml:space="preserve"> PAGEREF _Toc433373688 \h </w:instrText>
            </w:r>
            <w:r w:rsidR="009F64A1">
              <w:rPr>
                <w:noProof/>
                <w:webHidden/>
              </w:rPr>
            </w:r>
            <w:r w:rsidR="009F64A1">
              <w:rPr>
                <w:noProof/>
                <w:webHidden/>
              </w:rPr>
              <w:fldChar w:fldCharType="separate"/>
            </w:r>
            <w:r w:rsidR="009F64A1">
              <w:rPr>
                <w:noProof/>
                <w:webHidden/>
              </w:rPr>
              <w:t>70</w:t>
            </w:r>
            <w:r w:rsidR="009F64A1">
              <w:rPr>
                <w:noProof/>
                <w:webHidden/>
              </w:rPr>
              <w:fldChar w:fldCharType="end"/>
            </w:r>
          </w:hyperlink>
        </w:p>
        <w:p w14:paraId="79B429A2" w14:textId="4C56E93F" w:rsidR="00FE36CD" w:rsidRDefault="00FE36CD" w:rsidP="00FB4562">
          <w:pPr>
            <w:rPr>
              <w:noProof/>
            </w:rPr>
          </w:pPr>
          <w:r>
            <w:rPr>
              <w:b/>
              <w:bCs/>
              <w:noProof/>
            </w:rPr>
            <w:fldChar w:fldCharType="end"/>
          </w:r>
        </w:p>
      </w:sdtContent>
    </w:sdt>
    <w:p w14:paraId="688B39CF" w14:textId="5B02BB7C" w:rsidR="00B01A28" w:rsidRPr="00B01A28" w:rsidRDefault="001060EA" w:rsidP="00FB4562">
      <w:pPr>
        <w:rPr>
          <w:b/>
          <w:bCs/>
          <w:noProof/>
        </w:rPr>
      </w:pPr>
      <w:r>
        <w:rPr>
          <w:b/>
          <w:noProof/>
        </w:rPr>
        <w:t>List</w:t>
      </w:r>
      <w:r w:rsidR="00B01A28" w:rsidRPr="00B01A28">
        <w:rPr>
          <w:b/>
          <w:noProof/>
        </w:rPr>
        <w:t xml:space="preserve"> of Tables</w:t>
      </w:r>
    </w:p>
    <w:p w14:paraId="45AB03D8" w14:textId="77777777" w:rsidR="009F64A1" w:rsidRPr="009F64A1" w:rsidRDefault="00040858">
      <w:pPr>
        <w:pStyle w:val="TableofFigures"/>
        <w:tabs>
          <w:tab w:val="right" w:leader="dot" w:pos="9350"/>
        </w:tabs>
        <w:rPr>
          <w:rFonts w:asciiTheme="minorHAnsi" w:eastAsiaTheme="minorEastAsia" w:hAnsiTheme="minorHAnsi" w:cstheme="minorBidi"/>
          <w:b w:val="0"/>
          <w:bCs w:val="0"/>
          <w:iCs w:val="0"/>
          <w:noProof/>
          <w:sz w:val="22"/>
          <w:szCs w:val="22"/>
          <w:lang w:bidi="ar-SA"/>
        </w:rPr>
      </w:pPr>
      <w:r>
        <w:fldChar w:fldCharType="begin"/>
      </w:r>
      <w:r>
        <w:instrText xml:space="preserve"> TOC \h \z \t "Heading 4" \c </w:instrText>
      </w:r>
      <w:r>
        <w:fldChar w:fldCharType="separate"/>
      </w:r>
      <w:hyperlink w:anchor="_Toc433373689" w:history="1">
        <w:r w:rsidR="009F64A1" w:rsidRPr="009F64A1">
          <w:rPr>
            <w:rStyle w:val="Hyperlink"/>
            <w:b w:val="0"/>
            <w:noProof/>
          </w:rPr>
          <w:t>Table 1. Measures of Revenue Diversity, 2012</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_Toc433373689 \h </w:instrText>
        </w:r>
        <w:r w:rsidR="009F64A1" w:rsidRPr="009F64A1">
          <w:rPr>
            <w:b w:val="0"/>
            <w:noProof/>
            <w:webHidden/>
          </w:rPr>
        </w:r>
        <w:r w:rsidR="009F64A1" w:rsidRPr="009F64A1">
          <w:rPr>
            <w:b w:val="0"/>
            <w:noProof/>
            <w:webHidden/>
          </w:rPr>
          <w:fldChar w:fldCharType="separate"/>
        </w:r>
        <w:r w:rsidR="009F64A1" w:rsidRPr="009F64A1">
          <w:rPr>
            <w:b w:val="0"/>
            <w:noProof/>
            <w:webHidden/>
          </w:rPr>
          <w:t>13</w:t>
        </w:r>
        <w:r w:rsidR="009F64A1" w:rsidRPr="009F64A1">
          <w:rPr>
            <w:b w:val="0"/>
            <w:noProof/>
            <w:webHidden/>
          </w:rPr>
          <w:fldChar w:fldCharType="end"/>
        </w:r>
      </w:hyperlink>
    </w:p>
    <w:p w14:paraId="4CBF5EF8"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690" w:history="1">
        <w:r w:rsidR="009F64A1" w:rsidRPr="009F64A1">
          <w:rPr>
            <w:rStyle w:val="Hyperlink"/>
            <w:b w:val="0"/>
            <w:noProof/>
          </w:rPr>
          <w:t>Table 2. Local Sales Tax Revenue as a Percentage of Local Tax Revenue, 2012</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_Toc433373690 \h </w:instrText>
        </w:r>
        <w:r w:rsidR="009F64A1" w:rsidRPr="009F64A1">
          <w:rPr>
            <w:b w:val="0"/>
            <w:noProof/>
            <w:webHidden/>
          </w:rPr>
        </w:r>
        <w:r w:rsidR="009F64A1" w:rsidRPr="009F64A1">
          <w:rPr>
            <w:b w:val="0"/>
            <w:noProof/>
            <w:webHidden/>
          </w:rPr>
          <w:fldChar w:fldCharType="separate"/>
        </w:r>
        <w:r w:rsidR="009F64A1" w:rsidRPr="009F64A1">
          <w:rPr>
            <w:b w:val="0"/>
            <w:noProof/>
            <w:webHidden/>
          </w:rPr>
          <w:t>20</w:t>
        </w:r>
        <w:r w:rsidR="009F64A1" w:rsidRPr="009F64A1">
          <w:rPr>
            <w:b w:val="0"/>
            <w:noProof/>
            <w:webHidden/>
          </w:rPr>
          <w:fldChar w:fldCharType="end"/>
        </w:r>
      </w:hyperlink>
    </w:p>
    <w:p w14:paraId="64AB2057"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691" w:history="1">
        <w:r w:rsidR="009F64A1" w:rsidRPr="009F64A1">
          <w:rPr>
            <w:rStyle w:val="Hyperlink"/>
            <w:b w:val="0"/>
            <w:noProof/>
          </w:rPr>
          <w:t>Table 3. Local and Regional Sales Taxes</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_Toc433373691 \h </w:instrText>
        </w:r>
        <w:r w:rsidR="009F64A1" w:rsidRPr="009F64A1">
          <w:rPr>
            <w:b w:val="0"/>
            <w:noProof/>
            <w:webHidden/>
          </w:rPr>
        </w:r>
        <w:r w:rsidR="009F64A1" w:rsidRPr="009F64A1">
          <w:rPr>
            <w:b w:val="0"/>
            <w:noProof/>
            <w:webHidden/>
          </w:rPr>
          <w:fldChar w:fldCharType="separate"/>
        </w:r>
        <w:r w:rsidR="009F64A1" w:rsidRPr="009F64A1">
          <w:rPr>
            <w:b w:val="0"/>
            <w:noProof/>
            <w:webHidden/>
          </w:rPr>
          <w:t>31</w:t>
        </w:r>
        <w:r w:rsidR="009F64A1" w:rsidRPr="009F64A1">
          <w:rPr>
            <w:b w:val="0"/>
            <w:noProof/>
            <w:webHidden/>
          </w:rPr>
          <w:fldChar w:fldCharType="end"/>
        </w:r>
      </w:hyperlink>
    </w:p>
    <w:p w14:paraId="1404980E"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692" w:history="1">
        <w:r w:rsidR="009F64A1" w:rsidRPr="009F64A1">
          <w:rPr>
            <w:rStyle w:val="Hyperlink"/>
            <w:b w:val="0"/>
            <w:noProof/>
          </w:rPr>
          <w:t>Table 4. Local Income Tax Revenue as a Percentage of Local Tax Revenue, 2012</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_Toc433373692 \h </w:instrText>
        </w:r>
        <w:r w:rsidR="009F64A1" w:rsidRPr="009F64A1">
          <w:rPr>
            <w:b w:val="0"/>
            <w:noProof/>
            <w:webHidden/>
          </w:rPr>
        </w:r>
        <w:r w:rsidR="009F64A1" w:rsidRPr="009F64A1">
          <w:rPr>
            <w:b w:val="0"/>
            <w:noProof/>
            <w:webHidden/>
          </w:rPr>
          <w:fldChar w:fldCharType="separate"/>
        </w:r>
        <w:r w:rsidR="009F64A1" w:rsidRPr="009F64A1">
          <w:rPr>
            <w:b w:val="0"/>
            <w:noProof/>
            <w:webHidden/>
          </w:rPr>
          <w:t>35</w:t>
        </w:r>
        <w:r w:rsidR="009F64A1" w:rsidRPr="009F64A1">
          <w:rPr>
            <w:b w:val="0"/>
            <w:noProof/>
            <w:webHidden/>
          </w:rPr>
          <w:fldChar w:fldCharType="end"/>
        </w:r>
      </w:hyperlink>
    </w:p>
    <w:p w14:paraId="0F49FA86"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693" w:history="1">
        <w:r w:rsidR="009F64A1" w:rsidRPr="009F64A1">
          <w:rPr>
            <w:rStyle w:val="Hyperlink"/>
            <w:b w:val="0"/>
            <w:noProof/>
          </w:rPr>
          <w:t>Table 5. Tax Revenue for Residence-base Tax</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_Toc433373693 \h </w:instrText>
        </w:r>
        <w:r w:rsidR="009F64A1" w:rsidRPr="009F64A1">
          <w:rPr>
            <w:b w:val="0"/>
            <w:noProof/>
            <w:webHidden/>
          </w:rPr>
        </w:r>
        <w:r w:rsidR="009F64A1" w:rsidRPr="009F64A1">
          <w:rPr>
            <w:b w:val="0"/>
            <w:noProof/>
            <w:webHidden/>
          </w:rPr>
          <w:fldChar w:fldCharType="separate"/>
        </w:r>
        <w:r w:rsidR="009F64A1" w:rsidRPr="009F64A1">
          <w:rPr>
            <w:b w:val="0"/>
            <w:noProof/>
            <w:webHidden/>
          </w:rPr>
          <w:t>45</w:t>
        </w:r>
        <w:r w:rsidR="009F64A1" w:rsidRPr="009F64A1">
          <w:rPr>
            <w:b w:val="0"/>
            <w:noProof/>
            <w:webHidden/>
          </w:rPr>
          <w:fldChar w:fldCharType="end"/>
        </w:r>
      </w:hyperlink>
    </w:p>
    <w:p w14:paraId="241CAB51"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694" w:history="1">
        <w:r w:rsidR="009F64A1" w:rsidRPr="009F64A1">
          <w:rPr>
            <w:rStyle w:val="Hyperlink"/>
            <w:b w:val="0"/>
            <w:noProof/>
          </w:rPr>
          <w:t>Table 6. Distribution of the Ratio of Payroll Tax Revenue to Resident-only Tax Revenue</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_Toc433373694 \h </w:instrText>
        </w:r>
        <w:r w:rsidR="009F64A1" w:rsidRPr="009F64A1">
          <w:rPr>
            <w:b w:val="0"/>
            <w:noProof/>
            <w:webHidden/>
          </w:rPr>
        </w:r>
        <w:r w:rsidR="009F64A1" w:rsidRPr="009F64A1">
          <w:rPr>
            <w:b w:val="0"/>
            <w:noProof/>
            <w:webHidden/>
          </w:rPr>
          <w:fldChar w:fldCharType="separate"/>
        </w:r>
        <w:r w:rsidR="009F64A1" w:rsidRPr="009F64A1">
          <w:rPr>
            <w:b w:val="0"/>
            <w:noProof/>
            <w:webHidden/>
          </w:rPr>
          <w:t>45</w:t>
        </w:r>
        <w:r w:rsidR="009F64A1" w:rsidRPr="009F64A1">
          <w:rPr>
            <w:b w:val="0"/>
            <w:noProof/>
            <w:webHidden/>
          </w:rPr>
          <w:fldChar w:fldCharType="end"/>
        </w:r>
      </w:hyperlink>
    </w:p>
    <w:p w14:paraId="7AE50496"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695" w:history="1">
        <w:r w:rsidR="009F64A1" w:rsidRPr="009F64A1">
          <w:rPr>
            <w:rStyle w:val="Hyperlink"/>
            <w:b w:val="0"/>
            <w:noProof/>
          </w:rPr>
          <w:t>Table 7. Potential Reduction in Property Tax</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_Toc433373695 \h </w:instrText>
        </w:r>
        <w:r w:rsidR="009F64A1" w:rsidRPr="009F64A1">
          <w:rPr>
            <w:b w:val="0"/>
            <w:noProof/>
            <w:webHidden/>
          </w:rPr>
        </w:r>
        <w:r w:rsidR="009F64A1" w:rsidRPr="009F64A1">
          <w:rPr>
            <w:b w:val="0"/>
            <w:noProof/>
            <w:webHidden/>
          </w:rPr>
          <w:fldChar w:fldCharType="separate"/>
        </w:r>
        <w:r w:rsidR="009F64A1" w:rsidRPr="009F64A1">
          <w:rPr>
            <w:b w:val="0"/>
            <w:noProof/>
            <w:webHidden/>
          </w:rPr>
          <w:t>48</w:t>
        </w:r>
        <w:r w:rsidR="009F64A1" w:rsidRPr="009F64A1">
          <w:rPr>
            <w:b w:val="0"/>
            <w:noProof/>
            <w:webHidden/>
          </w:rPr>
          <w:fldChar w:fldCharType="end"/>
        </w:r>
      </w:hyperlink>
    </w:p>
    <w:p w14:paraId="3EEDD73E"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696" w:history="1">
        <w:r w:rsidR="009F64A1" w:rsidRPr="009F64A1">
          <w:rPr>
            <w:rStyle w:val="Hyperlink"/>
            <w:b w:val="0"/>
            <w:noProof/>
          </w:rPr>
          <w:t>Table 8. Local Income Tax Revenue</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_Toc433373696 \h </w:instrText>
        </w:r>
        <w:r w:rsidR="009F64A1" w:rsidRPr="009F64A1">
          <w:rPr>
            <w:b w:val="0"/>
            <w:noProof/>
            <w:webHidden/>
          </w:rPr>
        </w:r>
        <w:r w:rsidR="009F64A1" w:rsidRPr="009F64A1">
          <w:rPr>
            <w:b w:val="0"/>
            <w:noProof/>
            <w:webHidden/>
          </w:rPr>
          <w:fldChar w:fldCharType="separate"/>
        </w:r>
        <w:r w:rsidR="009F64A1" w:rsidRPr="009F64A1">
          <w:rPr>
            <w:b w:val="0"/>
            <w:noProof/>
            <w:webHidden/>
          </w:rPr>
          <w:t>49</w:t>
        </w:r>
        <w:r w:rsidR="009F64A1" w:rsidRPr="009F64A1">
          <w:rPr>
            <w:b w:val="0"/>
            <w:noProof/>
            <w:webHidden/>
          </w:rPr>
          <w:fldChar w:fldCharType="end"/>
        </w:r>
      </w:hyperlink>
    </w:p>
    <w:p w14:paraId="45673CF7"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697" w:history="1">
        <w:r w:rsidR="009F64A1" w:rsidRPr="009F64A1">
          <w:rPr>
            <w:rStyle w:val="Hyperlink"/>
            <w:b w:val="0"/>
            <w:noProof/>
          </w:rPr>
          <w:t>Table 9.   Income Tax Revenue as a Percent of Property Tax Revenue</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_Toc433373697 \h </w:instrText>
        </w:r>
        <w:r w:rsidR="009F64A1" w:rsidRPr="009F64A1">
          <w:rPr>
            <w:b w:val="0"/>
            <w:noProof/>
            <w:webHidden/>
          </w:rPr>
        </w:r>
        <w:r w:rsidR="009F64A1" w:rsidRPr="009F64A1">
          <w:rPr>
            <w:b w:val="0"/>
            <w:noProof/>
            <w:webHidden/>
          </w:rPr>
          <w:fldChar w:fldCharType="separate"/>
        </w:r>
        <w:r w:rsidR="009F64A1" w:rsidRPr="009F64A1">
          <w:rPr>
            <w:b w:val="0"/>
            <w:noProof/>
            <w:webHidden/>
          </w:rPr>
          <w:t>50</w:t>
        </w:r>
        <w:r w:rsidR="009F64A1" w:rsidRPr="009F64A1">
          <w:rPr>
            <w:b w:val="0"/>
            <w:noProof/>
            <w:webHidden/>
          </w:rPr>
          <w:fldChar w:fldCharType="end"/>
        </w:r>
      </w:hyperlink>
    </w:p>
    <w:p w14:paraId="249AA899"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698" w:history="1">
        <w:r w:rsidR="009F64A1" w:rsidRPr="009F64A1">
          <w:rPr>
            <w:rStyle w:val="Hyperlink"/>
            <w:b w:val="0"/>
            <w:noProof/>
          </w:rPr>
          <w:t>Table 10. Current Charges as a Share of OSR, 2012</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_Toc433373698 \h </w:instrText>
        </w:r>
        <w:r w:rsidR="009F64A1" w:rsidRPr="009F64A1">
          <w:rPr>
            <w:b w:val="0"/>
            <w:noProof/>
            <w:webHidden/>
          </w:rPr>
        </w:r>
        <w:r w:rsidR="009F64A1" w:rsidRPr="009F64A1">
          <w:rPr>
            <w:b w:val="0"/>
            <w:noProof/>
            <w:webHidden/>
          </w:rPr>
          <w:fldChar w:fldCharType="separate"/>
        </w:r>
        <w:r w:rsidR="009F64A1" w:rsidRPr="009F64A1">
          <w:rPr>
            <w:b w:val="0"/>
            <w:noProof/>
            <w:webHidden/>
          </w:rPr>
          <w:t>55</w:t>
        </w:r>
        <w:r w:rsidR="009F64A1" w:rsidRPr="009F64A1">
          <w:rPr>
            <w:b w:val="0"/>
            <w:noProof/>
            <w:webHidden/>
          </w:rPr>
          <w:fldChar w:fldCharType="end"/>
        </w:r>
      </w:hyperlink>
    </w:p>
    <w:p w14:paraId="5C42B964"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699" w:history="1">
        <w:r w:rsidR="009F64A1" w:rsidRPr="009F64A1">
          <w:rPr>
            <w:rStyle w:val="Hyperlink"/>
            <w:b w:val="0"/>
            <w:noProof/>
          </w:rPr>
          <w:t>Table 11. Current Charges by Function, 2012</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_Toc433373699 \h </w:instrText>
        </w:r>
        <w:r w:rsidR="009F64A1" w:rsidRPr="009F64A1">
          <w:rPr>
            <w:b w:val="0"/>
            <w:noProof/>
            <w:webHidden/>
          </w:rPr>
        </w:r>
        <w:r w:rsidR="009F64A1" w:rsidRPr="009F64A1">
          <w:rPr>
            <w:b w:val="0"/>
            <w:noProof/>
            <w:webHidden/>
          </w:rPr>
          <w:fldChar w:fldCharType="separate"/>
        </w:r>
        <w:r w:rsidR="009F64A1" w:rsidRPr="009F64A1">
          <w:rPr>
            <w:b w:val="0"/>
            <w:noProof/>
            <w:webHidden/>
          </w:rPr>
          <w:t>56</w:t>
        </w:r>
        <w:r w:rsidR="009F64A1" w:rsidRPr="009F64A1">
          <w:rPr>
            <w:b w:val="0"/>
            <w:noProof/>
            <w:webHidden/>
          </w:rPr>
          <w:fldChar w:fldCharType="end"/>
        </w:r>
      </w:hyperlink>
    </w:p>
    <w:p w14:paraId="06CF19EF"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00" w:history="1">
        <w:r w:rsidR="009F64A1" w:rsidRPr="009F64A1">
          <w:rPr>
            <w:rStyle w:val="Hyperlink"/>
            <w:b w:val="0"/>
            <w:noProof/>
          </w:rPr>
          <w:t>Table A1. Local and Regional Sales Tax Revenue and Fiscal Disparity Index</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_Toc433373700 \h </w:instrText>
        </w:r>
        <w:r w:rsidR="009F64A1" w:rsidRPr="009F64A1">
          <w:rPr>
            <w:b w:val="0"/>
            <w:noProof/>
            <w:webHidden/>
          </w:rPr>
        </w:r>
        <w:r w:rsidR="009F64A1" w:rsidRPr="009F64A1">
          <w:rPr>
            <w:b w:val="0"/>
            <w:noProof/>
            <w:webHidden/>
          </w:rPr>
          <w:fldChar w:fldCharType="separate"/>
        </w:r>
        <w:r w:rsidR="009F64A1" w:rsidRPr="009F64A1">
          <w:rPr>
            <w:b w:val="0"/>
            <w:noProof/>
            <w:webHidden/>
          </w:rPr>
          <w:t>70</w:t>
        </w:r>
        <w:r w:rsidR="009F64A1" w:rsidRPr="009F64A1">
          <w:rPr>
            <w:b w:val="0"/>
            <w:noProof/>
            <w:webHidden/>
          </w:rPr>
          <w:fldChar w:fldCharType="end"/>
        </w:r>
      </w:hyperlink>
    </w:p>
    <w:p w14:paraId="522288D1"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01" w:history="1">
        <w:r w:rsidR="009F64A1" w:rsidRPr="009F64A1">
          <w:rPr>
            <w:rStyle w:val="Hyperlink"/>
            <w:b w:val="0"/>
            <w:noProof/>
          </w:rPr>
          <w:t>Table A2. Demographic and Economic Variables for Case Study Cities</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_Toc433373701 \h </w:instrText>
        </w:r>
        <w:r w:rsidR="009F64A1" w:rsidRPr="009F64A1">
          <w:rPr>
            <w:b w:val="0"/>
            <w:noProof/>
            <w:webHidden/>
          </w:rPr>
        </w:r>
        <w:r w:rsidR="009F64A1" w:rsidRPr="009F64A1">
          <w:rPr>
            <w:b w:val="0"/>
            <w:noProof/>
            <w:webHidden/>
          </w:rPr>
          <w:fldChar w:fldCharType="separate"/>
        </w:r>
        <w:r w:rsidR="009F64A1" w:rsidRPr="009F64A1">
          <w:rPr>
            <w:b w:val="0"/>
            <w:noProof/>
            <w:webHidden/>
          </w:rPr>
          <w:t>74</w:t>
        </w:r>
        <w:r w:rsidR="009F64A1" w:rsidRPr="009F64A1">
          <w:rPr>
            <w:b w:val="0"/>
            <w:noProof/>
            <w:webHidden/>
          </w:rPr>
          <w:fldChar w:fldCharType="end"/>
        </w:r>
      </w:hyperlink>
    </w:p>
    <w:p w14:paraId="11E78D19"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02" w:history="1">
        <w:r w:rsidR="009F64A1" w:rsidRPr="009F64A1">
          <w:rPr>
            <w:rStyle w:val="Hyperlink"/>
            <w:b w:val="0"/>
            <w:noProof/>
          </w:rPr>
          <w:t>Table A3. Local Income Tax Revenue</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_Toc433373702 \h </w:instrText>
        </w:r>
        <w:r w:rsidR="009F64A1" w:rsidRPr="009F64A1">
          <w:rPr>
            <w:b w:val="0"/>
            <w:noProof/>
            <w:webHidden/>
          </w:rPr>
        </w:r>
        <w:r w:rsidR="009F64A1" w:rsidRPr="009F64A1">
          <w:rPr>
            <w:b w:val="0"/>
            <w:noProof/>
            <w:webHidden/>
          </w:rPr>
          <w:fldChar w:fldCharType="separate"/>
        </w:r>
        <w:r w:rsidR="009F64A1" w:rsidRPr="009F64A1">
          <w:rPr>
            <w:b w:val="0"/>
            <w:noProof/>
            <w:webHidden/>
          </w:rPr>
          <w:t>75</w:t>
        </w:r>
        <w:r w:rsidR="009F64A1" w:rsidRPr="009F64A1">
          <w:rPr>
            <w:b w:val="0"/>
            <w:noProof/>
            <w:webHidden/>
          </w:rPr>
          <w:fldChar w:fldCharType="end"/>
        </w:r>
      </w:hyperlink>
    </w:p>
    <w:p w14:paraId="1B39E6A9" w14:textId="77777777" w:rsidR="005831B2" w:rsidRDefault="00040858">
      <w:pPr>
        <w:pStyle w:val="TableofFigures"/>
        <w:tabs>
          <w:tab w:val="right" w:leader="dot" w:pos="9350"/>
        </w:tabs>
      </w:pPr>
      <w:r>
        <w:fldChar w:fldCharType="end"/>
      </w:r>
    </w:p>
    <w:p w14:paraId="57651254" w14:textId="41DDD0AB" w:rsidR="005831B2" w:rsidRPr="005831B2" w:rsidRDefault="001060EA">
      <w:pPr>
        <w:pStyle w:val="TableofFigures"/>
        <w:tabs>
          <w:tab w:val="right" w:leader="dot" w:pos="9350"/>
        </w:tabs>
      </w:pPr>
      <w:r>
        <w:rPr>
          <w:bCs w:val="0"/>
          <w:noProof/>
        </w:rPr>
        <w:t>List</w:t>
      </w:r>
      <w:r w:rsidR="005831B2" w:rsidRPr="005831B2">
        <w:rPr>
          <w:bCs w:val="0"/>
          <w:noProof/>
        </w:rPr>
        <w:t xml:space="preserve"> of </w:t>
      </w:r>
      <w:r w:rsidR="00040858">
        <w:rPr>
          <w:bCs w:val="0"/>
          <w:noProof/>
        </w:rPr>
        <w:t>Figures</w:t>
      </w:r>
    </w:p>
    <w:p w14:paraId="0F2C639E" w14:textId="77777777" w:rsidR="009F64A1" w:rsidRPr="009F64A1" w:rsidRDefault="006F7202">
      <w:pPr>
        <w:pStyle w:val="TableofFigures"/>
        <w:tabs>
          <w:tab w:val="right" w:leader="dot" w:pos="9350"/>
        </w:tabs>
        <w:rPr>
          <w:rFonts w:asciiTheme="minorHAnsi" w:eastAsiaTheme="minorEastAsia" w:hAnsiTheme="minorHAnsi" w:cstheme="minorBidi"/>
          <w:b w:val="0"/>
          <w:bCs w:val="0"/>
          <w:iCs w:val="0"/>
          <w:noProof/>
          <w:sz w:val="22"/>
          <w:szCs w:val="22"/>
          <w:lang w:bidi="ar-SA"/>
        </w:rPr>
      </w:pPr>
      <w:r>
        <w:rPr>
          <w:b w:val="0"/>
          <w:bCs w:val="0"/>
          <w:iCs w:val="0"/>
        </w:rPr>
        <w:fldChar w:fldCharType="begin"/>
      </w:r>
      <w:r>
        <w:rPr>
          <w:b w:val="0"/>
          <w:bCs w:val="0"/>
          <w:iCs w:val="0"/>
        </w:rPr>
        <w:instrText xml:space="preserve"> TOC \h \z \t "Heading 5" \c </w:instrText>
      </w:r>
      <w:r>
        <w:rPr>
          <w:b w:val="0"/>
          <w:bCs w:val="0"/>
          <w:iCs w:val="0"/>
        </w:rPr>
        <w:fldChar w:fldCharType="separate"/>
      </w:r>
      <w:hyperlink w:anchor="_Toc433373703" w:history="1">
        <w:r w:rsidR="009F64A1" w:rsidRPr="009F64A1">
          <w:rPr>
            <w:rStyle w:val="Hyperlink"/>
            <w:b w:val="0"/>
            <w:noProof/>
          </w:rPr>
          <w:t>Figure 1. Estimated Regional and Local Sales Tax Revenue</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_Toc433373703 \h </w:instrText>
        </w:r>
        <w:r w:rsidR="009F64A1" w:rsidRPr="009F64A1">
          <w:rPr>
            <w:b w:val="0"/>
            <w:noProof/>
            <w:webHidden/>
          </w:rPr>
        </w:r>
        <w:r w:rsidR="009F64A1" w:rsidRPr="009F64A1">
          <w:rPr>
            <w:b w:val="0"/>
            <w:noProof/>
            <w:webHidden/>
          </w:rPr>
          <w:fldChar w:fldCharType="separate"/>
        </w:r>
        <w:r w:rsidR="009F64A1" w:rsidRPr="009F64A1">
          <w:rPr>
            <w:b w:val="0"/>
            <w:noProof/>
            <w:webHidden/>
          </w:rPr>
          <w:t>28</w:t>
        </w:r>
        <w:r w:rsidR="009F64A1" w:rsidRPr="009F64A1">
          <w:rPr>
            <w:b w:val="0"/>
            <w:noProof/>
            <w:webHidden/>
          </w:rPr>
          <w:fldChar w:fldCharType="end"/>
        </w:r>
      </w:hyperlink>
    </w:p>
    <w:p w14:paraId="34F65AB9"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04" w:history="1">
        <w:r w:rsidR="009F64A1" w:rsidRPr="009F64A1">
          <w:rPr>
            <w:rStyle w:val="Hyperlink"/>
            <w:b w:val="0"/>
            <w:noProof/>
          </w:rPr>
          <w:t>Figure 2. Distribution of Estimated Sales Tax Revenue Per Capita</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_Toc433373704 \h </w:instrText>
        </w:r>
        <w:r w:rsidR="009F64A1" w:rsidRPr="009F64A1">
          <w:rPr>
            <w:b w:val="0"/>
            <w:noProof/>
            <w:webHidden/>
          </w:rPr>
        </w:r>
        <w:r w:rsidR="009F64A1" w:rsidRPr="009F64A1">
          <w:rPr>
            <w:b w:val="0"/>
            <w:noProof/>
            <w:webHidden/>
          </w:rPr>
          <w:fldChar w:fldCharType="separate"/>
        </w:r>
        <w:r w:rsidR="009F64A1" w:rsidRPr="009F64A1">
          <w:rPr>
            <w:b w:val="0"/>
            <w:noProof/>
            <w:webHidden/>
          </w:rPr>
          <w:t>29</w:t>
        </w:r>
        <w:r w:rsidR="009F64A1" w:rsidRPr="009F64A1">
          <w:rPr>
            <w:b w:val="0"/>
            <w:noProof/>
            <w:webHidden/>
          </w:rPr>
          <w:fldChar w:fldCharType="end"/>
        </w:r>
      </w:hyperlink>
    </w:p>
    <w:p w14:paraId="6A033921"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05" w:history="1">
        <w:r w:rsidR="009F64A1" w:rsidRPr="009F64A1">
          <w:rPr>
            <w:rStyle w:val="Hyperlink"/>
            <w:b w:val="0"/>
            <w:noProof/>
          </w:rPr>
          <w:t>Figure 3. Potential Percentage Reduction in Property Taxes Using Revenue from the Local Sales Tax and Regional Sales Tax</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_Toc433373705 \h </w:instrText>
        </w:r>
        <w:r w:rsidR="009F64A1" w:rsidRPr="009F64A1">
          <w:rPr>
            <w:b w:val="0"/>
            <w:noProof/>
            <w:webHidden/>
          </w:rPr>
        </w:r>
        <w:r w:rsidR="009F64A1" w:rsidRPr="009F64A1">
          <w:rPr>
            <w:b w:val="0"/>
            <w:noProof/>
            <w:webHidden/>
          </w:rPr>
          <w:fldChar w:fldCharType="separate"/>
        </w:r>
        <w:r w:rsidR="009F64A1" w:rsidRPr="009F64A1">
          <w:rPr>
            <w:b w:val="0"/>
            <w:noProof/>
            <w:webHidden/>
          </w:rPr>
          <w:t>30</w:t>
        </w:r>
        <w:r w:rsidR="009F64A1" w:rsidRPr="009F64A1">
          <w:rPr>
            <w:b w:val="0"/>
            <w:noProof/>
            <w:webHidden/>
          </w:rPr>
          <w:fldChar w:fldCharType="end"/>
        </w:r>
      </w:hyperlink>
    </w:p>
    <w:p w14:paraId="18B3A399"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06" w:history="1">
        <w:r w:rsidR="009F64A1" w:rsidRPr="009F64A1">
          <w:rPr>
            <w:rStyle w:val="Hyperlink"/>
            <w:b w:val="0"/>
            <w:noProof/>
          </w:rPr>
          <w:t>Figure 4. Local Sales Tax and Fiscal Disparities</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_Toc433373706 \h </w:instrText>
        </w:r>
        <w:r w:rsidR="009F64A1" w:rsidRPr="009F64A1">
          <w:rPr>
            <w:b w:val="0"/>
            <w:noProof/>
            <w:webHidden/>
          </w:rPr>
        </w:r>
        <w:r w:rsidR="009F64A1" w:rsidRPr="009F64A1">
          <w:rPr>
            <w:b w:val="0"/>
            <w:noProof/>
            <w:webHidden/>
          </w:rPr>
          <w:fldChar w:fldCharType="separate"/>
        </w:r>
        <w:r w:rsidR="009F64A1" w:rsidRPr="009F64A1">
          <w:rPr>
            <w:b w:val="0"/>
            <w:noProof/>
            <w:webHidden/>
          </w:rPr>
          <w:t>33</w:t>
        </w:r>
        <w:r w:rsidR="009F64A1" w:rsidRPr="009F64A1">
          <w:rPr>
            <w:b w:val="0"/>
            <w:noProof/>
            <w:webHidden/>
          </w:rPr>
          <w:fldChar w:fldCharType="end"/>
        </w:r>
      </w:hyperlink>
    </w:p>
    <w:p w14:paraId="3E97DAAE"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07" w:history="1">
        <w:r w:rsidR="009F64A1" w:rsidRPr="009F64A1">
          <w:rPr>
            <w:rStyle w:val="Hyperlink"/>
            <w:b w:val="0"/>
            <w:noProof/>
          </w:rPr>
          <w:t>Figure 5. Regional Sales Tax and Fiscal Disparities</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_Toc433373707 \h </w:instrText>
        </w:r>
        <w:r w:rsidR="009F64A1" w:rsidRPr="009F64A1">
          <w:rPr>
            <w:b w:val="0"/>
            <w:noProof/>
            <w:webHidden/>
          </w:rPr>
        </w:r>
        <w:r w:rsidR="009F64A1" w:rsidRPr="009F64A1">
          <w:rPr>
            <w:b w:val="0"/>
            <w:noProof/>
            <w:webHidden/>
          </w:rPr>
          <w:fldChar w:fldCharType="separate"/>
        </w:r>
        <w:r w:rsidR="009F64A1" w:rsidRPr="009F64A1">
          <w:rPr>
            <w:b w:val="0"/>
            <w:noProof/>
            <w:webHidden/>
          </w:rPr>
          <w:t>33</w:t>
        </w:r>
        <w:r w:rsidR="009F64A1" w:rsidRPr="009F64A1">
          <w:rPr>
            <w:b w:val="0"/>
            <w:noProof/>
            <w:webHidden/>
          </w:rPr>
          <w:fldChar w:fldCharType="end"/>
        </w:r>
      </w:hyperlink>
    </w:p>
    <w:p w14:paraId="62AD2498"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08" w:history="1">
        <w:r w:rsidR="009F64A1" w:rsidRPr="009F64A1">
          <w:rPr>
            <w:rStyle w:val="Hyperlink"/>
            <w:b w:val="0"/>
            <w:noProof/>
          </w:rPr>
          <w:t>Figure 6. Per Capita Income Tax Revenue for AGI Tax and Income Surtax</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_Toc433373708 \h </w:instrText>
        </w:r>
        <w:r w:rsidR="009F64A1" w:rsidRPr="009F64A1">
          <w:rPr>
            <w:b w:val="0"/>
            <w:noProof/>
            <w:webHidden/>
          </w:rPr>
        </w:r>
        <w:r w:rsidR="009F64A1" w:rsidRPr="009F64A1">
          <w:rPr>
            <w:b w:val="0"/>
            <w:noProof/>
            <w:webHidden/>
          </w:rPr>
          <w:fldChar w:fldCharType="separate"/>
        </w:r>
        <w:r w:rsidR="009F64A1" w:rsidRPr="009F64A1">
          <w:rPr>
            <w:b w:val="0"/>
            <w:noProof/>
            <w:webHidden/>
          </w:rPr>
          <w:t>44</w:t>
        </w:r>
        <w:r w:rsidR="009F64A1" w:rsidRPr="009F64A1">
          <w:rPr>
            <w:b w:val="0"/>
            <w:noProof/>
            <w:webHidden/>
          </w:rPr>
          <w:fldChar w:fldCharType="end"/>
        </w:r>
      </w:hyperlink>
    </w:p>
    <w:p w14:paraId="2761BDD4"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09" w:history="1">
        <w:r w:rsidR="009F64A1" w:rsidRPr="009F64A1">
          <w:rPr>
            <w:rStyle w:val="Hyperlink"/>
            <w:b w:val="0"/>
            <w:noProof/>
          </w:rPr>
          <w:t>Figure 7. Earned Income Tax Revenue per Capita</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_Toc433373709 \h </w:instrText>
        </w:r>
        <w:r w:rsidR="009F64A1" w:rsidRPr="009F64A1">
          <w:rPr>
            <w:b w:val="0"/>
            <w:noProof/>
            <w:webHidden/>
          </w:rPr>
        </w:r>
        <w:r w:rsidR="009F64A1" w:rsidRPr="009F64A1">
          <w:rPr>
            <w:b w:val="0"/>
            <w:noProof/>
            <w:webHidden/>
          </w:rPr>
          <w:fldChar w:fldCharType="separate"/>
        </w:r>
        <w:r w:rsidR="009F64A1" w:rsidRPr="009F64A1">
          <w:rPr>
            <w:b w:val="0"/>
            <w:noProof/>
            <w:webHidden/>
          </w:rPr>
          <w:t>46</w:t>
        </w:r>
        <w:r w:rsidR="009F64A1" w:rsidRPr="009F64A1">
          <w:rPr>
            <w:b w:val="0"/>
            <w:noProof/>
            <w:webHidden/>
          </w:rPr>
          <w:fldChar w:fldCharType="end"/>
        </w:r>
      </w:hyperlink>
    </w:p>
    <w:p w14:paraId="6BBC22FD"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10" w:history="1">
        <w:r w:rsidR="009F64A1" w:rsidRPr="009F64A1">
          <w:rPr>
            <w:rStyle w:val="Hyperlink"/>
            <w:b w:val="0"/>
            <w:noProof/>
          </w:rPr>
          <w:t>Figure 8. Income Tax per Capita</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_Toc433373710 \h </w:instrText>
        </w:r>
        <w:r w:rsidR="009F64A1" w:rsidRPr="009F64A1">
          <w:rPr>
            <w:b w:val="0"/>
            <w:noProof/>
            <w:webHidden/>
          </w:rPr>
        </w:r>
        <w:r w:rsidR="009F64A1" w:rsidRPr="009F64A1">
          <w:rPr>
            <w:b w:val="0"/>
            <w:noProof/>
            <w:webHidden/>
          </w:rPr>
          <w:fldChar w:fldCharType="separate"/>
        </w:r>
        <w:r w:rsidR="009F64A1" w:rsidRPr="009F64A1">
          <w:rPr>
            <w:b w:val="0"/>
            <w:noProof/>
            <w:webHidden/>
          </w:rPr>
          <w:t>47</w:t>
        </w:r>
        <w:r w:rsidR="009F64A1" w:rsidRPr="009F64A1">
          <w:rPr>
            <w:b w:val="0"/>
            <w:noProof/>
            <w:webHidden/>
          </w:rPr>
          <w:fldChar w:fldCharType="end"/>
        </w:r>
      </w:hyperlink>
    </w:p>
    <w:p w14:paraId="2B972DDC"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11" w:history="1">
        <w:r w:rsidR="009F64A1" w:rsidRPr="009F64A1">
          <w:rPr>
            <w:rStyle w:val="Hyperlink"/>
            <w:b w:val="0"/>
            <w:noProof/>
          </w:rPr>
          <w:t>Figure 9. Earnings and Net Profits as a Percentage of AGI, FY 2012</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_Toc433373711 \h </w:instrText>
        </w:r>
        <w:r w:rsidR="009F64A1" w:rsidRPr="009F64A1">
          <w:rPr>
            <w:b w:val="0"/>
            <w:noProof/>
            <w:webHidden/>
          </w:rPr>
        </w:r>
        <w:r w:rsidR="009F64A1" w:rsidRPr="009F64A1">
          <w:rPr>
            <w:b w:val="0"/>
            <w:noProof/>
            <w:webHidden/>
          </w:rPr>
          <w:fldChar w:fldCharType="separate"/>
        </w:r>
        <w:r w:rsidR="009F64A1" w:rsidRPr="009F64A1">
          <w:rPr>
            <w:b w:val="0"/>
            <w:noProof/>
            <w:webHidden/>
          </w:rPr>
          <w:t>51</w:t>
        </w:r>
        <w:r w:rsidR="009F64A1" w:rsidRPr="009F64A1">
          <w:rPr>
            <w:b w:val="0"/>
            <w:noProof/>
            <w:webHidden/>
          </w:rPr>
          <w:fldChar w:fldCharType="end"/>
        </w:r>
      </w:hyperlink>
    </w:p>
    <w:p w14:paraId="61C724C4"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12" w:history="1">
        <w:r w:rsidR="009F64A1" w:rsidRPr="009F64A1">
          <w:rPr>
            <w:rStyle w:val="Hyperlink"/>
            <w:b w:val="0"/>
            <w:noProof/>
          </w:rPr>
          <w:t>Figure 10. AGI Tax and Fiscal Disparities</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_Toc433373712 \h </w:instrText>
        </w:r>
        <w:r w:rsidR="009F64A1" w:rsidRPr="009F64A1">
          <w:rPr>
            <w:b w:val="0"/>
            <w:noProof/>
            <w:webHidden/>
          </w:rPr>
        </w:r>
        <w:r w:rsidR="009F64A1" w:rsidRPr="009F64A1">
          <w:rPr>
            <w:b w:val="0"/>
            <w:noProof/>
            <w:webHidden/>
          </w:rPr>
          <w:fldChar w:fldCharType="separate"/>
        </w:r>
        <w:r w:rsidR="009F64A1" w:rsidRPr="009F64A1">
          <w:rPr>
            <w:b w:val="0"/>
            <w:noProof/>
            <w:webHidden/>
          </w:rPr>
          <w:t>52</w:t>
        </w:r>
        <w:r w:rsidR="009F64A1" w:rsidRPr="009F64A1">
          <w:rPr>
            <w:b w:val="0"/>
            <w:noProof/>
            <w:webHidden/>
          </w:rPr>
          <w:fldChar w:fldCharType="end"/>
        </w:r>
      </w:hyperlink>
    </w:p>
    <w:p w14:paraId="2FDA56DC" w14:textId="77777777" w:rsidR="009F64A1" w:rsidRPr="009F64A1" w:rsidRDefault="00974C36">
      <w:pPr>
        <w:pStyle w:val="TableofFigures"/>
        <w:tabs>
          <w:tab w:val="right" w:leader="dot" w:pos="9350"/>
        </w:tabs>
        <w:rPr>
          <w:rFonts w:asciiTheme="minorHAnsi" w:eastAsiaTheme="minorEastAsia" w:hAnsiTheme="minorHAnsi" w:cstheme="minorBidi"/>
          <w:b w:val="0"/>
          <w:bCs w:val="0"/>
          <w:iCs w:val="0"/>
          <w:noProof/>
          <w:sz w:val="22"/>
          <w:szCs w:val="22"/>
          <w:lang w:bidi="ar-SA"/>
        </w:rPr>
      </w:pPr>
      <w:hyperlink w:anchor="_Toc433373713" w:history="1">
        <w:r w:rsidR="009F64A1" w:rsidRPr="009F64A1">
          <w:rPr>
            <w:rStyle w:val="Hyperlink"/>
            <w:b w:val="0"/>
            <w:noProof/>
          </w:rPr>
          <w:t>Figure 11. Payroll Tax and Fiscal Disparities</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_Toc433373713 \h </w:instrText>
        </w:r>
        <w:r w:rsidR="009F64A1" w:rsidRPr="009F64A1">
          <w:rPr>
            <w:b w:val="0"/>
            <w:noProof/>
            <w:webHidden/>
          </w:rPr>
        </w:r>
        <w:r w:rsidR="009F64A1" w:rsidRPr="009F64A1">
          <w:rPr>
            <w:b w:val="0"/>
            <w:noProof/>
            <w:webHidden/>
          </w:rPr>
          <w:fldChar w:fldCharType="separate"/>
        </w:r>
        <w:r w:rsidR="009F64A1" w:rsidRPr="009F64A1">
          <w:rPr>
            <w:b w:val="0"/>
            <w:noProof/>
            <w:webHidden/>
          </w:rPr>
          <w:t>52</w:t>
        </w:r>
        <w:r w:rsidR="009F64A1" w:rsidRPr="009F64A1">
          <w:rPr>
            <w:b w:val="0"/>
            <w:noProof/>
            <w:webHidden/>
          </w:rPr>
          <w:fldChar w:fldCharType="end"/>
        </w:r>
      </w:hyperlink>
    </w:p>
    <w:p w14:paraId="5AE358AA" w14:textId="33595930" w:rsidR="005831B2" w:rsidRDefault="00974C36" w:rsidP="00FF4666">
      <w:pPr>
        <w:pStyle w:val="TableofFigures"/>
        <w:tabs>
          <w:tab w:val="right" w:leader="dot" w:pos="9350"/>
        </w:tabs>
      </w:pPr>
      <w:hyperlink w:anchor="_Toc433373714" w:history="1">
        <w:r w:rsidR="009F64A1" w:rsidRPr="009F64A1">
          <w:rPr>
            <w:rStyle w:val="Hyperlink"/>
            <w:b w:val="0"/>
            <w:noProof/>
          </w:rPr>
          <w:t>Figure 12. Split Earnings Tax and Fiscal Disparities</w:t>
        </w:r>
        <w:r w:rsidR="009F64A1" w:rsidRPr="009F64A1">
          <w:rPr>
            <w:b w:val="0"/>
            <w:noProof/>
            <w:webHidden/>
          </w:rPr>
          <w:tab/>
        </w:r>
        <w:r w:rsidR="009F64A1" w:rsidRPr="009F64A1">
          <w:rPr>
            <w:b w:val="0"/>
            <w:noProof/>
            <w:webHidden/>
          </w:rPr>
          <w:fldChar w:fldCharType="begin"/>
        </w:r>
        <w:r w:rsidR="009F64A1" w:rsidRPr="009F64A1">
          <w:rPr>
            <w:b w:val="0"/>
            <w:noProof/>
            <w:webHidden/>
          </w:rPr>
          <w:instrText xml:space="preserve"> PAGEREF _Toc433373714 \h </w:instrText>
        </w:r>
        <w:r w:rsidR="009F64A1" w:rsidRPr="009F64A1">
          <w:rPr>
            <w:b w:val="0"/>
            <w:noProof/>
            <w:webHidden/>
          </w:rPr>
        </w:r>
        <w:r w:rsidR="009F64A1" w:rsidRPr="009F64A1">
          <w:rPr>
            <w:b w:val="0"/>
            <w:noProof/>
            <w:webHidden/>
          </w:rPr>
          <w:fldChar w:fldCharType="separate"/>
        </w:r>
        <w:r w:rsidR="009F64A1" w:rsidRPr="009F64A1">
          <w:rPr>
            <w:b w:val="0"/>
            <w:noProof/>
            <w:webHidden/>
          </w:rPr>
          <w:t>53</w:t>
        </w:r>
        <w:r w:rsidR="009F64A1" w:rsidRPr="009F64A1">
          <w:rPr>
            <w:b w:val="0"/>
            <w:noProof/>
            <w:webHidden/>
          </w:rPr>
          <w:fldChar w:fldCharType="end"/>
        </w:r>
      </w:hyperlink>
      <w:r w:rsidR="006F7202">
        <w:rPr>
          <w:b w:val="0"/>
          <w:bCs w:val="0"/>
          <w:iCs w:val="0"/>
        </w:rPr>
        <w:fldChar w:fldCharType="end"/>
      </w:r>
    </w:p>
    <w:p w14:paraId="28963369" w14:textId="24FA83F4" w:rsidR="00FE36CD" w:rsidRDefault="00FE36CD">
      <w:pPr>
        <w:spacing w:after="0" w:line="240" w:lineRule="auto"/>
        <w:sectPr w:rsidR="00FE36CD" w:rsidSect="00FB4562">
          <w:endnotePr>
            <w:numFmt w:val="decimal"/>
          </w:endnotePr>
          <w:pgSz w:w="12240" w:h="15840"/>
          <w:pgMar w:top="1440" w:right="1440" w:bottom="1440" w:left="1440" w:header="720" w:footer="720" w:gutter="0"/>
          <w:pgNumType w:fmt="lowerRoman" w:start="1"/>
          <w:cols w:space="720"/>
          <w:docGrid w:linePitch="360"/>
        </w:sectPr>
      </w:pPr>
      <w:r>
        <w:br w:type="page"/>
      </w:r>
    </w:p>
    <w:p w14:paraId="648F5EDC" w14:textId="1F51478A" w:rsidR="005C5DC7" w:rsidRDefault="005C5DC7" w:rsidP="00D73164">
      <w:pPr>
        <w:pStyle w:val="Heading1"/>
        <w:spacing w:before="0"/>
      </w:pPr>
      <w:bookmarkStart w:id="1" w:name="_Toc433373605"/>
      <w:r w:rsidRPr="000A6609">
        <w:lastRenderedPageBreak/>
        <w:t>Executive Summary</w:t>
      </w:r>
      <w:bookmarkEnd w:id="1"/>
    </w:p>
    <w:p w14:paraId="129D603C" w14:textId="5D418E3A" w:rsidR="00040858" w:rsidRDefault="004F257E" w:rsidP="00D73164">
      <w:pPr>
        <w:spacing w:after="0" w:line="360" w:lineRule="auto"/>
        <w:ind w:firstLine="720"/>
        <w:rPr>
          <w:color w:val="000000"/>
        </w:rPr>
      </w:pPr>
      <w:r>
        <w:rPr>
          <w:color w:val="000000"/>
        </w:rPr>
        <w:t>This report considers</w:t>
      </w:r>
      <w:r w:rsidR="00040858">
        <w:rPr>
          <w:color w:val="000000"/>
        </w:rPr>
        <w:t xml:space="preserve"> revenue diversity </w:t>
      </w:r>
      <w:r>
        <w:rPr>
          <w:color w:val="000000"/>
        </w:rPr>
        <w:t xml:space="preserve">among towns </w:t>
      </w:r>
      <w:r w:rsidR="00040858">
        <w:rPr>
          <w:color w:val="000000"/>
        </w:rPr>
        <w:t>in Connecticut and provides an analysis of three policy options for increasing local revenue diversity: adoption of local sales tax</w:t>
      </w:r>
      <w:r w:rsidR="00E80642">
        <w:rPr>
          <w:color w:val="000000"/>
        </w:rPr>
        <w:t>es</w:t>
      </w:r>
      <w:r w:rsidR="00040858">
        <w:rPr>
          <w:color w:val="000000"/>
        </w:rPr>
        <w:t>, adoption of local income tax</w:t>
      </w:r>
      <w:r w:rsidR="00E80642">
        <w:rPr>
          <w:color w:val="000000"/>
        </w:rPr>
        <w:t>es</w:t>
      </w:r>
      <w:r w:rsidR="00040858">
        <w:rPr>
          <w:color w:val="000000"/>
        </w:rPr>
        <w:t>, and increase</w:t>
      </w:r>
      <w:r w:rsidR="00E80642">
        <w:rPr>
          <w:color w:val="000000"/>
        </w:rPr>
        <w:t>s</w:t>
      </w:r>
      <w:r w:rsidR="00040858">
        <w:rPr>
          <w:color w:val="000000"/>
        </w:rPr>
        <w:t xml:space="preserve"> in fees and charges. </w:t>
      </w:r>
      <w:r>
        <w:rPr>
          <w:color w:val="000000"/>
        </w:rPr>
        <w:t xml:space="preserve">Each of these could also reduce local government reliance on property taxes. There are other policies that could be adopted that would increase revenue diversity and/or reduce reliance on the property tax, for example, a state grant program for towns or a property tax circuit breaker. </w:t>
      </w:r>
      <w:r w:rsidR="005945C5">
        <w:rPr>
          <w:color w:val="000000"/>
        </w:rPr>
        <w:t xml:space="preserve">Consideration of these </w:t>
      </w:r>
      <w:r w:rsidR="00E83855">
        <w:rPr>
          <w:color w:val="000000"/>
        </w:rPr>
        <w:t xml:space="preserve">other </w:t>
      </w:r>
      <w:r w:rsidR="005945C5">
        <w:rPr>
          <w:color w:val="000000"/>
        </w:rPr>
        <w:t>options are beyond the scope of this report.</w:t>
      </w:r>
    </w:p>
    <w:p w14:paraId="4F983AAD" w14:textId="77777777" w:rsidR="00D73164" w:rsidRDefault="00D73164" w:rsidP="00D73164">
      <w:pPr>
        <w:spacing w:after="0" w:line="360" w:lineRule="auto"/>
        <w:ind w:firstLine="720"/>
        <w:rPr>
          <w:color w:val="000000"/>
        </w:rPr>
      </w:pPr>
    </w:p>
    <w:p w14:paraId="3A819219" w14:textId="77777777" w:rsidR="00040858" w:rsidRPr="00E849D3" w:rsidRDefault="00040858" w:rsidP="00D73164">
      <w:pPr>
        <w:pStyle w:val="Heading2"/>
        <w:spacing w:before="0"/>
      </w:pPr>
      <w:bookmarkStart w:id="2" w:name="_Toc432058793"/>
      <w:bookmarkStart w:id="3" w:name="_Toc433373606"/>
      <w:r w:rsidRPr="00E849D3">
        <w:t xml:space="preserve">Current </w:t>
      </w:r>
      <w:bookmarkEnd w:id="2"/>
      <w:r>
        <w:t>Environment</w:t>
      </w:r>
      <w:bookmarkEnd w:id="3"/>
      <w:r w:rsidRPr="00E849D3">
        <w:t xml:space="preserve"> </w:t>
      </w:r>
    </w:p>
    <w:p w14:paraId="17CE9AAF" w14:textId="36FA2F99" w:rsidR="00040858" w:rsidRDefault="00040858" w:rsidP="00D73164">
      <w:pPr>
        <w:spacing w:after="0" w:line="360" w:lineRule="auto"/>
        <w:ind w:firstLine="720"/>
        <w:rPr>
          <w:bCs/>
        </w:rPr>
      </w:pPr>
      <w:r>
        <w:rPr>
          <w:color w:val="000000"/>
        </w:rPr>
        <w:t xml:space="preserve">Towns in Connecticut are not allowed to use local sales or local income taxes, and </w:t>
      </w:r>
      <w:r>
        <w:t xml:space="preserve">are second to the last among all states in terms of their relative reliance on user charges and fees. </w:t>
      </w:r>
      <w:r>
        <w:rPr>
          <w:color w:val="000000"/>
        </w:rPr>
        <w:t xml:space="preserve">The result is that local governments in Connecticut have the least diverse revenue structure of any state, and consequently rely relatively more heavily on property taxes than other states. In 2012, 88.0 percent of local </w:t>
      </w:r>
      <w:r w:rsidR="00E80642">
        <w:rPr>
          <w:color w:val="000000"/>
        </w:rPr>
        <w:t>government own source revenues</w:t>
      </w:r>
      <w:r>
        <w:rPr>
          <w:color w:val="000000"/>
        </w:rPr>
        <w:t xml:space="preserve"> in Connecticut were derived from property tax revenue (the highest percent of any state).</w:t>
      </w:r>
      <w:r w:rsidRPr="00785938">
        <w:t xml:space="preserve"> </w:t>
      </w:r>
      <w:r w:rsidR="00E80642">
        <w:t>Local governments in Connecticut are second to last among all states in terms of their relative reliance on user charges and fees.</w:t>
      </w:r>
    </w:p>
    <w:p w14:paraId="6C10D7A1" w14:textId="77777777" w:rsidR="00040858" w:rsidRDefault="00040858" w:rsidP="00D73164">
      <w:pPr>
        <w:spacing w:after="0" w:line="360" w:lineRule="auto"/>
        <w:ind w:firstLine="720"/>
        <w:rPr>
          <w:color w:val="000000"/>
        </w:rPr>
      </w:pPr>
      <w:r>
        <w:t xml:space="preserve">Other states allow local governments to adopt local option taxes. </w:t>
      </w:r>
      <w:r>
        <w:rPr>
          <w:color w:val="000000"/>
        </w:rPr>
        <w:t>A</w:t>
      </w:r>
      <w:r w:rsidRPr="00710363">
        <w:rPr>
          <w:color w:val="000000"/>
        </w:rPr>
        <w:t>s of 20</w:t>
      </w:r>
      <w:r>
        <w:rPr>
          <w:color w:val="000000"/>
        </w:rPr>
        <w:t>12</w:t>
      </w:r>
      <w:r w:rsidRPr="00710363">
        <w:rPr>
          <w:color w:val="000000"/>
        </w:rPr>
        <w:t xml:space="preserve">, </w:t>
      </w:r>
      <w:r>
        <w:rPr>
          <w:color w:val="000000"/>
        </w:rPr>
        <w:t xml:space="preserve">local governments in </w:t>
      </w:r>
      <w:r w:rsidRPr="00710363">
        <w:rPr>
          <w:color w:val="000000"/>
        </w:rPr>
        <w:t>3</w:t>
      </w:r>
      <w:r>
        <w:rPr>
          <w:color w:val="000000"/>
        </w:rPr>
        <w:t>4</w:t>
      </w:r>
      <w:r w:rsidRPr="00710363">
        <w:rPr>
          <w:color w:val="000000"/>
        </w:rPr>
        <w:t xml:space="preserve"> states</w:t>
      </w:r>
      <w:r>
        <w:rPr>
          <w:color w:val="000000"/>
        </w:rPr>
        <w:t xml:space="preserve"> relied on sales taxes</w:t>
      </w:r>
      <w:r w:rsidRPr="00710363">
        <w:rPr>
          <w:color w:val="000000"/>
        </w:rPr>
        <w:t>.</w:t>
      </w:r>
      <w:r>
        <w:rPr>
          <w:color w:val="000000"/>
        </w:rPr>
        <w:t xml:space="preserve"> The reliance on local sales taxes varies; </w:t>
      </w:r>
      <w:r w:rsidRPr="00710363">
        <w:rPr>
          <w:color w:val="000000"/>
        </w:rPr>
        <w:t xml:space="preserve">local sales tax revenue as a share of local tax revenue </w:t>
      </w:r>
      <w:r>
        <w:rPr>
          <w:color w:val="000000"/>
        </w:rPr>
        <w:t>ranged</w:t>
      </w:r>
      <w:r w:rsidRPr="00710363">
        <w:rPr>
          <w:color w:val="000000"/>
        </w:rPr>
        <w:t xml:space="preserve"> from </w:t>
      </w:r>
      <w:r>
        <w:rPr>
          <w:color w:val="000000"/>
        </w:rPr>
        <w:t>1.6 percent</w:t>
      </w:r>
      <w:r w:rsidRPr="00710363">
        <w:rPr>
          <w:color w:val="000000"/>
        </w:rPr>
        <w:t xml:space="preserve"> to </w:t>
      </w:r>
      <w:r>
        <w:rPr>
          <w:color w:val="000000"/>
        </w:rPr>
        <w:t>48.5</w:t>
      </w:r>
      <w:r w:rsidRPr="00710363">
        <w:rPr>
          <w:color w:val="000000"/>
        </w:rPr>
        <w:t xml:space="preserve"> percent</w:t>
      </w:r>
      <w:r>
        <w:rPr>
          <w:color w:val="000000"/>
        </w:rPr>
        <w:t xml:space="preserve">. </w:t>
      </w:r>
      <w:r w:rsidRPr="00710363">
        <w:rPr>
          <w:bCs/>
        </w:rPr>
        <w:t>In 20</w:t>
      </w:r>
      <w:r>
        <w:rPr>
          <w:bCs/>
        </w:rPr>
        <w:t>12</w:t>
      </w:r>
      <w:r w:rsidRPr="00710363">
        <w:rPr>
          <w:bCs/>
        </w:rPr>
        <w:t>, local income tax</w:t>
      </w:r>
      <w:r>
        <w:rPr>
          <w:bCs/>
        </w:rPr>
        <w:t>es were imposed in 12</w:t>
      </w:r>
      <w:r w:rsidRPr="00710363">
        <w:rPr>
          <w:bCs/>
        </w:rPr>
        <w:t xml:space="preserve"> states</w:t>
      </w:r>
      <w:r>
        <w:rPr>
          <w:bCs/>
        </w:rPr>
        <w:t xml:space="preserve">; </w:t>
      </w:r>
      <w:r w:rsidRPr="00710363">
        <w:rPr>
          <w:color w:val="000000"/>
        </w:rPr>
        <w:t xml:space="preserve">local </w:t>
      </w:r>
      <w:r>
        <w:rPr>
          <w:color w:val="000000"/>
        </w:rPr>
        <w:t xml:space="preserve">income </w:t>
      </w:r>
      <w:r w:rsidRPr="00710363">
        <w:rPr>
          <w:color w:val="000000"/>
        </w:rPr>
        <w:t xml:space="preserve">tax revenue as a share of local tax revenue </w:t>
      </w:r>
      <w:r>
        <w:rPr>
          <w:color w:val="000000"/>
        </w:rPr>
        <w:t>ranged</w:t>
      </w:r>
      <w:r w:rsidRPr="00710363">
        <w:rPr>
          <w:color w:val="000000"/>
        </w:rPr>
        <w:t xml:space="preserve"> from </w:t>
      </w:r>
      <w:r>
        <w:rPr>
          <w:color w:val="000000"/>
        </w:rPr>
        <w:t>less than one percent</w:t>
      </w:r>
      <w:r w:rsidRPr="00710363">
        <w:rPr>
          <w:color w:val="000000"/>
        </w:rPr>
        <w:t xml:space="preserve"> to </w:t>
      </w:r>
      <w:r>
        <w:rPr>
          <w:color w:val="000000"/>
        </w:rPr>
        <w:t>33.3</w:t>
      </w:r>
      <w:r w:rsidRPr="00710363">
        <w:rPr>
          <w:color w:val="000000"/>
        </w:rPr>
        <w:t xml:space="preserve"> percent</w:t>
      </w:r>
      <w:r>
        <w:rPr>
          <w:color w:val="000000"/>
        </w:rPr>
        <w:t>.</w:t>
      </w:r>
    </w:p>
    <w:p w14:paraId="1567C6A7" w14:textId="77777777" w:rsidR="00D73164" w:rsidRDefault="00D73164" w:rsidP="00D73164">
      <w:pPr>
        <w:spacing w:after="0" w:line="360" w:lineRule="auto"/>
        <w:ind w:firstLine="720"/>
        <w:rPr>
          <w:color w:val="000000"/>
        </w:rPr>
      </w:pPr>
    </w:p>
    <w:p w14:paraId="5D2D3432" w14:textId="77777777" w:rsidR="00040858" w:rsidRPr="00E849D3" w:rsidRDefault="00040858" w:rsidP="00D73164">
      <w:pPr>
        <w:pStyle w:val="Heading2"/>
        <w:spacing w:before="0"/>
      </w:pPr>
      <w:bookmarkStart w:id="4" w:name="_Toc432058794"/>
      <w:bookmarkStart w:id="5" w:name="_Toc433373607"/>
      <w:r w:rsidRPr="00E849D3">
        <w:t>Arguments For and Against Local Revenue Diversification</w:t>
      </w:r>
      <w:bookmarkEnd w:id="4"/>
      <w:bookmarkEnd w:id="5"/>
    </w:p>
    <w:p w14:paraId="220BC3AC" w14:textId="7D88B7B3" w:rsidR="00040858" w:rsidRDefault="00040858" w:rsidP="00D73164">
      <w:pPr>
        <w:spacing w:after="0" w:line="360" w:lineRule="auto"/>
        <w:ind w:firstLine="720"/>
      </w:pPr>
      <w:r w:rsidRPr="00E849D3">
        <w:rPr>
          <w:color w:val="000000"/>
        </w:rPr>
        <w:t xml:space="preserve">The principal reasons for adopting a local </w:t>
      </w:r>
      <w:r>
        <w:rPr>
          <w:color w:val="000000"/>
        </w:rPr>
        <w:t xml:space="preserve">option </w:t>
      </w:r>
      <w:r w:rsidRPr="00E849D3">
        <w:rPr>
          <w:color w:val="000000"/>
        </w:rPr>
        <w:t>tax</w:t>
      </w:r>
      <w:r>
        <w:rPr>
          <w:color w:val="000000"/>
        </w:rPr>
        <w:t xml:space="preserve"> or increasing charges and fees</w:t>
      </w:r>
      <w:r w:rsidRPr="00E849D3">
        <w:rPr>
          <w:color w:val="000000"/>
        </w:rPr>
        <w:t xml:space="preserve"> </w:t>
      </w:r>
      <w:r w:rsidR="00E83855">
        <w:rPr>
          <w:color w:val="000000"/>
        </w:rPr>
        <w:t>are</w:t>
      </w:r>
      <w:r w:rsidRPr="00E849D3">
        <w:rPr>
          <w:color w:val="000000"/>
        </w:rPr>
        <w:t xml:space="preserve"> that </w:t>
      </w:r>
      <w:r>
        <w:rPr>
          <w:color w:val="000000"/>
        </w:rPr>
        <w:t>they</w:t>
      </w:r>
      <w:r w:rsidRPr="00E849D3">
        <w:rPr>
          <w:color w:val="000000"/>
        </w:rPr>
        <w:t xml:space="preserve"> will diversi</w:t>
      </w:r>
      <w:r>
        <w:rPr>
          <w:color w:val="000000"/>
        </w:rPr>
        <w:t>f</w:t>
      </w:r>
      <w:r w:rsidRPr="00E849D3">
        <w:rPr>
          <w:color w:val="000000"/>
        </w:rPr>
        <w:t xml:space="preserve">y the local revenue structure and can reduce the property tax burden. </w:t>
      </w:r>
      <w:r w:rsidRPr="00BA1D97">
        <w:rPr>
          <w:bCs/>
          <w:color w:val="000000"/>
        </w:rPr>
        <w:t xml:space="preserve">The Advisory Commission on Intergovernmental Relations (1988) outlined several arguments supporting or justifying </w:t>
      </w:r>
      <w:r w:rsidRPr="00BA1D97">
        <w:rPr>
          <w:color w:val="000000"/>
        </w:rPr>
        <w:t>local revenue diversification</w:t>
      </w:r>
      <w:r>
        <w:rPr>
          <w:color w:val="000000"/>
        </w:rPr>
        <w:t xml:space="preserve">. Allowing use of alternative revenue sources would allow towns to better </w:t>
      </w:r>
      <w:r w:rsidRPr="00761CB7">
        <w:rPr>
          <w:color w:val="000000"/>
        </w:rPr>
        <w:t xml:space="preserve">capture </w:t>
      </w:r>
      <w:r>
        <w:rPr>
          <w:color w:val="000000"/>
        </w:rPr>
        <w:t>l</w:t>
      </w:r>
      <w:r w:rsidRPr="00761CB7">
        <w:rPr>
          <w:color w:val="000000"/>
        </w:rPr>
        <w:t xml:space="preserve">ocal </w:t>
      </w:r>
      <w:r>
        <w:rPr>
          <w:color w:val="000000"/>
        </w:rPr>
        <w:t>r</w:t>
      </w:r>
      <w:r w:rsidRPr="00761CB7">
        <w:rPr>
          <w:color w:val="000000"/>
        </w:rPr>
        <w:t xml:space="preserve">evenue </w:t>
      </w:r>
      <w:r>
        <w:rPr>
          <w:color w:val="000000"/>
        </w:rPr>
        <w:t>r</w:t>
      </w:r>
      <w:r w:rsidRPr="00761CB7">
        <w:rPr>
          <w:color w:val="000000"/>
        </w:rPr>
        <w:t xml:space="preserve">aising </w:t>
      </w:r>
      <w:r>
        <w:rPr>
          <w:color w:val="000000"/>
        </w:rPr>
        <w:t>c</w:t>
      </w:r>
      <w:r w:rsidRPr="00761CB7">
        <w:rPr>
          <w:color w:val="000000"/>
        </w:rPr>
        <w:t>apacity</w:t>
      </w:r>
      <w:r>
        <w:rPr>
          <w:color w:val="000000"/>
        </w:rPr>
        <w:t xml:space="preserve">, would reduce reliance on the property tax, and would collect revenue from </w:t>
      </w:r>
      <w:r>
        <w:t>t</w:t>
      </w:r>
      <w:r w:rsidRPr="00710363">
        <w:t xml:space="preserve">ourists and commuters </w:t>
      </w:r>
      <w:r>
        <w:t xml:space="preserve">who </w:t>
      </w:r>
      <w:r w:rsidRPr="00710363">
        <w:t>impose costs on local governments but do not pay any property taxes to the local government.</w:t>
      </w:r>
      <w:r>
        <w:t xml:space="preserve"> </w:t>
      </w:r>
      <w:r w:rsidRPr="00710363">
        <w:t>There are counter arguments</w:t>
      </w:r>
      <w:r>
        <w:t>, the principal one being that if</w:t>
      </w:r>
      <w:r w:rsidRPr="00710363">
        <w:t xml:space="preserve"> a local government gains access to additional </w:t>
      </w:r>
      <w:r w:rsidRPr="00710363">
        <w:lastRenderedPageBreak/>
        <w:t>revenue options, it will increase revenue, and thus expenditures, beyond what citizen</w:t>
      </w:r>
      <w:r w:rsidR="00E83855">
        <w:t>s</w:t>
      </w:r>
      <w:r w:rsidRPr="00710363">
        <w:t xml:space="preserve"> truly desire</w:t>
      </w:r>
      <w:r>
        <w:t>; however, t</w:t>
      </w:r>
      <w:r w:rsidRPr="00710363">
        <w:t>he empirical evidence o</w:t>
      </w:r>
      <w:r>
        <w:t>n this possibility is mixed.</w:t>
      </w:r>
      <w:r w:rsidR="00522276">
        <w:t xml:space="preserve"> In addition, </w:t>
      </w:r>
      <w:r w:rsidR="00B4414F">
        <w:t xml:space="preserve">property tax revenues are less cyclical than </w:t>
      </w:r>
      <w:r w:rsidR="00522276">
        <w:t>sa</w:t>
      </w:r>
      <w:r w:rsidR="00B4414F">
        <w:t>les and income tax revenues, and the property tax base is less geographically mobile than the bases for sales and income taxes</w:t>
      </w:r>
      <w:r w:rsidR="00522276">
        <w:t>.</w:t>
      </w:r>
    </w:p>
    <w:p w14:paraId="00FC3C67" w14:textId="77777777" w:rsidR="00E83855" w:rsidRDefault="00E83855" w:rsidP="00D73164">
      <w:pPr>
        <w:spacing w:after="0" w:line="360" w:lineRule="auto"/>
        <w:ind w:firstLine="720"/>
        <w:rPr>
          <w:color w:val="000000"/>
        </w:rPr>
      </w:pPr>
    </w:p>
    <w:p w14:paraId="790F605F" w14:textId="5DF1093B" w:rsidR="00D73164" w:rsidRPr="00D73164" w:rsidRDefault="00040858" w:rsidP="00D73164">
      <w:pPr>
        <w:pStyle w:val="Heading2"/>
        <w:spacing w:before="0"/>
      </w:pPr>
      <w:bookmarkStart w:id="6" w:name="_Toc432058795"/>
      <w:bookmarkStart w:id="7" w:name="_Toc433373608"/>
      <w:r>
        <w:t xml:space="preserve">Policy Option: Allow </w:t>
      </w:r>
      <w:r w:rsidRPr="006D71D3">
        <w:t>Local Sales Taxes</w:t>
      </w:r>
      <w:bookmarkEnd w:id="6"/>
      <w:bookmarkEnd w:id="7"/>
      <w:r w:rsidRPr="006D71D3">
        <w:t xml:space="preserve"> </w:t>
      </w:r>
    </w:p>
    <w:p w14:paraId="1A0EE898" w14:textId="77777777" w:rsidR="00040858" w:rsidRPr="00E849D3" w:rsidRDefault="00040858" w:rsidP="00D73164">
      <w:pPr>
        <w:pStyle w:val="Heading3"/>
        <w:spacing w:before="0"/>
        <w:rPr>
          <w:color w:val="000000"/>
        </w:rPr>
      </w:pPr>
      <w:bookmarkStart w:id="8" w:name="_Toc432058796"/>
      <w:bookmarkStart w:id="9" w:name="_Toc433373609"/>
      <w:r>
        <w:t>Options for Local Sales Taxes</w:t>
      </w:r>
      <w:bookmarkEnd w:id="8"/>
      <w:bookmarkEnd w:id="9"/>
    </w:p>
    <w:p w14:paraId="48FDDFFE" w14:textId="67A5DDF5" w:rsidR="00040858" w:rsidRDefault="00040858" w:rsidP="00D73164">
      <w:pPr>
        <w:spacing w:after="0" w:line="360" w:lineRule="auto"/>
        <w:ind w:firstLine="720"/>
      </w:pPr>
      <w:r w:rsidRPr="00122DFB">
        <w:rPr>
          <w:color w:val="000000"/>
        </w:rPr>
        <w:t xml:space="preserve">We considered two </w:t>
      </w:r>
      <w:r>
        <w:rPr>
          <w:color w:val="000000"/>
        </w:rPr>
        <w:t xml:space="preserve">alternative local </w:t>
      </w:r>
      <w:r w:rsidRPr="00122DFB">
        <w:rPr>
          <w:color w:val="000000"/>
        </w:rPr>
        <w:t>sales taxes, a local sales tax where t</w:t>
      </w:r>
      <w:r w:rsidR="00E80642">
        <w:rPr>
          <w:color w:val="000000"/>
        </w:rPr>
        <w:t>he revenue collected in a town goes</w:t>
      </w:r>
      <w:r w:rsidRPr="00122DFB">
        <w:rPr>
          <w:color w:val="000000"/>
        </w:rPr>
        <w:t xml:space="preserve"> to that town, and a regional sales tax in which total </w:t>
      </w:r>
      <w:r>
        <w:t>local sales tax revenue across all towns in each of the nine planning districts (i.e., Councils of Government) is allocated to the towns in the planning district using a formula in which half of the revenue is allocated to the town from which the revenue was generated and half is allocated on a per capita basis. (Of course, there are many other options</w:t>
      </w:r>
      <w:r w:rsidR="00E83855">
        <w:t xml:space="preserve"> for defining regions and</w:t>
      </w:r>
      <w:r>
        <w:t xml:space="preserve"> for allocating such revenue across towns.)</w:t>
      </w:r>
    </w:p>
    <w:p w14:paraId="4E86E5C5" w14:textId="77777777" w:rsidR="00040858" w:rsidRDefault="00040858" w:rsidP="00D73164">
      <w:pPr>
        <w:spacing w:after="0" w:line="360" w:lineRule="auto"/>
        <w:ind w:firstLine="720"/>
      </w:pPr>
    </w:p>
    <w:p w14:paraId="28298FE2" w14:textId="77777777" w:rsidR="00040858" w:rsidRPr="00E849D3" w:rsidRDefault="00040858" w:rsidP="00D73164">
      <w:pPr>
        <w:pStyle w:val="Heading3"/>
        <w:spacing w:before="0"/>
      </w:pPr>
      <w:bookmarkStart w:id="10" w:name="_Toc432058797"/>
      <w:bookmarkStart w:id="11" w:name="_Toc433373610"/>
      <w:r>
        <w:t xml:space="preserve">Estimated </w:t>
      </w:r>
      <w:r w:rsidRPr="00E849D3">
        <w:t>Revenue</w:t>
      </w:r>
      <w:bookmarkEnd w:id="10"/>
      <w:bookmarkEnd w:id="11"/>
    </w:p>
    <w:p w14:paraId="5D81985B" w14:textId="456E8AB9" w:rsidR="00040858" w:rsidRPr="00E849D3" w:rsidRDefault="00040858" w:rsidP="00D73164">
      <w:pPr>
        <w:spacing w:after="0" w:line="360" w:lineRule="auto"/>
        <w:ind w:firstLine="720"/>
        <w:rPr>
          <w:color w:val="000000"/>
        </w:rPr>
      </w:pPr>
      <w:r>
        <w:rPr>
          <w:color w:val="000000"/>
        </w:rPr>
        <w:t>Using estimated taxable sales by town, t</w:t>
      </w:r>
      <w:r w:rsidRPr="00E849D3">
        <w:rPr>
          <w:color w:val="000000"/>
        </w:rPr>
        <w:t xml:space="preserve">he estimated revenue from a one percent local sales tax, ignoring revenue from out-of-state vendors, is $473.5 million. The </w:t>
      </w:r>
      <w:r w:rsidR="00522276">
        <w:rPr>
          <w:color w:val="000000"/>
        </w:rPr>
        <w:t xml:space="preserve">available </w:t>
      </w:r>
      <w:r w:rsidRPr="00E849D3">
        <w:rPr>
          <w:color w:val="000000"/>
        </w:rPr>
        <w:t>data on state sales taxes due by town do not include sales taxes collected from out-of-state vendors, which are 21.3 percent of total sales taxes due. Thus, our estimated revenue</w:t>
      </w:r>
      <w:r>
        <w:rPr>
          <w:color w:val="000000"/>
        </w:rPr>
        <w:t>s</w:t>
      </w:r>
      <w:r w:rsidRPr="00E849D3">
        <w:rPr>
          <w:color w:val="000000"/>
        </w:rPr>
        <w:t xml:space="preserve"> by town under estimate the likely revenue in the aggregate by this percentage. </w:t>
      </w:r>
      <w:r w:rsidR="00E83855">
        <w:rPr>
          <w:color w:val="000000"/>
        </w:rPr>
        <w:t xml:space="preserve">One possible objective </w:t>
      </w:r>
      <w:r w:rsidR="00410AFC">
        <w:rPr>
          <w:color w:val="000000"/>
        </w:rPr>
        <w:t>for adopting</w:t>
      </w:r>
      <w:r w:rsidR="00E83855">
        <w:rPr>
          <w:color w:val="000000"/>
        </w:rPr>
        <w:t xml:space="preserve"> a local sales tax is to reduce property taxes. </w:t>
      </w:r>
      <w:r w:rsidRPr="00E849D3">
        <w:rPr>
          <w:color w:val="000000"/>
        </w:rPr>
        <w:t xml:space="preserve">A one percent local sales tax, if adopted statewide and used just for property tax relief, could reduce </w:t>
      </w:r>
      <w:r w:rsidR="00410AFC">
        <w:rPr>
          <w:color w:val="000000"/>
        </w:rPr>
        <w:t xml:space="preserve">total </w:t>
      </w:r>
      <w:r w:rsidR="00E83855">
        <w:rPr>
          <w:color w:val="000000"/>
        </w:rPr>
        <w:t xml:space="preserve">local </w:t>
      </w:r>
      <w:r w:rsidRPr="00E849D3">
        <w:rPr>
          <w:color w:val="000000"/>
        </w:rPr>
        <w:t>property taxes</w:t>
      </w:r>
      <w:r w:rsidR="00E83855">
        <w:rPr>
          <w:color w:val="000000"/>
        </w:rPr>
        <w:t>, including school property taxes,</w:t>
      </w:r>
      <w:r w:rsidRPr="00E849D3">
        <w:rPr>
          <w:color w:val="000000"/>
        </w:rPr>
        <w:t xml:space="preserve"> by about 6.1 percent on average. </w:t>
      </w:r>
    </w:p>
    <w:p w14:paraId="66701C36" w14:textId="6A104487" w:rsidR="00040858" w:rsidRPr="00122DFB" w:rsidRDefault="00040858" w:rsidP="00D73164">
      <w:pPr>
        <w:spacing w:after="0" w:line="360" w:lineRule="auto"/>
        <w:ind w:firstLine="720"/>
        <w:rPr>
          <w:color w:val="000000"/>
        </w:rPr>
      </w:pPr>
      <w:r w:rsidRPr="00122DFB">
        <w:rPr>
          <w:color w:val="000000"/>
        </w:rPr>
        <w:t xml:space="preserve">Local sales tax revenue per capita by town ranges from $5 to $717, a result due to the large disparity across towns in sales tax base per capita. The range for the regional sales tax is from $42 to $230, a substantially smaller range. As expected, the regional sales tax shifts the revenue from towns with high local sales tax revenue per capita to towns with low local sales tax revenue per capita. It needs to be stressed that the estimates by town are reasonable indications of local sales tax revenue for informing state tax policy, but not for local government budget making. </w:t>
      </w:r>
    </w:p>
    <w:p w14:paraId="75F72805" w14:textId="77777777" w:rsidR="00040858" w:rsidRPr="00122DFB" w:rsidRDefault="00040858" w:rsidP="00D73164">
      <w:pPr>
        <w:spacing w:after="0" w:line="360" w:lineRule="auto"/>
        <w:rPr>
          <w:color w:val="000000"/>
        </w:rPr>
      </w:pPr>
    </w:p>
    <w:p w14:paraId="25C730F1" w14:textId="77777777" w:rsidR="00040858" w:rsidRDefault="00040858" w:rsidP="00D73164">
      <w:pPr>
        <w:pStyle w:val="Heading3"/>
        <w:spacing w:before="0"/>
      </w:pPr>
      <w:bookmarkStart w:id="12" w:name="_Toc432058798"/>
      <w:bookmarkStart w:id="13" w:name="_Toc433373611"/>
      <w:r w:rsidRPr="00E849D3">
        <w:lastRenderedPageBreak/>
        <w:t>Economic Effects</w:t>
      </w:r>
      <w:bookmarkEnd w:id="12"/>
      <w:bookmarkEnd w:id="13"/>
    </w:p>
    <w:p w14:paraId="65AD6165" w14:textId="77777777" w:rsidR="00040858" w:rsidRDefault="00040858" w:rsidP="00B639EB">
      <w:pPr>
        <w:spacing w:after="0"/>
      </w:pPr>
      <w:r>
        <w:tab/>
        <w:t>In considering whether to recommend allowing local governments to use local sales taxes, the following factors are relevant.</w:t>
      </w:r>
    </w:p>
    <w:p w14:paraId="1C87EB06" w14:textId="77777777" w:rsidR="00B639EB" w:rsidRDefault="00B639EB" w:rsidP="00B639EB">
      <w:pPr>
        <w:spacing w:after="0"/>
      </w:pPr>
    </w:p>
    <w:p w14:paraId="477E4359" w14:textId="77777777" w:rsidR="00040858" w:rsidRPr="00122DFB" w:rsidRDefault="00040858" w:rsidP="00B639EB">
      <w:pPr>
        <w:pStyle w:val="ListParagraph"/>
        <w:numPr>
          <w:ilvl w:val="1"/>
          <w:numId w:val="16"/>
        </w:numPr>
        <w:spacing w:after="0" w:line="360" w:lineRule="auto"/>
        <w:ind w:left="360"/>
        <w:rPr>
          <w:color w:val="000000"/>
        </w:rPr>
      </w:pPr>
      <w:r>
        <w:rPr>
          <w:color w:val="000000"/>
        </w:rPr>
        <w:t>Effect on Total Sales</w:t>
      </w:r>
    </w:p>
    <w:p w14:paraId="51EA7723" w14:textId="5817451A" w:rsidR="00040858" w:rsidRDefault="00040858" w:rsidP="00B639EB">
      <w:pPr>
        <w:spacing w:after="0" w:line="360" w:lineRule="auto"/>
        <w:ind w:left="360"/>
        <w:rPr>
          <w:color w:val="000000"/>
        </w:rPr>
      </w:pPr>
      <w:r>
        <w:rPr>
          <w:color w:val="000000"/>
        </w:rPr>
        <w:t>E</w:t>
      </w:r>
      <w:r w:rsidRPr="00A50ECC">
        <w:rPr>
          <w:color w:val="000000"/>
        </w:rPr>
        <w:t xml:space="preserve">conomic theory suggests that </w:t>
      </w:r>
      <w:r>
        <w:rPr>
          <w:color w:val="000000"/>
        </w:rPr>
        <w:t>an</w:t>
      </w:r>
      <w:r w:rsidRPr="00A50ECC">
        <w:rPr>
          <w:color w:val="000000"/>
        </w:rPr>
        <w:t xml:space="preserve"> increase in the sales tax rate will reduce the sales tax base since the increase in the sales tax rate is the same </w:t>
      </w:r>
      <w:r>
        <w:rPr>
          <w:color w:val="000000"/>
        </w:rPr>
        <w:t xml:space="preserve">as </w:t>
      </w:r>
      <w:r w:rsidRPr="00A50ECC">
        <w:rPr>
          <w:color w:val="000000"/>
        </w:rPr>
        <w:t>a price increase.</w:t>
      </w:r>
      <w:r>
        <w:rPr>
          <w:color w:val="000000"/>
        </w:rPr>
        <w:t xml:space="preserve"> </w:t>
      </w:r>
      <w:r w:rsidRPr="00A50ECC">
        <w:rPr>
          <w:color w:val="000000"/>
        </w:rPr>
        <w:t xml:space="preserve">Assuming a price elasticity of 1.0, </w:t>
      </w:r>
      <w:r>
        <w:rPr>
          <w:color w:val="000000"/>
        </w:rPr>
        <w:t xml:space="preserve">and using state sales taxes due, </w:t>
      </w:r>
      <w:r w:rsidRPr="00A50ECC">
        <w:rPr>
          <w:color w:val="000000"/>
        </w:rPr>
        <w:t xml:space="preserve">the local sales tax revenue from a </w:t>
      </w:r>
      <w:r>
        <w:rPr>
          <w:color w:val="000000"/>
        </w:rPr>
        <w:t xml:space="preserve">one </w:t>
      </w:r>
      <w:r w:rsidRPr="00A50ECC">
        <w:rPr>
          <w:color w:val="000000"/>
        </w:rPr>
        <w:t xml:space="preserve">percent local sales tax </w:t>
      </w:r>
      <w:r>
        <w:rPr>
          <w:color w:val="000000"/>
        </w:rPr>
        <w:t xml:space="preserve">adopted by all towns </w:t>
      </w:r>
      <w:r w:rsidRPr="00A50ECC">
        <w:rPr>
          <w:color w:val="000000"/>
        </w:rPr>
        <w:t xml:space="preserve">would be </w:t>
      </w:r>
      <w:r w:rsidRPr="007B0989">
        <w:rPr>
          <w:color w:val="000000"/>
        </w:rPr>
        <w:t>$60</w:t>
      </w:r>
      <w:r>
        <w:rPr>
          <w:color w:val="000000"/>
        </w:rPr>
        <w:t>3.9</w:t>
      </w:r>
      <w:r w:rsidRPr="00A50ECC">
        <w:rPr>
          <w:color w:val="000000"/>
        </w:rPr>
        <w:t xml:space="preserve"> million</w:t>
      </w:r>
      <w:r w:rsidR="00522276">
        <w:rPr>
          <w:color w:val="000000"/>
        </w:rPr>
        <w:t xml:space="preserve"> (this includes sales taxes collected by out-of-state vendors)</w:t>
      </w:r>
      <w:r>
        <w:rPr>
          <w:color w:val="000000"/>
        </w:rPr>
        <w:t>, and s</w:t>
      </w:r>
      <w:r w:rsidRPr="00A50ECC">
        <w:rPr>
          <w:color w:val="000000"/>
        </w:rPr>
        <w:t>tate sales tax revenue would fall by</w:t>
      </w:r>
      <w:r>
        <w:rPr>
          <w:color w:val="000000"/>
        </w:rPr>
        <w:t xml:space="preserve"> an estimated</w:t>
      </w:r>
      <w:r w:rsidRPr="00A50ECC">
        <w:rPr>
          <w:color w:val="000000"/>
        </w:rPr>
        <w:t xml:space="preserve"> </w:t>
      </w:r>
      <w:r w:rsidRPr="007B0989">
        <w:rPr>
          <w:color w:val="000000"/>
        </w:rPr>
        <w:t>$36.4</w:t>
      </w:r>
      <w:r w:rsidRPr="00A50ECC">
        <w:rPr>
          <w:color w:val="000000"/>
        </w:rPr>
        <w:t xml:space="preserve"> million.</w:t>
      </w:r>
    </w:p>
    <w:p w14:paraId="2AE95055" w14:textId="77777777" w:rsidR="00040858" w:rsidRDefault="00040858" w:rsidP="00D73164">
      <w:pPr>
        <w:spacing w:after="0" w:line="360" w:lineRule="auto"/>
        <w:ind w:firstLine="720"/>
        <w:rPr>
          <w:color w:val="000000"/>
        </w:rPr>
      </w:pPr>
    </w:p>
    <w:p w14:paraId="53BBA5D1" w14:textId="77777777" w:rsidR="00040858" w:rsidRPr="00122DFB" w:rsidRDefault="00040858" w:rsidP="00D73164">
      <w:pPr>
        <w:pStyle w:val="ListParagraph"/>
        <w:numPr>
          <w:ilvl w:val="0"/>
          <w:numId w:val="17"/>
        </w:numPr>
        <w:spacing w:after="0" w:line="360" w:lineRule="auto"/>
        <w:ind w:left="360"/>
        <w:rPr>
          <w:color w:val="000000"/>
        </w:rPr>
      </w:pPr>
      <w:r>
        <w:rPr>
          <w:color w:val="000000"/>
        </w:rPr>
        <w:t>Effect on Cross-Border Shopping</w:t>
      </w:r>
    </w:p>
    <w:p w14:paraId="60D53411" w14:textId="625538A2" w:rsidR="00040858" w:rsidRDefault="00040858" w:rsidP="00D73164">
      <w:pPr>
        <w:spacing w:after="0" w:line="360" w:lineRule="auto"/>
        <w:ind w:left="360"/>
      </w:pPr>
      <w:r>
        <w:rPr>
          <w:color w:val="000000"/>
        </w:rPr>
        <w:t xml:space="preserve">One of the effects of </w:t>
      </w:r>
      <w:r w:rsidRPr="00710363">
        <w:rPr>
          <w:color w:val="000000"/>
        </w:rPr>
        <w:t xml:space="preserve">differential sales tax rates </w:t>
      </w:r>
      <w:r>
        <w:rPr>
          <w:color w:val="000000"/>
        </w:rPr>
        <w:t xml:space="preserve">is </w:t>
      </w:r>
      <w:r w:rsidRPr="00710363">
        <w:rPr>
          <w:color w:val="000000"/>
        </w:rPr>
        <w:t>on cross-bordering shopping</w:t>
      </w:r>
      <w:r>
        <w:rPr>
          <w:color w:val="000000"/>
        </w:rPr>
        <w:t>.</w:t>
      </w:r>
      <w:r w:rsidRPr="00710363">
        <w:t xml:space="preserve"> </w:t>
      </w:r>
      <w:r>
        <w:t>S</w:t>
      </w:r>
      <w:r w:rsidRPr="00710363">
        <w:t>tudies generally find that a one</w:t>
      </w:r>
      <w:r w:rsidRPr="00CE78C0">
        <w:t xml:space="preserve"> percentage point higher </w:t>
      </w:r>
      <w:r>
        <w:t xml:space="preserve">interstate </w:t>
      </w:r>
      <w:r w:rsidRPr="00CE78C0">
        <w:t>sales tax rate</w:t>
      </w:r>
      <w:r>
        <w:t xml:space="preserve"> differential</w:t>
      </w:r>
      <w:r w:rsidRPr="00CE78C0">
        <w:t xml:space="preserve"> is associated with per capita sales along a state’s border that are between </w:t>
      </w:r>
      <w:r w:rsidRPr="00710363">
        <w:t>one</w:t>
      </w:r>
      <w:r>
        <w:t xml:space="preserve"> and 7 percent lower. Connecticut’s basic state sales tax rate is currently 6.35 percent. Connecticut borders three states, New York, Rhode Island, and Massachusetts. Rhode Island and Massachusetts do not have local sales taxes; their state tax rates are 7.0 percent and 6.3 percent, respectively. Along New York’s border with Connecticut, the total sales tax rates in New York are generally in the range of 8.125 percent to 8.375 percent. If Connecticut towns adopted a one percent local sales tax, Connecticut border cities would lose some sales to Massachusetts, and might experience a small drop in sales that are made to buyers from New York.</w:t>
      </w:r>
      <w:r w:rsidR="00E83855">
        <w:t xml:space="preserve"> One should expect a similar effect from inter-town sales tax rate differentials.</w:t>
      </w:r>
    </w:p>
    <w:p w14:paraId="6E3B54A7" w14:textId="77777777" w:rsidR="00040858" w:rsidRDefault="00040858" w:rsidP="00D73164">
      <w:pPr>
        <w:spacing w:after="0" w:line="360" w:lineRule="auto"/>
        <w:ind w:firstLine="720"/>
      </w:pPr>
    </w:p>
    <w:p w14:paraId="752B7AC2" w14:textId="77777777" w:rsidR="00040858" w:rsidRDefault="00040858" w:rsidP="00D73164">
      <w:pPr>
        <w:pStyle w:val="ListParagraph"/>
        <w:numPr>
          <w:ilvl w:val="0"/>
          <w:numId w:val="17"/>
        </w:numPr>
        <w:spacing w:after="0" w:line="360" w:lineRule="auto"/>
        <w:ind w:left="360"/>
      </w:pPr>
      <w:r>
        <w:t>Effect on Tax Competition</w:t>
      </w:r>
    </w:p>
    <w:p w14:paraId="20115A7E" w14:textId="7A6A8B92" w:rsidR="00040858" w:rsidRDefault="00040858" w:rsidP="00D73164">
      <w:pPr>
        <w:spacing w:after="0" w:line="360" w:lineRule="auto"/>
        <w:ind w:left="360"/>
        <w:rPr>
          <w:color w:val="000000"/>
        </w:rPr>
      </w:pPr>
      <w:r w:rsidRPr="00345887">
        <w:rPr>
          <w:color w:val="000000"/>
        </w:rPr>
        <w:t>Local jurisdiction</w:t>
      </w:r>
      <w:r>
        <w:rPr>
          <w:color w:val="000000"/>
        </w:rPr>
        <w:t>s</w:t>
      </w:r>
      <w:r w:rsidRPr="00345887">
        <w:rPr>
          <w:color w:val="000000"/>
        </w:rPr>
        <w:t xml:space="preserve"> currentl</w:t>
      </w:r>
      <w:r>
        <w:rPr>
          <w:color w:val="000000"/>
        </w:rPr>
        <w:t>y compete for property tax base</w:t>
      </w:r>
      <w:r w:rsidRPr="00345887">
        <w:rPr>
          <w:color w:val="000000"/>
        </w:rPr>
        <w:t>. If local governments adopt a sales tax, one should expect that towns will compete for sales tax base as well. The difference is that the competition will be for retail facilities</w:t>
      </w:r>
      <w:r w:rsidR="00E83855">
        <w:rPr>
          <w:color w:val="000000"/>
        </w:rPr>
        <w:t xml:space="preserve"> such as shopping centers</w:t>
      </w:r>
      <w:r w:rsidRPr="00345887">
        <w:rPr>
          <w:color w:val="000000"/>
        </w:rPr>
        <w:t xml:space="preserve"> rather than business facilities more generally. </w:t>
      </w:r>
    </w:p>
    <w:p w14:paraId="54C94A8C" w14:textId="77777777" w:rsidR="00040858" w:rsidRDefault="00040858" w:rsidP="00D73164">
      <w:pPr>
        <w:spacing w:after="0" w:line="360" w:lineRule="auto"/>
        <w:ind w:firstLine="720"/>
        <w:rPr>
          <w:color w:val="000000"/>
        </w:rPr>
      </w:pPr>
    </w:p>
    <w:p w14:paraId="126EF41B" w14:textId="77777777" w:rsidR="00F9736B" w:rsidRDefault="00F9736B" w:rsidP="00D73164">
      <w:pPr>
        <w:spacing w:after="0" w:line="360" w:lineRule="auto"/>
        <w:ind w:firstLine="720"/>
        <w:rPr>
          <w:color w:val="000000"/>
        </w:rPr>
      </w:pPr>
    </w:p>
    <w:p w14:paraId="4597604A" w14:textId="77777777" w:rsidR="00F9736B" w:rsidRPr="00345887" w:rsidRDefault="00F9736B" w:rsidP="00D73164">
      <w:pPr>
        <w:spacing w:after="0" w:line="360" w:lineRule="auto"/>
        <w:ind w:firstLine="720"/>
        <w:rPr>
          <w:color w:val="000000"/>
        </w:rPr>
      </w:pPr>
    </w:p>
    <w:p w14:paraId="493DAE3B" w14:textId="77777777" w:rsidR="00040858" w:rsidRPr="006D71D3" w:rsidRDefault="00040858" w:rsidP="00D73164">
      <w:pPr>
        <w:pStyle w:val="ListParagraph"/>
        <w:numPr>
          <w:ilvl w:val="0"/>
          <w:numId w:val="17"/>
        </w:numPr>
        <w:spacing w:after="0" w:line="360" w:lineRule="auto"/>
        <w:ind w:left="360"/>
        <w:rPr>
          <w:color w:val="000000"/>
        </w:rPr>
      </w:pPr>
      <w:r>
        <w:rPr>
          <w:color w:val="000000"/>
        </w:rPr>
        <w:lastRenderedPageBreak/>
        <w:t>Effect on Fiscal Disparities</w:t>
      </w:r>
    </w:p>
    <w:p w14:paraId="5E51F150" w14:textId="4F7A2D82" w:rsidR="00040858" w:rsidRDefault="00040858" w:rsidP="00D73164">
      <w:pPr>
        <w:spacing w:after="0" w:line="360" w:lineRule="auto"/>
        <w:ind w:left="360"/>
        <w:rPr>
          <w:b/>
          <w:color w:val="000000"/>
          <w:sz w:val="26"/>
          <w:szCs w:val="26"/>
        </w:rPr>
      </w:pPr>
      <w:r w:rsidRPr="003737CD">
        <w:rPr>
          <w:color w:val="000000"/>
        </w:rPr>
        <w:t>A recent report from the New England Public Policy Center at the Federal Reserve Bank of Boston (Zhao and Weiner 2015) provide</w:t>
      </w:r>
      <w:r>
        <w:rPr>
          <w:color w:val="000000"/>
        </w:rPr>
        <w:t>s an index</w:t>
      </w:r>
      <w:r w:rsidRPr="003737CD">
        <w:rPr>
          <w:color w:val="000000"/>
        </w:rPr>
        <w:t xml:space="preserve"> of fiscal disparities </w:t>
      </w:r>
      <w:r>
        <w:rPr>
          <w:color w:val="000000"/>
        </w:rPr>
        <w:t>for all</w:t>
      </w:r>
      <w:r w:rsidRPr="003737CD">
        <w:rPr>
          <w:color w:val="000000"/>
        </w:rPr>
        <w:t xml:space="preserve"> Connecticut cities</w:t>
      </w:r>
      <w:r>
        <w:rPr>
          <w:color w:val="000000"/>
        </w:rPr>
        <w:t xml:space="preserve">. </w:t>
      </w:r>
      <w:r w:rsidR="00522276">
        <w:rPr>
          <w:color w:val="000000"/>
        </w:rPr>
        <w:t>The index is the difference between the cost of providing non-school public services (costs) and the economic resources available to pay for those services (capacity).</w:t>
      </w:r>
      <w:r>
        <w:rPr>
          <w:color w:val="000000"/>
        </w:rPr>
        <w:t xml:space="preserve">There is not much of a consistent pattern between the </w:t>
      </w:r>
      <w:r w:rsidR="00FF4666">
        <w:rPr>
          <w:color w:val="000000"/>
        </w:rPr>
        <w:t>index</w:t>
      </w:r>
      <w:r>
        <w:rPr>
          <w:color w:val="000000"/>
        </w:rPr>
        <w:t xml:space="preserve"> and either local or regional sales tax revenue per capita, although</w:t>
      </w:r>
      <w:r w:rsidR="00522276">
        <w:rPr>
          <w:color w:val="000000"/>
        </w:rPr>
        <w:t xml:space="preserve"> the correlation coefficient</w:t>
      </w:r>
      <w:r w:rsidR="00E83855">
        <w:rPr>
          <w:color w:val="000000"/>
        </w:rPr>
        <w:t>s</w:t>
      </w:r>
      <w:r>
        <w:rPr>
          <w:color w:val="000000"/>
        </w:rPr>
        <w:t xml:space="preserve"> suggest that larger sales tax revenue per capita is associated with greater fiscal health. We get a similar result if we use the property tax base (i.e., Gran</w:t>
      </w:r>
      <w:r w:rsidR="00E80642">
        <w:rPr>
          <w:color w:val="000000"/>
        </w:rPr>
        <w:t>d</w:t>
      </w:r>
      <w:r>
        <w:rPr>
          <w:color w:val="000000"/>
        </w:rPr>
        <w:t xml:space="preserve"> List) per capita rather than the index of fiscal disparities. So, it appears that neither a local or regional sales tax will </w:t>
      </w:r>
      <w:r w:rsidR="00522276">
        <w:rPr>
          <w:color w:val="000000"/>
        </w:rPr>
        <w:t xml:space="preserve">on average </w:t>
      </w:r>
      <w:r>
        <w:rPr>
          <w:color w:val="000000"/>
        </w:rPr>
        <w:t>reduce fiscal disparities between towns.</w:t>
      </w:r>
      <w:r w:rsidRPr="00345887">
        <w:rPr>
          <w:b/>
          <w:color w:val="000000"/>
          <w:sz w:val="26"/>
          <w:szCs w:val="26"/>
        </w:rPr>
        <w:t xml:space="preserve"> </w:t>
      </w:r>
    </w:p>
    <w:p w14:paraId="08A368C7" w14:textId="77777777" w:rsidR="00040858" w:rsidRDefault="00040858" w:rsidP="00D73164">
      <w:pPr>
        <w:spacing w:after="0" w:line="360" w:lineRule="auto"/>
        <w:rPr>
          <w:b/>
          <w:color w:val="000000"/>
          <w:sz w:val="26"/>
          <w:szCs w:val="26"/>
        </w:rPr>
      </w:pPr>
    </w:p>
    <w:p w14:paraId="7FF73E2E" w14:textId="77777777" w:rsidR="00040858" w:rsidRPr="00E849D3" w:rsidRDefault="00040858" w:rsidP="00D73164">
      <w:pPr>
        <w:pStyle w:val="ListParagraph"/>
        <w:numPr>
          <w:ilvl w:val="0"/>
          <w:numId w:val="17"/>
        </w:numPr>
        <w:spacing w:after="0" w:line="360" w:lineRule="auto"/>
        <w:ind w:left="360"/>
        <w:rPr>
          <w:color w:val="000000"/>
        </w:rPr>
      </w:pPr>
      <w:r w:rsidRPr="00E849D3">
        <w:rPr>
          <w:color w:val="000000"/>
        </w:rPr>
        <w:t>Other Issues</w:t>
      </w:r>
    </w:p>
    <w:p w14:paraId="4B196B23" w14:textId="033EDAEE" w:rsidR="00040858" w:rsidRDefault="00040858" w:rsidP="00D73164">
      <w:pPr>
        <w:spacing w:after="0" w:line="360" w:lineRule="auto"/>
        <w:ind w:left="360"/>
        <w:rPr>
          <w:color w:val="000000"/>
        </w:rPr>
      </w:pPr>
      <w:r w:rsidRPr="00E849D3">
        <w:rPr>
          <w:color w:val="000000"/>
        </w:rPr>
        <w:t xml:space="preserve">If structured as an add-on to the state sales tax, the cost of administration and compliance would be small. </w:t>
      </w:r>
      <w:r>
        <w:rPr>
          <w:color w:val="000000"/>
        </w:rPr>
        <w:t>A local sales tax</w:t>
      </w:r>
      <w:r w:rsidRPr="00DE60F7">
        <w:rPr>
          <w:color w:val="000000"/>
        </w:rPr>
        <w:t xml:space="preserve"> would generate tax revenue from commuters and visitors, thus offsetting some of the service costs associated with commuters and visitors.</w:t>
      </w:r>
      <w:r>
        <w:rPr>
          <w:color w:val="000000"/>
        </w:rPr>
        <w:t xml:space="preserve"> </w:t>
      </w:r>
      <w:r w:rsidR="00E83855">
        <w:rPr>
          <w:color w:val="000000"/>
        </w:rPr>
        <w:t>Sales tax revenue are expected to be more cyclical than property tax revenues. Sales taxes are also more regressive than property taxes</w:t>
      </w:r>
      <w:r w:rsidR="00FF4666">
        <w:rPr>
          <w:color w:val="000000"/>
        </w:rPr>
        <w:t>.</w:t>
      </w:r>
    </w:p>
    <w:p w14:paraId="29300471" w14:textId="77777777" w:rsidR="00040858" w:rsidRDefault="00040858" w:rsidP="00D73164">
      <w:pPr>
        <w:spacing w:after="0" w:line="360" w:lineRule="auto"/>
        <w:ind w:left="720"/>
      </w:pPr>
    </w:p>
    <w:p w14:paraId="32273E04" w14:textId="77777777" w:rsidR="00040858" w:rsidRDefault="00040858" w:rsidP="00D73164">
      <w:pPr>
        <w:pStyle w:val="Heading2"/>
        <w:spacing w:before="0"/>
      </w:pPr>
      <w:bookmarkStart w:id="14" w:name="_Toc432058799"/>
      <w:bookmarkStart w:id="15" w:name="_Toc433373612"/>
      <w:r>
        <w:t xml:space="preserve">Policy Option: Allow </w:t>
      </w:r>
      <w:r w:rsidRPr="006D71D3">
        <w:t>Local Income Taxes</w:t>
      </w:r>
      <w:bookmarkEnd w:id="14"/>
      <w:bookmarkEnd w:id="15"/>
    </w:p>
    <w:p w14:paraId="2682E690" w14:textId="2A0DD857" w:rsidR="00040858" w:rsidRDefault="00522276" w:rsidP="00D73164">
      <w:pPr>
        <w:pStyle w:val="Heading3"/>
        <w:spacing w:before="0"/>
      </w:pPr>
      <w:bookmarkStart w:id="16" w:name="_Toc432058800"/>
      <w:bookmarkStart w:id="17" w:name="_Toc433373613"/>
      <w:r>
        <w:t>Options for</w:t>
      </w:r>
      <w:r w:rsidR="00040858">
        <w:t xml:space="preserve"> Local Income Taxes</w:t>
      </w:r>
      <w:bookmarkEnd w:id="16"/>
      <w:bookmarkEnd w:id="17"/>
    </w:p>
    <w:p w14:paraId="06D3E441" w14:textId="569DEB94" w:rsidR="00040858" w:rsidRPr="00A37EA7" w:rsidRDefault="00040858" w:rsidP="00D73164">
      <w:pPr>
        <w:spacing w:after="0" w:line="360" w:lineRule="auto"/>
        <w:ind w:left="360" w:firstLine="360"/>
        <w:rPr>
          <w:bCs/>
        </w:rPr>
      </w:pPr>
      <w:r>
        <w:t>We consider</w:t>
      </w:r>
      <w:r w:rsidR="00410AFC">
        <w:t>ed</w:t>
      </w:r>
      <w:r>
        <w:t xml:space="preserve"> f</w:t>
      </w:r>
      <w:r w:rsidR="00D26E24">
        <w:t>ive</w:t>
      </w:r>
      <w:r w:rsidR="00410AFC">
        <w:t xml:space="preserve"> alternative definitions of an</w:t>
      </w:r>
      <w:r>
        <w:t xml:space="preserve"> income tax base:</w:t>
      </w:r>
    </w:p>
    <w:p w14:paraId="09E83F19" w14:textId="37C658B8" w:rsidR="00040858" w:rsidRPr="00770543" w:rsidRDefault="00040858" w:rsidP="00D73164">
      <w:pPr>
        <w:pStyle w:val="ListParagraph"/>
        <w:numPr>
          <w:ilvl w:val="1"/>
          <w:numId w:val="22"/>
        </w:numPr>
        <w:spacing w:after="0" w:line="360" w:lineRule="auto"/>
        <w:ind w:left="1080"/>
        <w:rPr>
          <w:bCs/>
        </w:rPr>
      </w:pPr>
      <w:r w:rsidRPr="00CA03DB">
        <w:t>Connecticut</w:t>
      </w:r>
      <w:r>
        <w:rPr>
          <w:b/>
        </w:rPr>
        <w:t xml:space="preserve"> </w:t>
      </w:r>
      <w:r>
        <w:t>adjusted gross income</w:t>
      </w:r>
      <w:r w:rsidR="00E80642">
        <w:t xml:space="preserve">, which we refer to as the </w:t>
      </w:r>
      <w:r>
        <w:t>AGI</w:t>
      </w:r>
      <w:r w:rsidR="00E80642">
        <w:t xml:space="preserve"> Tax.</w:t>
      </w:r>
      <w:r>
        <w:t xml:space="preserve"> </w:t>
      </w:r>
    </w:p>
    <w:p w14:paraId="2DC95F60" w14:textId="70314EDB" w:rsidR="00040858" w:rsidRPr="00A37EA7" w:rsidRDefault="00040858" w:rsidP="00D73164">
      <w:pPr>
        <w:pStyle w:val="ListParagraph"/>
        <w:numPr>
          <w:ilvl w:val="1"/>
          <w:numId w:val="22"/>
        </w:numPr>
        <w:spacing w:after="0" w:line="360" w:lineRule="auto"/>
        <w:ind w:left="1080"/>
        <w:rPr>
          <w:bCs/>
        </w:rPr>
      </w:pPr>
      <w:r w:rsidRPr="00CA03DB">
        <w:t>Connecticut</w:t>
      </w:r>
      <w:r w:rsidR="00522276">
        <w:t xml:space="preserve"> income</w:t>
      </w:r>
      <w:r w:rsidRPr="00CA03DB">
        <w:t xml:space="preserve"> </w:t>
      </w:r>
      <w:r>
        <w:t>t</w:t>
      </w:r>
      <w:r w:rsidRPr="00CA03DB">
        <w:t xml:space="preserve">ax </w:t>
      </w:r>
      <w:r>
        <w:t>l</w:t>
      </w:r>
      <w:r w:rsidRPr="00CA03DB">
        <w:t>iability</w:t>
      </w:r>
      <w:r w:rsidR="00E80642">
        <w:t>, which we refer to as the Income Surtax.</w:t>
      </w:r>
      <w:r w:rsidRPr="00CA03DB">
        <w:t xml:space="preserve"> </w:t>
      </w:r>
    </w:p>
    <w:p w14:paraId="215CAFAE" w14:textId="5BFB8EF3" w:rsidR="00040858" w:rsidRDefault="00040858" w:rsidP="00D73164">
      <w:pPr>
        <w:pStyle w:val="ListParagraph"/>
        <w:numPr>
          <w:ilvl w:val="1"/>
          <w:numId w:val="22"/>
        </w:numPr>
        <w:spacing w:after="0" w:line="360" w:lineRule="auto"/>
        <w:ind w:left="1080"/>
        <w:rPr>
          <w:bCs/>
        </w:rPr>
      </w:pPr>
      <w:r>
        <w:t>A</w:t>
      </w:r>
      <w:r w:rsidRPr="00A37EA7">
        <w:rPr>
          <w:bCs/>
        </w:rPr>
        <w:t xml:space="preserve"> tax</w:t>
      </w:r>
      <w:r>
        <w:rPr>
          <w:bCs/>
        </w:rPr>
        <w:t xml:space="preserve"> on earned income</w:t>
      </w:r>
      <w:r w:rsidRPr="00A37EA7">
        <w:rPr>
          <w:bCs/>
        </w:rPr>
        <w:t xml:space="preserve"> imposed by place of </w:t>
      </w:r>
      <w:r w:rsidR="00E80642">
        <w:rPr>
          <w:bCs/>
        </w:rPr>
        <w:t>work, which we refer to as the Payroll Tax.</w:t>
      </w:r>
    </w:p>
    <w:p w14:paraId="7BCC7CD3" w14:textId="43D8EB10" w:rsidR="00040858" w:rsidRDefault="00040858" w:rsidP="00D73164">
      <w:pPr>
        <w:pStyle w:val="ListParagraph"/>
        <w:numPr>
          <w:ilvl w:val="1"/>
          <w:numId w:val="22"/>
        </w:numPr>
        <w:spacing w:after="0" w:line="360" w:lineRule="auto"/>
        <w:ind w:left="1080"/>
        <w:rPr>
          <w:bCs/>
        </w:rPr>
      </w:pPr>
      <w:r>
        <w:rPr>
          <w:bCs/>
        </w:rPr>
        <w:t>A</w:t>
      </w:r>
      <w:r w:rsidRPr="00A37EA7">
        <w:rPr>
          <w:bCs/>
        </w:rPr>
        <w:t xml:space="preserve"> tax </w:t>
      </w:r>
      <w:r>
        <w:rPr>
          <w:bCs/>
        </w:rPr>
        <w:t xml:space="preserve">on earned income </w:t>
      </w:r>
      <w:r w:rsidRPr="00A37EA7">
        <w:rPr>
          <w:bCs/>
        </w:rPr>
        <w:t>split equally between place of work and place of resid</w:t>
      </w:r>
      <w:r w:rsidR="00E80642">
        <w:rPr>
          <w:bCs/>
        </w:rPr>
        <w:t xml:space="preserve">ence, which we refer to as the </w:t>
      </w:r>
      <w:r w:rsidRPr="00A37EA7">
        <w:rPr>
          <w:bCs/>
        </w:rPr>
        <w:t xml:space="preserve">Split Earnings Tax. </w:t>
      </w:r>
    </w:p>
    <w:p w14:paraId="6EDDA9F4" w14:textId="4DAD7F6A" w:rsidR="00040858" w:rsidRDefault="00E80642" w:rsidP="00D73164">
      <w:pPr>
        <w:pStyle w:val="ListParagraph"/>
        <w:numPr>
          <w:ilvl w:val="1"/>
          <w:numId w:val="22"/>
        </w:numPr>
        <w:spacing w:after="0" w:line="360" w:lineRule="auto"/>
        <w:ind w:left="1080"/>
        <w:rPr>
          <w:bCs/>
        </w:rPr>
      </w:pPr>
      <w:r>
        <w:rPr>
          <w:bCs/>
        </w:rPr>
        <w:t>A</w:t>
      </w:r>
      <w:r w:rsidR="00040858" w:rsidRPr="00E80642">
        <w:rPr>
          <w:bCs/>
        </w:rPr>
        <w:t xml:space="preserve"> tax imposed by a town on earned income of the residen</w:t>
      </w:r>
      <w:r w:rsidR="00410AFC">
        <w:rPr>
          <w:bCs/>
        </w:rPr>
        <w:t>t</w:t>
      </w:r>
      <w:r w:rsidR="00040858" w:rsidRPr="00E80642">
        <w:rPr>
          <w:bCs/>
        </w:rPr>
        <w:t>, regardless of where earned, and on earnings of non-residen</w:t>
      </w:r>
      <w:r w:rsidR="00522276">
        <w:rPr>
          <w:bCs/>
        </w:rPr>
        <w:t>ts</w:t>
      </w:r>
      <w:r w:rsidR="00040858" w:rsidRPr="00E80642">
        <w:rPr>
          <w:bCs/>
        </w:rPr>
        <w:t xml:space="preserve"> working in the town, </w:t>
      </w:r>
      <w:r w:rsidR="00410AFC">
        <w:rPr>
          <w:bCs/>
        </w:rPr>
        <w:t xml:space="preserve">but </w:t>
      </w:r>
      <w:r w:rsidR="00040858" w:rsidRPr="00E80642">
        <w:rPr>
          <w:bCs/>
        </w:rPr>
        <w:t>with a credit for taxes paid by place</w:t>
      </w:r>
      <w:r w:rsidR="00410AFC">
        <w:rPr>
          <w:bCs/>
        </w:rPr>
        <w:t>-</w:t>
      </w:r>
      <w:r w:rsidR="00040858" w:rsidRPr="00E80642">
        <w:rPr>
          <w:bCs/>
        </w:rPr>
        <w:t>of</w:t>
      </w:r>
      <w:r w:rsidR="00410AFC">
        <w:rPr>
          <w:bCs/>
        </w:rPr>
        <w:t>-</w:t>
      </w:r>
      <w:r w:rsidR="00040858" w:rsidRPr="00E80642">
        <w:rPr>
          <w:bCs/>
        </w:rPr>
        <w:t xml:space="preserve">work, which we refer to as the “Residence-base Tax”. </w:t>
      </w:r>
    </w:p>
    <w:p w14:paraId="303C1612" w14:textId="1DBA8CDE" w:rsidR="00D26E24" w:rsidRPr="00D26E24" w:rsidRDefault="00D26E24" w:rsidP="00D26E24">
      <w:pPr>
        <w:spacing w:after="0" w:line="360" w:lineRule="auto"/>
        <w:rPr>
          <w:bCs/>
        </w:rPr>
      </w:pPr>
      <w:r>
        <w:rPr>
          <w:bCs/>
        </w:rPr>
        <w:t xml:space="preserve">It is also possible to adopt a regional income tax, however, we did not analyze that option. </w:t>
      </w:r>
    </w:p>
    <w:p w14:paraId="13FDE02D" w14:textId="77777777" w:rsidR="00410AFC" w:rsidRPr="00E80642" w:rsidRDefault="00410AFC" w:rsidP="00410AFC">
      <w:pPr>
        <w:pStyle w:val="ListParagraph"/>
        <w:spacing w:after="0" w:line="360" w:lineRule="auto"/>
        <w:ind w:left="1080"/>
        <w:rPr>
          <w:bCs/>
        </w:rPr>
      </w:pPr>
    </w:p>
    <w:p w14:paraId="1E1E4B15" w14:textId="77777777" w:rsidR="00040858" w:rsidRDefault="00040858" w:rsidP="00D73164">
      <w:pPr>
        <w:pStyle w:val="Heading3"/>
        <w:spacing w:before="0"/>
        <w:rPr>
          <w:bCs w:val="0"/>
        </w:rPr>
      </w:pPr>
      <w:bookmarkStart w:id="18" w:name="_Toc432058801"/>
      <w:bookmarkStart w:id="19" w:name="_Toc433373614"/>
      <w:r>
        <w:t xml:space="preserve">Estimated </w:t>
      </w:r>
      <w:r>
        <w:rPr>
          <w:bCs w:val="0"/>
        </w:rPr>
        <w:t>Revenue</w:t>
      </w:r>
      <w:bookmarkEnd w:id="18"/>
      <w:bookmarkEnd w:id="19"/>
    </w:p>
    <w:p w14:paraId="0B333136" w14:textId="7ED19434" w:rsidR="00040858" w:rsidRDefault="00040858" w:rsidP="00D73164">
      <w:pPr>
        <w:spacing w:after="0" w:line="360" w:lineRule="auto"/>
        <w:ind w:firstLine="720"/>
        <w:rPr>
          <w:color w:val="000000"/>
        </w:rPr>
      </w:pPr>
      <w:r>
        <w:rPr>
          <w:bCs/>
        </w:rPr>
        <w:t>We selected tax rates of one percent for the tax</w:t>
      </w:r>
      <w:r w:rsidR="00522276">
        <w:rPr>
          <w:bCs/>
        </w:rPr>
        <w:t>es</w:t>
      </w:r>
      <w:r>
        <w:rPr>
          <w:bCs/>
        </w:rPr>
        <w:t xml:space="preserve"> on earned income, 0.75 percent for the tax on adjusted gross income</w:t>
      </w:r>
      <w:r w:rsidR="00522276">
        <w:rPr>
          <w:bCs/>
        </w:rPr>
        <w:t xml:space="preserve"> (AGI Tax),</w:t>
      </w:r>
      <w:r>
        <w:rPr>
          <w:bCs/>
        </w:rPr>
        <w:t xml:space="preserve"> and 18 percent for the tax on state tax liability</w:t>
      </w:r>
      <w:r w:rsidR="00522276">
        <w:rPr>
          <w:bCs/>
        </w:rPr>
        <w:t xml:space="preserve"> (Income Surtax)</w:t>
      </w:r>
      <w:r>
        <w:rPr>
          <w:bCs/>
        </w:rPr>
        <w:t xml:space="preserve">. These rates yield similar total statewide tax revenue, namely, $1,084.0 million. </w:t>
      </w:r>
    </w:p>
    <w:p w14:paraId="45F38A28" w14:textId="06831555" w:rsidR="00040858" w:rsidRDefault="00040858" w:rsidP="00D73164">
      <w:pPr>
        <w:spacing w:after="0" w:line="360" w:lineRule="auto"/>
        <w:ind w:firstLine="720"/>
        <w:rPr>
          <w:color w:val="000000"/>
        </w:rPr>
      </w:pPr>
      <w:r>
        <w:rPr>
          <w:color w:val="000000"/>
        </w:rPr>
        <w:t>Revenue per capita differs widely across towns; per capita revenue range</w:t>
      </w:r>
      <w:r w:rsidR="00E80642">
        <w:rPr>
          <w:color w:val="000000"/>
        </w:rPr>
        <w:t>s</w:t>
      </w:r>
      <w:r>
        <w:rPr>
          <w:color w:val="000000"/>
        </w:rPr>
        <w:t xml:space="preserve"> from $40 to $</w:t>
      </w:r>
      <w:r w:rsidR="00B92827">
        <w:rPr>
          <w:color w:val="000000"/>
        </w:rPr>
        <w:t>1,773</w:t>
      </w:r>
      <w:r>
        <w:rPr>
          <w:color w:val="000000"/>
        </w:rPr>
        <w:t xml:space="preserve"> for </w:t>
      </w:r>
      <w:r w:rsidR="00E80642">
        <w:rPr>
          <w:color w:val="000000"/>
        </w:rPr>
        <w:t>the</w:t>
      </w:r>
      <w:r>
        <w:rPr>
          <w:color w:val="000000"/>
        </w:rPr>
        <w:t xml:space="preserve"> AGI</w:t>
      </w:r>
      <w:r w:rsidR="00E80642">
        <w:rPr>
          <w:color w:val="000000"/>
        </w:rPr>
        <w:t xml:space="preserve"> Tax</w:t>
      </w:r>
      <w:r>
        <w:rPr>
          <w:color w:val="000000"/>
        </w:rPr>
        <w:t>, and from $31 to $</w:t>
      </w:r>
      <w:r w:rsidR="00B92827">
        <w:rPr>
          <w:color w:val="000000"/>
        </w:rPr>
        <w:t>1,874</w:t>
      </w:r>
      <w:r>
        <w:rPr>
          <w:color w:val="000000"/>
        </w:rPr>
        <w:t xml:space="preserve"> for the </w:t>
      </w:r>
      <w:r w:rsidR="00E80642">
        <w:rPr>
          <w:color w:val="000000"/>
        </w:rPr>
        <w:t>Income Surtax</w:t>
      </w:r>
      <w:r>
        <w:rPr>
          <w:color w:val="000000"/>
        </w:rPr>
        <w:t xml:space="preserve">. </w:t>
      </w:r>
      <w:r w:rsidR="009013FF">
        <w:rPr>
          <w:color w:val="000000"/>
        </w:rPr>
        <w:t xml:space="preserve">These are substantial ranges. </w:t>
      </w:r>
      <w:r w:rsidR="00410AFC">
        <w:rPr>
          <w:color w:val="000000"/>
        </w:rPr>
        <w:t>If we don’t consider the 5 percent of towns with the highest revenue per capita and the 5 percent with the lowest per capita revenue, we find that f</w:t>
      </w:r>
      <w:r w:rsidR="00B92827">
        <w:rPr>
          <w:color w:val="000000"/>
        </w:rPr>
        <w:t xml:space="preserve">or 90 percent of the towns per capita </w:t>
      </w:r>
      <w:r w:rsidR="00410AFC">
        <w:rPr>
          <w:color w:val="000000"/>
        </w:rPr>
        <w:t xml:space="preserve">revenue </w:t>
      </w:r>
      <w:r w:rsidR="00B92827">
        <w:rPr>
          <w:color w:val="000000"/>
        </w:rPr>
        <w:t>ranges from $120 to $639</w:t>
      </w:r>
      <w:r w:rsidR="00410AFC" w:rsidRPr="00410AFC">
        <w:rPr>
          <w:color w:val="000000"/>
        </w:rPr>
        <w:t xml:space="preserve"> </w:t>
      </w:r>
      <w:r w:rsidR="00410AFC">
        <w:rPr>
          <w:color w:val="000000"/>
        </w:rPr>
        <w:t>for AGI Tax</w:t>
      </w:r>
      <w:r w:rsidR="00B92827">
        <w:rPr>
          <w:color w:val="000000"/>
        </w:rPr>
        <w:t xml:space="preserve">, and from $90 to $705 for the Income Surtax. </w:t>
      </w:r>
      <w:r>
        <w:rPr>
          <w:color w:val="000000"/>
        </w:rPr>
        <w:t xml:space="preserve">For most towns the revenue from the tax on AGI is similar to the revenue from the tax on tax liability. </w:t>
      </w:r>
    </w:p>
    <w:p w14:paraId="2B07FA72" w14:textId="0FD3AF4D" w:rsidR="00040858" w:rsidRDefault="00040858" w:rsidP="00D73164">
      <w:pPr>
        <w:spacing w:after="0" w:line="360" w:lineRule="auto"/>
        <w:ind w:firstLine="720"/>
        <w:rPr>
          <w:color w:val="000000"/>
        </w:rPr>
      </w:pPr>
      <w:r>
        <w:rPr>
          <w:color w:val="000000"/>
        </w:rPr>
        <w:t xml:space="preserve">Per capita revenue for the </w:t>
      </w:r>
      <w:r w:rsidR="00E80642">
        <w:rPr>
          <w:color w:val="000000"/>
        </w:rPr>
        <w:t>P</w:t>
      </w:r>
      <w:r>
        <w:rPr>
          <w:color w:val="000000"/>
        </w:rPr>
        <w:t xml:space="preserve">ayroll </w:t>
      </w:r>
      <w:r w:rsidR="00E80642">
        <w:rPr>
          <w:color w:val="000000"/>
        </w:rPr>
        <w:t>T</w:t>
      </w:r>
      <w:r>
        <w:rPr>
          <w:color w:val="000000"/>
        </w:rPr>
        <w:t>ax ranges from $22 to $</w:t>
      </w:r>
      <w:r w:rsidR="00744C8D">
        <w:rPr>
          <w:color w:val="000000"/>
        </w:rPr>
        <w:t>872</w:t>
      </w:r>
      <w:r>
        <w:rPr>
          <w:color w:val="000000"/>
        </w:rPr>
        <w:t xml:space="preserve">. The per capita revenue for the </w:t>
      </w:r>
      <w:r w:rsidR="00E80642">
        <w:rPr>
          <w:color w:val="000000"/>
        </w:rPr>
        <w:t>P</w:t>
      </w:r>
      <w:r>
        <w:rPr>
          <w:color w:val="000000"/>
        </w:rPr>
        <w:t xml:space="preserve">ayroll </w:t>
      </w:r>
      <w:r w:rsidR="00E80642">
        <w:rPr>
          <w:color w:val="000000"/>
        </w:rPr>
        <w:t>T</w:t>
      </w:r>
      <w:r>
        <w:rPr>
          <w:color w:val="000000"/>
        </w:rPr>
        <w:t>a</w:t>
      </w:r>
      <w:r w:rsidR="00B92827">
        <w:rPr>
          <w:color w:val="000000"/>
        </w:rPr>
        <w:t>x is positively related to AGI T</w:t>
      </w:r>
      <w:r>
        <w:rPr>
          <w:color w:val="000000"/>
        </w:rPr>
        <w:t xml:space="preserve">ax revenue per capita, but the correlation is small, 0.27. The reason is that AGI is based on the income of the residents of a town, while the payroll tax is based on the earned income of those working in the town.  </w:t>
      </w:r>
    </w:p>
    <w:p w14:paraId="6C1FC00D" w14:textId="757477B5" w:rsidR="00040858" w:rsidRDefault="00040858" w:rsidP="00D73164">
      <w:pPr>
        <w:spacing w:after="0" w:line="360" w:lineRule="auto"/>
        <w:ind w:firstLine="720"/>
        <w:rPr>
          <w:color w:val="000000"/>
        </w:rPr>
      </w:pPr>
      <w:r>
        <w:rPr>
          <w:color w:val="000000"/>
        </w:rPr>
        <w:t>Per capita revenues for the Split Earnings Tax ranges from $97 to $</w:t>
      </w:r>
      <w:r w:rsidR="00744C8D">
        <w:rPr>
          <w:color w:val="000000"/>
        </w:rPr>
        <w:t>760</w:t>
      </w:r>
      <w:r>
        <w:rPr>
          <w:color w:val="000000"/>
        </w:rPr>
        <w:t>. For towns with low values of per capita Payroll Tax revenue, the per capita revenue for the Split Earning Tax is greater than the Payroll Tax</w:t>
      </w:r>
      <w:r w:rsidRPr="00A37EA7">
        <w:rPr>
          <w:color w:val="000000"/>
        </w:rPr>
        <w:t xml:space="preserve"> </w:t>
      </w:r>
      <w:r>
        <w:rPr>
          <w:color w:val="000000"/>
        </w:rPr>
        <w:t>revenu</w:t>
      </w:r>
      <w:r w:rsidR="00B92827">
        <w:rPr>
          <w:color w:val="000000"/>
        </w:rPr>
        <w:t>e per capita. Towns with small P</w:t>
      </w:r>
      <w:r>
        <w:rPr>
          <w:color w:val="000000"/>
        </w:rPr>
        <w:t xml:space="preserve">ayroll </w:t>
      </w:r>
      <w:r w:rsidR="00B92827">
        <w:rPr>
          <w:color w:val="000000"/>
        </w:rPr>
        <w:t>T</w:t>
      </w:r>
      <w:r>
        <w:rPr>
          <w:color w:val="000000"/>
        </w:rPr>
        <w:t>ax bases are likely to be residential communities so that resident earned income is likely to be larger than payroll earned income. The opposite is the case for towns with large Payroll Tax revenue</w:t>
      </w:r>
      <w:r w:rsidRPr="006E50E8">
        <w:rPr>
          <w:color w:val="000000"/>
        </w:rPr>
        <w:t xml:space="preserve"> </w:t>
      </w:r>
      <w:r>
        <w:rPr>
          <w:color w:val="000000"/>
        </w:rPr>
        <w:t>per capita.</w:t>
      </w:r>
    </w:p>
    <w:p w14:paraId="1917AE5B" w14:textId="53985931" w:rsidR="00040858" w:rsidRDefault="00040858" w:rsidP="00D73164">
      <w:pPr>
        <w:spacing w:after="0" w:line="360" w:lineRule="auto"/>
        <w:ind w:firstLine="720"/>
        <w:rPr>
          <w:b/>
          <w:color w:val="000000"/>
        </w:rPr>
      </w:pPr>
      <w:r>
        <w:rPr>
          <w:color w:val="000000"/>
        </w:rPr>
        <w:t xml:space="preserve">One possible objective </w:t>
      </w:r>
      <w:r w:rsidR="00410AFC">
        <w:rPr>
          <w:color w:val="000000"/>
        </w:rPr>
        <w:t>for adopting</w:t>
      </w:r>
      <w:r>
        <w:rPr>
          <w:color w:val="000000"/>
        </w:rPr>
        <w:t xml:space="preserve"> a local income tax is to reduce property taxes. In the aggregate, </w:t>
      </w:r>
      <w:r w:rsidR="00B92827">
        <w:rPr>
          <w:color w:val="000000"/>
        </w:rPr>
        <w:t>a local</w:t>
      </w:r>
      <w:r>
        <w:rPr>
          <w:color w:val="000000"/>
        </w:rPr>
        <w:t xml:space="preserve"> income taxes</w:t>
      </w:r>
      <w:r w:rsidR="00B92827">
        <w:rPr>
          <w:color w:val="000000"/>
        </w:rPr>
        <w:t xml:space="preserve"> in Connecticut would</w:t>
      </w:r>
      <w:r>
        <w:rPr>
          <w:color w:val="000000"/>
        </w:rPr>
        <w:t xml:space="preserve"> generate sufficient revenue to reduce total property taxes</w:t>
      </w:r>
      <w:r w:rsidR="00410AFC">
        <w:rPr>
          <w:color w:val="000000"/>
        </w:rPr>
        <w:t>, including school property taxes,</w:t>
      </w:r>
      <w:r>
        <w:rPr>
          <w:color w:val="000000"/>
        </w:rPr>
        <w:t xml:space="preserve"> by about 11.5 percent. But there are substantial difference between towns in the possible reduction in property taxes, and furthermore the possible reduction for a town differs by tax. </w:t>
      </w:r>
    </w:p>
    <w:p w14:paraId="3C88A7CF" w14:textId="02F343ED" w:rsidR="00040858" w:rsidRDefault="00040858" w:rsidP="00D73164">
      <w:pPr>
        <w:spacing w:after="0" w:line="360" w:lineRule="auto"/>
        <w:ind w:firstLine="720"/>
        <w:rPr>
          <w:bCs/>
        </w:rPr>
      </w:pPr>
      <w:r>
        <w:rPr>
          <w:color w:val="000000"/>
        </w:rPr>
        <w:t xml:space="preserve">Given the data that were available errors in estimated revenue are likely. A </w:t>
      </w:r>
      <w:r>
        <w:rPr>
          <w:bCs/>
        </w:rPr>
        <w:t>limitation with the data is that they do not include earnings of Connecticut residents who work out-of-state; we are unable to adjust for this.</w:t>
      </w:r>
      <w:r w:rsidR="00B92827">
        <w:rPr>
          <w:bCs/>
        </w:rPr>
        <w:t xml:space="preserve"> </w:t>
      </w:r>
      <w:r>
        <w:rPr>
          <w:bCs/>
        </w:rPr>
        <w:t>Thus, i</w:t>
      </w:r>
      <w:r w:rsidRPr="00122DFB">
        <w:rPr>
          <w:color w:val="000000"/>
        </w:rPr>
        <w:t xml:space="preserve">t needs to be stressed that the estimates by town are reasonable indications of local </w:t>
      </w:r>
      <w:r w:rsidR="00B92827">
        <w:rPr>
          <w:color w:val="000000"/>
        </w:rPr>
        <w:t>income</w:t>
      </w:r>
      <w:r w:rsidRPr="00122DFB">
        <w:rPr>
          <w:color w:val="000000"/>
        </w:rPr>
        <w:t xml:space="preserve"> tax revenue for informing state tax policy, but not for local government budget making.</w:t>
      </w:r>
    </w:p>
    <w:p w14:paraId="619A865D" w14:textId="77777777" w:rsidR="00040858" w:rsidRDefault="00040858" w:rsidP="00D73164">
      <w:pPr>
        <w:spacing w:after="0" w:line="360" w:lineRule="auto"/>
        <w:ind w:firstLine="720"/>
        <w:rPr>
          <w:color w:val="000000"/>
        </w:rPr>
      </w:pPr>
    </w:p>
    <w:p w14:paraId="1D618D3E" w14:textId="77777777" w:rsidR="00FF4666" w:rsidRDefault="00FF4666" w:rsidP="00D73164">
      <w:pPr>
        <w:spacing w:after="0" w:line="360" w:lineRule="auto"/>
        <w:ind w:firstLine="720"/>
        <w:rPr>
          <w:color w:val="000000"/>
        </w:rPr>
      </w:pPr>
    </w:p>
    <w:p w14:paraId="002199A5" w14:textId="77777777" w:rsidR="00040858" w:rsidRDefault="00040858" w:rsidP="00D73164">
      <w:pPr>
        <w:pStyle w:val="Heading3"/>
        <w:spacing w:before="0"/>
      </w:pPr>
      <w:bookmarkStart w:id="20" w:name="_Toc432058802"/>
      <w:bookmarkStart w:id="21" w:name="_Toc433373615"/>
      <w:r>
        <w:t>Economic Effects</w:t>
      </w:r>
      <w:bookmarkEnd w:id="20"/>
      <w:bookmarkEnd w:id="21"/>
    </w:p>
    <w:p w14:paraId="24100C16" w14:textId="77777777" w:rsidR="00040858" w:rsidRDefault="00040858" w:rsidP="00D73164">
      <w:pPr>
        <w:spacing w:after="0" w:line="360" w:lineRule="auto"/>
        <w:ind w:firstLine="720"/>
      </w:pPr>
      <w:r>
        <w:t>In considering whether to recommend allowing local governments to use local income taxes, the following factors are relevant.</w:t>
      </w:r>
    </w:p>
    <w:p w14:paraId="16AC63DD" w14:textId="77777777" w:rsidR="00040858" w:rsidRPr="00FE5579" w:rsidRDefault="00040858" w:rsidP="00D73164">
      <w:pPr>
        <w:spacing w:after="0" w:line="360" w:lineRule="auto"/>
        <w:ind w:firstLine="720"/>
        <w:rPr>
          <w:bCs/>
        </w:rPr>
      </w:pPr>
    </w:p>
    <w:p w14:paraId="6E7FDC2A" w14:textId="77777777" w:rsidR="00040858" w:rsidRPr="006D71D3" w:rsidRDefault="00040858" w:rsidP="00D73164">
      <w:pPr>
        <w:pStyle w:val="ListParagraph"/>
        <w:numPr>
          <w:ilvl w:val="0"/>
          <w:numId w:val="18"/>
        </w:numPr>
        <w:spacing w:after="0" w:line="360" w:lineRule="auto"/>
        <w:ind w:left="360"/>
        <w:rPr>
          <w:bCs/>
        </w:rPr>
      </w:pPr>
      <w:r w:rsidRPr="006D71D3">
        <w:rPr>
          <w:bCs/>
        </w:rPr>
        <w:t>Effect on Employment</w:t>
      </w:r>
    </w:p>
    <w:p w14:paraId="3A2E3104" w14:textId="42744E2C" w:rsidR="00040858" w:rsidRDefault="00040858" w:rsidP="00D73164">
      <w:pPr>
        <w:spacing w:after="0" w:line="360" w:lineRule="auto"/>
        <w:ind w:left="360"/>
        <w:rPr>
          <w:bCs/>
        </w:rPr>
      </w:pPr>
      <w:r>
        <w:rPr>
          <w:bCs/>
        </w:rPr>
        <w:t>It is expected that a local income tax will have a small, negative effect on hours worked. To the extent the local income tax rates differ across towns,</w:t>
      </w:r>
      <w:r w:rsidR="00B92827">
        <w:rPr>
          <w:bCs/>
        </w:rPr>
        <w:t xml:space="preserve"> for example, if not all towns adopted a local income tax, </w:t>
      </w:r>
      <w:r>
        <w:rPr>
          <w:bCs/>
        </w:rPr>
        <w:t xml:space="preserve">it is expected that the tax differential will cause migration of the tax base from the towns with the higher income tax rates to those towns with lower tax rates, but with the tax rates proposed, the effect will be small. </w:t>
      </w:r>
      <w:r w:rsidRPr="00710363">
        <w:rPr>
          <w:bCs/>
        </w:rPr>
        <w:t xml:space="preserve">Much of the research on the effect of local income taxes on tax base mobility has focused on Philadelphia, for which differential income tax rates have been shown to result in migration of workers across the </w:t>
      </w:r>
      <w:r w:rsidR="00FF4666">
        <w:rPr>
          <w:bCs/>
        </w:rPr>
        <w:t xml:space="preserve">Philadelphia </w:t>
      </w:r>
      <w:r w:rsidRPr="00710363">
        <w:rPr>
          <w:bCs/>
        </w:rPr>
        <w:t xml:space="preserve">region. </w:t>
      </w:r>
    </w:p>
    <w:p w14:paraId="0D863C5B" w14:textId="77777777" w:rsidR="00F856B4" w:rsidRDefault="00F856B4" w:rsidP="00D73164">
      <w:pPr>
        <w:spacing w:after="0" w:line="360" w:lineRule="auto"/>
        <w:ind w:left="360"/>
        <w:rPr>
          <w:bCs/>
        </w:rPr>
      </w:pPr>
    </w:p>
    <w:p w14:paraId="467583CC" w14:textId="77777777" w:rsidR="00040858" w:rsidRPr="006805AD" w:rsidRDefault="00040858" w:rsidP="00D73164">
      <w:pPr>
        <w:pStyle w:val="ListParagraph"/>
        <w:numPr>
          <w:ilvl w:val="0"/>
          <w:numId w:val="18"/>
        </w:numPr>
        <w:spacing w:after="0" w:line="360" w:lineRule="auto"/>
        <w:ind w:left="360"/>
        <w:rPr>
          <w:color w:val="000000"/>
        </w:rPr>
      </w:pPr>
      <w:r w:rsidRPr="006805AD">
        <w:rPr>
          <w:color w:val="000000"/>
        </w:rPr>
        <w:t>Effect on Tax Competition</w:t>
      </w:r>
    </w:p>
    <w:p w14:paraId="254DF95C" w14:textId="47DF290F" w:rsidR="00040858" w:rsidRDefault="00040858" w:rsidP="00D73164">
      <w:pPr>
        <w:spacing w:after="0" w:line="360" w:lineRule="auto"/>
        <w:ind w:left="360"/>
        <w:rPr>
          <w:color w:val="000000"/>
        </w:rPr>
      </w:pPr>
      <w:r>
        <w:rPr>
          <w:color w:val="000000"/>
        </w:rPr>
        <w:t xml:space="preserve">The adoption of an income tax will change the incentives for local government competition for tax base. Currently, towns compete for property tax base, with commercial and industrial property being more desirable since there </w:t>
      </w:r>
      <w:r w:rsidR="00B92827">
        <w:rPr>
          <w:color w:val="000000"/>
        </w:rPr>
        <w:t>are</w:t>
      </w:r>
      <w:r>
        <w:rPr>
          <w:color w:val="000000"/>
        </w:rPr>
        <w:t xml:space="preserve"> less associated </w:t>
      </w:r>
      <w:r w:rsidR="00B92827">
        <w:rPr>
          <w:color w:val="000000"/>
        </w:rPr>
        <w:t xml:space="preserve">public </w:t>
      </w:r>
      <w:r>
        <w:rPr>
          <w:color w:val="000000"/>
        </w:rPr>
        <w:t>service cost</w:t>
      </w:r>
      <w:r w:rsidR="00B92827">
        <w:rPr>
          <w:color w:val="000000"/>
        </w:rPr>
        <w:t>s</w:t>
      </w:r>
      <w:r>
        <w:rPr>
          <w:color w:val="000000"/>
        </w:rPr>
        <w:t xml:space="preserve"> than for residential property. Adopting an income tax provides an incentive for towns to compete more strongly for high wage households or high wage jobs, and somewhat less for property. </w:t>
      </w:r>
    </w:p>
    <w:p w14:paraId="3B640681" w14:textId="77777777" w:rsidR="00040858" w:rsidRPr="0045140B" w:rsidRDefault="00040858" w:rsidP="00D73164">
      <w:pPr>
        <w:spacing w:after="0" w:line="360" w:lineRule="auto"/>
        <w:ind w:firstLine="720"/>
        <w:rPr>
          <w:color w:val="000000"/>
        </w:rPr>
      </w:pPr>
    </w:p>
    <w:p w14:paraId="075A52AA" w14:textId="77777777" w:rsidR="00040858" w:rsidRPr="006805AD" w:rsidRDefault="00040858" w:rsidP="00D73164">
      <w:pPr>
        <w:pStyle w:val="ListParagraph"/>
        <w:numPr>
          <w:ilvl w:val="0"/>
          <w:numId w:val="18"/>
        </w:numPr>
        <w:spacing w:after="0" w:line="360" w:lineRule="auto"/>
        <w:ind w:left="360"/>
        <w:rPr>
          <w:color w:val="000000"/>
        </w:rPr>
      </w:pPr>
      <w:r w:rsidRPr="006805AD">
        <w:rPr>
          <w:color w:val="000000"/>
        </w:rPr>
        <w:t>Effect on Equity</w:t>
      </w:r>
    </w:p>
    <w:p w14:paraId="2F220865" w14:textId="38FC75AA" w:rsidR="00040858" w:rsidRDefault="00B92827" w:rsidP="00D73164">
      <w:pPr>
        <w:spacing w:after="0" w:line="360" w:lineRule="auto"/>
        <w:ind w:left="360"/>
        <w:rPr>
          <w:color w:val="000000"/>
        </w:rPr>
      </w:pPr>
      <w:r w:rsidRPr="000A1202">
        <w:rPr>
          <w:color w:val="000000"/>
        </w:rPr>
        <w:t xml:space="preserve">The distribution </w:t>
      </w:r>
      <w:r>
        <w:rPr>
          <w:color w:val="000000"/>
        </w:rPr>
        <w:t>of the tax payments across households</w:t>
      </w:r>
      <w:r w:rsidRPr="000A1202">
        <w:rPr>
          <w:color w:val="000000"/>
        </w:rPr>
        <w:t xml:space="preserve"> </w:t>
      </w:r>
      <w:r>
        <w:rPr>
          <w:color w:val="000000"/>
        </w:rPr>
        <w:t>from the AGI Tax</w:t>
      </w:r>
      <w:r w:rsidR="00040858" w:rsidRPr="000A1202">
        <w:rPr>
          <w:color w:val="000000"/>
        </w:rPr>
        <w:t xml:space="preserve"> will be proportional, assuming that income is measured by AGI. </w:t>
      </w:r>
      <w:r>
        <w:rPr>
          <w:color w:val="000000"/>
        </w:rPr>
        <w:t>The distribution for</w:t>
      </w:r>
      <w:r w:rsidR="00040858" w:rsidRPr="000A1202">
        <w:rPr>
          <w:color w:val="000000"/>
        </w:rPr>
        <w:t xml:space="preserve"> the </w:t>
      </w:r>
      <w:r>
        <w:rPr>
          <w:color w:val="000000"/>
        </w:rPr>
        <w:t>Income Surtax</w:t>
      </w:r>
      <w:r w:rsidR="00040858" w:rsidRPr="000A1202">
        <w:rPr>
          <w:color w:val="000000"/>
        </w:rPr>
        <w:t xml:space="preserve"> will be the same as the distribution of the state income tax liability.</w:t>
      </w:r>
      <w:r w:rsidR="00040858">
        <w:rPr>
          <w:color w:val="000000"/>
        </w:rPr>
        <w:t xml:space="preserve"> </w:t>
      </w:r>
      <w:r w:rsidR="00040858" w:rsidRPr="000A1202">
        <w:rPr>
          <w:bCs/>
        </w:rPr>
        <w:t xml:space="preserve">Local </w:t>
      </w:r>
      <w:r w:rsidR="00040858">
        <w:rPr>
          <w:bCs/>
        </w:rPr>
        <w:t>earned income</w:t>
      </w:r>
      <w:r w:rsidR="00040858" w:rsidRPr="000A1202">
        <w:rPr>
          <w:bCs/>
        </w:rPr>
        <w:t xml:space="preserve"> taxes are slightly regressive since not all income sources are taxed and the excluded income (largely returns to capital) are associated with higher income households. </w:t>
      </w:r>
      <w:r w:rsidR="00040858">
        <w:rPr>
          <w:color w:val="000000"/>
        </w:rPr>
        <w:t>Any of the local income taxes will be less regressive than either property taxes or sales taxes.</w:t>
      </w:r>
    </w:p>
    <w:p w14:paraId="47A8CCDA" w14:textId="77777777" w:rsidR="00040858" w:rsidRDefault="00040858" w:rsidP="00D73164">
      <w:pPr>
        <w:spacing w:after="0" w:line="360" w:lineRule="auto"/>
        <w:ind w:firstLine="720"/>
        <w:rPr>
          <w:bCs/>
        </w:rPr>
      </w:pPr>
    </w:p>
    <w:p w14:paraId="31C7AFF2" w14:textId="77777777" w:rsidR="00040858" w:rsidRPr="006805AD" w:rsidRDefault="00040858" w:rsidP="00D73164">
      <w:pPr>
        <w:pStyle w:val="ListParagraph"/>
        <w:numPr>
          <w:ilvl w:val="0"/>
          <w:numId w:val="18"/>
        </w:numPr>
        <w:spacing w:after="0" w:line="360" w:lineRule="auto"/>
        <w:ind w:left="360"/>
        <w:rPr>
          <w:color w:val="000000"/>
        </w:rPr>
      </w:pPr>
      <w:r w:rsidRPr="006805AD">
        <w:rPr>
          <w:color w:val="000000"/>
        </w:rPr>
        <w:t xml:space="preserve">Effect on Fiscal </w:t>
      </w:r>
      <w:r>
        <w:rPr>
          <w:color w:val="000000"/>
        </w:rPr>
        <w:t>Disparities</w:t>
      </w:r>
    </w:p>
    <w:p w14:paraId="54B5AE34" w14:textId="02E7BCAA" w:rsidR="00040858" w:rsidRDefault="00040858" w:rsidP="00D73164">
      <w:pPr>
        <w:spacing w:after="0" w:line="360" w:lineRule="auto"/>
        <w:ind w:left="360"/>
        <w:rPr>
          <w:color w:val="000000"/>
        </w:rPr>
      </w:pPr>
      <w:r>
        <w:rPr>
          <w:color w:val="000000"/>
        </w:rPr>
        <w:t>Income tax revenue per capita</w:t>
      </w:r>
      <w:r w:rsidRPr="003737CD">
        <w:rPr>
          <w:color w:val="000000"/>
        </w:rPr>
        <w:t xml:space="preserve"> </w:t>
      </w:r>
      <w:r>
        <w:rPr>
          <w:color w:val="000000"/>
        </w:rPr>
        <w:t xml:space="preserve">is generally larger for towns with better fiscal health, as measured by </w:t>
      </w:r>
      <w:r w:rsidR="00FF4666">
        <w:rPr>
          <w:color w:val="000000"/>
        </w:rPr>
        <w:t xml:space="preserve">the </w:t>
      </w:r>
      <w:r>
        <w:rPr>
          <w:color w:val="000000"/>
        </w:rPr>
        <w:t>index</w:t>
      </w:r>
      <w:r w:rsidRPr="003737CD">
        <w:rPr>
          <w:color w:val="000000"/>
        </w:rPr>
        <w:t xml:space="preserve"> of fiscal disparities </w:t>
      </w:r>
      <w:r>
        <w:rPr>
          <w:color w:val="000000"/>
        </w:rPr>
        <w:t xml:space="preserve">created by the </w:t>
      </w:r>
      <w:r w:rsidRPr="003737CD">
        <w:rPr>
          <w:color w:val="000000"/>
        </w:rPr>
        <w:t xml:space="preserve">New England Public Policy Center </w:t>
      </w:r>
      <w:r w:rsidRPr="003737CD">
        <w:rPr>
          <w:color w:val="000000"/>
        </w:rPr>
        <w:lastRenderedPageBreak/>
        <w:t>at the Federal Reserve Bank of Boston (Zhao and Weiner 2015)</w:t>
      </w:r>
      <w:r>
        <w:rPr>
          <w:color w:val="000000"/>
        </w:rPr>
        <w:t xml:space="preserve">. This is particularly true for the AGI </w:t>
      </w:r>
      <w:r w:rsidR="00E80642">
        <w:rPr>
          <w:color w:val="000000"/>
        </w:rPr>
        <w:t>T</w:t>
      </w:r>
      <w:r>
        <w:rPr>
          <w:color w:val="000000"/>
        </w:rPr>
        <w:t>ax</w:t>
      </w:r>
      <w:r w:rsidR="00E80642">
        <w:rPr>
          <w:color w:val="000000"/>
        </w:rPr>
        <w:t>, the Income Surtax,</w:t>
      </w:r>
      <w:r>
        <w:rPr>
          <w:color w:val="000000"/>
        </w:rPr>
        <w:t xml:space="preserve"> and the Split Earnings Tax. Thus, the adoption of local income taxes will not offset existing fiscal disparities. The results are the same if we consider property tax base (i.e., Grand List) per capita rather than the index of fiscal disparities.</w:t>
      </w:r>
    </w:p>
    <w:p w14:paraId="58E8F22E" w14:textId="77777777" w:rsidR="00040858" w:rsidRDefault="00040858" w:rsidP="00D73164">
      <w:pPr>
        <w:spacing w:after="0" w:line="360" w:lineRule="auto"/>
        <w:rPr>
          <w:color w:val="000000"/>
        </w:rPr>
      </w:pPr>
    </w:p>
    <w:p w14:paraId="7B9FC120" w14:textId="77777777" w:rsidR="00040858" w:rsidRPr="00B62F01" w:rsidRDefault="00040858" w:rsidP="00D73164">
      <w:pPr>
        <w:pStyle w:val="ListParagraph"/>
        <w:numPr>
          <w:ilvl w:val="0"/>
          <w:numId w:val="18"/>
        </w:numPr>
        <w:spacing w:after="0" w:line="360" w:lineRule="auto"/>
        <w:ind w:left="360"/>
        <w:rPr>
          <w:color w:val="000000"/>
        </w:rPr>
      </w:pPr>
      <w:r>
        <w:rPr>
          <w:color w:val="000000"/>
        </w:rPr>
        <w:t>Other Issues</w:t>
      </w:r>
    </w:p>
    <w:p w14:paraId="3AC0D07A" w14:textId="31DD3384" w:rsidR="00040858" w:rsidRDefault="00040858" w:rsidP="00D73164">
      <w:pPr>
        <w:spacing w:after="0" w:line="360" w:lineRule="auto"/>
        <w:ind w:left="360"/>
        <w:rPr>
          <w:bCs/>
          <w:color w:val="000000"/>
        </w:rPr>
      </w:pPr>
      <w:r w:rsidRPr="00B62F01">
        <w:rPr>
          <w:color w:val="000000"/>
        </w:rPr>
        <w:t>The cost of administration and compliance, assuming state administration, would be small for a local income tax that is based on state AGI or state tax liability. The administrative cost for an earned income tax administrated by each town will be large relative to the tax revenue generated, and would require significant administrative capabilities</w:t>
      </w:r>
      <w:r w:rsidR="00E80642">
        <w:rPr>
          <w:color w:val="000000"/>
        </w:rPr>
        <w:t>, although regional administration would likely reduce the total cost of administration</w:t>
      </w:r>
      <w:r w:rsidRPr="00B62F01">
        <w:rPr>
          <w:color w:val="000000"/>
        </w:rPr>
        <w:t xml:space="preserve">. Given the size of many of the towns in Connecticut, we suspect that administrating such a tax for many towns would be a challenge. If the tax is based on payroll, the tax would generate tax revenue from commuters, and thus offset some of the service costs associated with commuters and visitors. </w:t>
      </w:r>
    </w:p>
    <w:p w14:paraId="120AA8DF" w14:textId="77777777" w:rsidR="00040858" w:rsidRDefault="00040858" w:rsidP="00D73164">
      <w:pPr>
        <w:spacing w:after="0" w:line="360" w:lineRule="auto"/>
        <w:rPr>
          <w:bCs/>
          <w:color w:val="000000"/>
        </w:rPr>
      </w:pPr>
    </w:p>
    <w:p w14:paraId="3DFD309A" w14:textId="77777777" w:rsidR="00040858" w:rsidRPr="00B62F01" w:rsidRDefault="00040858" w:rsidP="00D73164">
      <w:pPr>
        <w:pStyle w:val="Heading2"/>
        <w:spacing w:before="0"/>
      </w:pPr>
      <w:bookmarkStart w:id="22" w:name="_Toc432058803"/>
      <w:bookmarkStart w:id="23" w:name="_Toc433373616"/>
      <w:r>
        <w:t>Local Option Tax Design Issues</w:t>
      </w:r>
      <w:bookmarkEnd w:id="22"/>
      <w:bookmarkEnd w:id="23"/>
    </w:p>
    <w:p w14:paraId="353E69A0" w14:textId="77777777" w:rsidR="00040858" w:rsidRDefault="00040858" w:rsidP="00D73164">
      <w:pPr>
        <w:spacing w:after="0" w:line="360" w:lineRule="auto"/>
        <w:ind w:firstLine="720"/>
        <w:rPr>
          <w:color w:val="000000"/>
        </w:rPr>
      </w:pPr>
      <w:r>
        <w:rPr>
          <w:color w:val="000000"/>
        </w:rPr>
        <w:t>If Connecticut chooses to allow cities to adopt a local sales tax or a local income tax, the state will have to specify the design of the tax structure, which means selecting one of the options for each of several parameters or features. In particular, the state will have to:</w:t>
      </w:r>
    </w:p>
    <w:p w14:paraId="3666E542" w14:textId="77777777" w:rsidR="00040858" w:rsidRDefault="00040858" w:rsidP="00D73164">
      <w:pPr>
        <w:pStyle w:val="ListParagraph"/>
        <w:numPr>
          <w:ilvl w:val="0"/>
          <w:numId w:val="19"/>
        </w:numPr>
        <w:spacing w:after="0" w:line="360" w:lineRule="auto"/>
        <w:ind w:left="1080"/>
        <w:rPr>
          <w:color w:val="000000"/>
        </w:rPr>
      </w:pPr>
      <w:r>
        <w:rPr>
          <w:color w:val="000000"/>
        </w:rPr>
        <w:t xml:space="preserve">Define of the </w:t>
      </w:r>
      <w:r w:rsidRPr="00785938">
        <w:rPr>
          <w:color w:val="000000"/>
        </w:rPr>
        <w:t>tax base</w:t>
      </w:r>
      <w:r>
        <w:rPr>
          <w:color w:val="000000"/>
        </w:rPr>
        <w:t>;</w:t>
      </w:r>
    </w:p>
    <w:p w14:paraId="2475EF6B" w14:textId="483AC7EF" w:rsidR="00040858" w:rsidRDefault="00040858" w:rsidP="00D73164">
      <w:pPr>
        <w:pStyle w:val="ListParagraph"/>
        <w:numPr>
          <w:ilvl w:val="0"/>
          <w:numId w:val="19"/>
        </w:numPr>
        <w:spacing w:after="0" w:line="360" w:lineRule="auto"/>
        <w:ind w:left="1080"/>
        <w:rPr>
          <w:color w:val="000000"/>
        </w:rPr>
      </w:pPr>
      <w:r>
        <w:rPr>
          <w:color w:val="000000"/>
        </w:rPr>
        <w:t xml:space="preserve">Specify the </w:t>
      </w:r>
      <w:r w:rsidRPr="00785938">
        <w:rPr>
          <w:color w:val="000000"/>
        </w:rPr>
        <w:t>allowable tax rate</w:t>
      </w:r>
      <w:r w:rsidR="00B92827">
        <w:rPr>
          <w:color w:val="000000"/>
        </w:rPr>
        <w:t xml:space="preserve"> or rates</w:t>
      </w:r>
      <w:r>
        <w:rPr>
          <w:color w:val="000000"/>
        </w:rPr>
        <w:t>;</w:t>
      </w:r>
    </w:p>
    <w:p w14:paraId="5B6E9890" w14:textId="77777777" w:rsidR="00040858" w:rsidRDefault="00040858" w:rsidP="00D73164">
      <w:pPr>
        <w:pStyle w:val="ListParagraph"/>
        <w:numPr>
          <w:ilvl w:val="0"/>
          <w:numId w:val="19"/>
        </w:numPr>
        <w:spacing w:after="0" w:line="360" w:lineRule="auto"/>
        <w:ind w:left="1080"/>
        <w:rPr>
          <w:color w:val="000000"/>
        </w:rPr>
      </w:pPr>
      <w:r>
        <w:rPr>
          <w:color w:val="000000"/>
        </w:rPr>
        <w:t>Determine w</w:t>
      </w:r>
      <w:r w:rsidRPr="00785938">
        <w:rPr>
          <w:color w:val="000000"/>
        </w:rPr>
        <w:t>hether the tax is optional or mandated</w:t>
      </w:r>
      <w:r>
        <w:rPr>
          <w:color w:val="000000"/>
        </w:rPr>
        <w:t>;</w:t>
      </w:r>
    </w:p>
    <w:p w14:paraId="3CDFAB19" w14:textId="77777777" w:rsidR="00040858" w:rsidRDefault="00040858" w:rsidP="00D73164">
      <w:pPr>
        <w:pStyle w:val="ListParagraph"/>
        <w:numPr>
          <w:ilvl w:val="0"/>
          <w:numId w:val="19"/>
        </w:numPr>
        <w:spacing w:after="0" w:line="360" w:lineRule="auto"/>
        <w:ind w:left="1080"/>
        <w:rPr>
          <w:color w:val="000000"/>
        </w:rPr>
      </w:pPr>
      <w:r>
        <w:rPr>
          <w:color w:val="000000"/>
        </w:rPr>
        <w:t>Determine w</w:t>
      </w:r>
      <w:r w:rsidRPr="00785938">
        <w:rPr>
          <w:color w:val="000000"/>
        </w:rPr>
        <w:t xml:space="preserve">hether the </w:t>
      </w:r>
      <w:r>
        <w:rPr>
          <w:color w:val="000000"/>
        </w:rPr>
        <w:t>town</w:t>
      </w:r>
      <w:r w:rsidRPr="00785938">
        <w:rPr>
          <w:color w:val="000000"/>
        </w:rPr>
        <w:t>’</w:t>
      </w:r>
      <w:r>
        <w:rPr>
          <w:color w:val="000000"/>
        </w:rPr>
        <w:t xml:space="preserve">s elected officials can adopt the </w:t>
      </w:r>
      <w:r w:rsidRPr="00785938">
        <w:rPr>
          <w:color w:val="000000"/>
        </w:rPr>
        <w:t xml:space="preserve">tax on their own or whether to require voter approval through a referendum; </w:t>
      </w:r>
    </w:p>
    <w:p w14:paraId="6BB3AF4D" w14:textId="1214F91D" w:rsidR="00040858" w:rsidRDefault="00040858" w:rsidP="00D73164">
      <w:pPr>
        <w:pStyle w:val="ListParagraph"/>
        <w:numPr>
          <w:ilvl w:val="0"/>
          <w:numId w:val="19"/>
        </w:numPr>
        <w:spacing w:after="0" w:line="360" w:lineRule="auto"/>
        <w:ind w:left="1080"/>
        <w:rPr>
          <w:color w:val="000000"/>
        </w:rPr>
      </w:pPr>
      <w:r>
        <w:rPr>
          <w:color w:val="000000"/>
        </w:rPr>
        <w:t>Determine w</w:t>
      </w:r>
      <w:r w:rsidRPr="00785938">
        <w:rPr>
          <w:color w:val="000000"/>
        </w:rPr>
        <w:t xml:space="preserve">hether the administration of the tax </w:t>
      </w:r>
      <w:r>
        <w:rPr>
          <w:color w:val="000000"/>
        </w:rPr>
        <w:t>will be done</w:t>
      </w:r>
      <w:r w:rsidRPr="00785938">
        <w:rPr>
          <w:color w:val="000000"/>
        </w:rPr>
        <w:t xml:space="preserve"> by the state</w:t>
      </w:r>
      <w:r w:rsidR="00B92827">
        <w:rPr>
          <w:color w:val="000000"/>
        </w:rPr>
        <w:t>, some regional body,</w:t>
      </w:r>
      <w:r w:rsidRPr="00785938">
        <w:rPr>
          <w:color w:val="000000"/>
        </w:rPr>
        <w:t xml:space="preserve"> or by each </w:t>
      </w:r>
      <w:r>
        <w:rPr>
          <w:color w:val="000000"/>
        </w:rPr>
        <w:t>town;</w:t>
      </w:r>
    </w:p>
    <w:p w14:paraId="67591947" w14:textId="77777777" w:rsidR="00040858" w:rsidRDefault="00040858" w:rsidP="00D73164">
      <w:pPr>
        <w:pStyle w:val="ListParagraph"/>
        <w:numPr>
          <w:ilvl w:val="0"/>
          <w:numId w:val="19"/>
        </w:numPr>
        <w:spacing w:after="0" w:line="360" w:lineRule="auto"/>
        <w:ind w:left="1080"/>
        <w:rPr>
          <w:color w:val="000000"/>
        </w:rPr>
      </w:pPr>
      <w:r>
        <w:rPr>
          <w:color w:val="000000"/>
        </w:rPr>
        <w:t>Determine w</w:t>
      </w:r>
      <w:r w:rsidRPr="00DE3227">
        <w:rPr>
          <w:color w:val="000000"/>
        </w:rPr>
        <w:t xml:space="preserve">hether the revenue can be used only for specific purposes or </w:t>
      </w:r>
      <w:r>
        <w:rPr>
          <w:color w:val="000000"/>
        </w:rPr>
        <w:t>for</w:t>
      </w:r>
      <w:r w:rsidRPr="00DE3227">
        <w:rPr>
          <w:color w:val="000000"/>
        </w:rPr>
        <w:t xml:space="preserve"> any activity allowed by law</w:t>
      </w:r>
      <w:r>
        <w:rPr>
          <w:color w:val="000000"/>
        </w:rPr>
        <w:t>;</w:t>
      </w:r>
      <w:r w:rsidRPr="00DE3227">
        <w:rPr>
          <w:color w:val="000000"/>
        </w:rPr>
        <w:t xml:space="preserve"> </w:t>
      </w:r>
    </w:p>
    <w:p w14:paraId="602B9FD1" w14:textId="49A5867B" w:rsidR="00040858" w:rsidRDefault="00040858" w:rsidP="00D73164">
      <w:pPr>
        <w:pStyle w:val="ListParagraph"/>
        <w:numPr>
          <w:ilvl w:val="0"/>
          <w:numId w:val="19"/>
        </w:numPr>
        <w:spacing w:after="0" w:line="360" w:lineRule="auto"/>
        <w:ind w:left="1080"/>
        <w:rPr>
          <w:color w:val="000000"/>
        </w:rPr>
      </w:pPr>
      <w:r>
        <w:rPr>
          <w:color w:val="000000"/>
        </w:rPr>
        <w:t>Specify t</w:t>
      </w:r>
      <w:r w:rsidRPr="00DE3227">
        <w:rPr>
          <w:color w:val="000000"/>
        </w:rPr>
        <w:t>he extent to which the revenue collected in a town is allocated to that town</w:t>
      </w:r>
      <w:r w:rsidR="00B92827">
        <w:rPr>
          <w:color w:val="000000"/>
        </w:rPr>
        <w:t xml:space="preserve"> or shared among towns</w:t>
      </w:r>
      <w:r w:rsidRPr="00DE3227">
        <w:rPr>
          <w:color w:val="000000"/>
        </w:rPr>
        <w:t>.</w:t>
      </w:r>
    </w:p>
    <w:p w14:paraId="02FC0BDB" w14:textId="77777777" w:rsidR="00D73164" w:rsidRDefault="00D73164" w:rsidP="00D73164">
      <w:pPr>
        <w:pStyle w:val="ListParagraph"/>
        <w:spacing w:after="0" w:line="360" w:lineRule="auto"/>
        <w:ind w:left="1080"/>
        <w:rPr>
          <w:color w:val="000000"/>
        </w:rPr>
      </w:pPr>
    </w:p>
    <w:p w14:paraId="5B55BE5D" w14:textId="77777777" w:rsidR="00F9736B" w:rsidRDefault="00F9736B" w:rsidP="00D73164">
      <w:pPr>
        <w:pStyle w:val="ListParagraph"/>
        <w:spacing w:after="0" w:line="360" w:lineRule="auto"/>
        <w:ind w:left="1080"/>
        <w:rPr>
          <w:color w:val="000000"/>
        </w:rPr>
      </w:pPr>
    </w:p>
    <w:p w14:paraId="365D1589" w14:textId="77777777" w:rsidR="00F9736B" w:rsidRDefault="00F9736B" w:rsidP="00D73164">
      <w:pPr>
        <w:pStyle w:val="ListParagraph"/>
        <w:spacing w:after="0" w:line="360" w:lineRule="auto"/>
        <w:ind w:left="1080"/>
        <w:rPr>
          <w:color w:val="000000"/>
        </w:rPr>
      </w:pPr>
    </w:p>
    <w:p w14:paraId="049F0BC4" w14:textId="77777777" w:rsidR="00040858" w:rsidRDefault="00040858" w:rsidP="00D73164">
      <w:pPr>
        <w:pStyle w:val="Heading2"/>
        <w:spacing w:before="0"/>
      </w:pPr>
      <w:bookmarkStart w:id="24" w:name="_Toc432058804"/>
      <w:bookmarkStart w:id="25" w:name="_Toc433373617"/>
      <w:r>
        <w:t xml:space="preserve">Policy Option: Increase Reliance on User </w:t>
      </w:r>
      <w:r w:rsidRPr="006E50E8">
        <w:t>Charges and Fees</w:t>
      </w:r>
      <w:bookmarkEnd w:id="24"/>
      <w:bookmarkEnd w:id="25"/>
    </w:p>
    <w:p w14:paraId="7992CC73" w14:textId="77777777" w:rsidR="00040858" w:rsidRDefault="00040858" w:rsidP="00D73164">
      <w:pPr>
        <w:pStyle w:val="Heading3"/>
        <w:spacing w:before="0"/>
      </w:pPr>
      <w:bookmarkStart w:id="26" w:name="_Toc432058805"/>
      <w:bookmarkStart w:id="27" w:name="_Toc433373618"/>
      <w:r>
        <w:t>Possible Reasons for Small Usage of Charges and Fees</w:t>
      </w:r>
      <w:bookmarkEnd w:id="26"/>
      <w:bookmarkEnd w:id="27"/>
    </w:p>
    <w:p w14:paraId="0FBA43E7" w14:textId="6EE76DC5" w:rsidR="00040858" w:rsidRDefault="00040858" w:rsidP="00D73164">
      <w:pPr>
        <w:pStyle w:val="ListParagraph"/>
        <w:spacing w:after="0" w:line="360" w:lineRule="auto"/>
        <w:ind w:left="0" w:firstLine="720"/>
      </w:pPr>
      <w:r>
        <w:t xml:space="preserve">Local governments in Connecticut are second to last among all states in terms of their relative reliance on user charges and fees. There are several possible explanations for why Connecticut ranks so low in the use of charges and fees. </w:t>
      </w:r>
    </w:p>
    <w:p w14:paraId="77CBAC96" w14:textId="77777777" w:rsidR="00040858" w:rsidRDefault="00040858" w:rsidP="00D73164">
      <w:pPr>
        <w:pStyle w:val="ListParagraph"/>
        <w:numPr>
          <w:ilvl w:val="0"/>
          <w:numId w:val="20"/>
        </w:numPr>
        <w:spacing w:after="0" w:line="360" w:lineRule="auto"/>
        <w:ind w:left="1080"/>
      </w:pPr>
      <w:r>
        <w:t>There are services for which the state has set limits on the size of the fees that can be charged, for example, for the issuance of marriage licenses.</w:t>
      </w:r>
    </w:p>
    <w:p w14:paraId="5BA8F51F" w14:textId="7D6EF79B" w:rsidR="00040858" w:rsidRDefault="00040858" w:rsidP="00D73164">
      <w:pPr>
        <w:pStyle w:val="ListParagraph"/>
        <w:numPr>
          <w:ilvl w:val="0"/>
          <w:numId w:val="20"/>
        </w:numPr>
        <w:spacing w:after="0" w:line="360" w:lineRule="auto"/>
        <w:ind w:left="1080"/>
      </w:pPr>
      <w:r>
        <w:t xml:space="preserve">There are services that local governments perform in other states that Connecticut towns do not provide. For example, in Connecticut, </w:t>
      </w:r>
      <w:r w:rsidR="00B92827">
        <w:t xml:space="preserve">public </w:t>
      </w:r>
      <w:r>
        <w:t>hospital</w:t>
      </w:r>
      <w:r w:rsidR="00B92827">
        <w:t>s</w:t>
      </w:r>
      <w:r>
        <w:t xml:space="preserve"> and public transit are provided by the state, while they are typically provided by local governments in other states.</w:t>
      </w:r>
    </w:p>
    <w:p w14:paraId="7BD07F33" w14:textId="0E0E21AD" w:rsidR="00040858" w:rsidRDefault="00040858" w:rsidP="00D73164">
      <w:pPr>
        <w:pStyle w:val="ListParagraph"/>
        <w:numPr>
          <w:ilvl w:val="0"/>
          <w:numId w:val="20"/>
        </w:numPr>
        <w:spacing w:after="0" w:line="360" w:lineRule="auto"/>
        <w:ind w:left="1080"/>
      </w:pPr>
      <w:r>
        <w:t xml:space="preserve">It has been suggested that citizens would view the implementation of a charge for </w:t>
      </w:r>
      <w:r w:rsidR="00E80642">
        <w:t xml:space="preserve">a service such as </w:t>
      </w:r>
      <w:r>
        <w:t xml:space="preserve">waste collection not as a way to reduce property taxes but as an addition payment to the government. And, thus it is thought that citizens would oppose such a fee. </w:t>
      </w:r>
    </w:p>
    <w:p w14:paraId="08ACB8AC" w14:textId="77777777" w:rsidR="00040858" w:rsidRDefault="00040858" w:rsidP="00D73164">
      <w:pPr>
        <w:pStyle w:val="ListParagraph"/>
        <w:numPr>
          <w:ilvl w:val="0"/>
          <w:numId w:val="20"/>
        </w:numPr>
        <w:spacing w:after="0" w:line="360" w:lineRule="auto"/>
        <w:ind w:left="1080"/>
      </w:pPr>
      <w:r>
        <w:t>Officials may avoid imposing fees and charges over the concern that charges and fees impose a substantial burden on low income households.</w:t>
      </w:r>
    </w:p>
    <w:p w14:paraId="65355CBF" w14:textId="77777777" w:rsidR="00040858" w:rsidRPr="006805AD" w:rsidRDefault="00040858" w:rsidP="00D73164"/>
    <w:p w14:paraId="4B34096A" w14:textId="77777777" w:rsidR="00040858" w:rsidRDefault="00040858" w:rsidP="00D73164">
      <w:pPr>
        <w:pStyle w:val="Heading3"/>
        <w:spacing w:before="0"/>
      </w:pPr>
      <w:bookmarkStart w:id="28" w:name="_Toc432058806"/>
      <w:bookmarkStart w:id="29" w:name="_Toc433373619"/>
      <w:r>
        <w:t>Argument For and Against Charges and Fees</w:t>
      </w:r>
      <w:bookmarkEnd w:id="28"/>
      <w:bookmarkEnd w:id="29"/>
    </w:p>
    <w:p w14:paraId="265A1548" w14:textId="48C56506" w:rsidR="00040858" w:rsidRPr="00710363" w:rsidRDefault="00040858" w:rsidP="00D73164">
      <w:pPr>
        <w:pStyle w:val="ListParagraph"/>
        <w:spacing w:after="0" w:line="360" w:lineRule="auto"/>
        <w:ind w:left="0" w:firstLine="720"/>
      </w:pPr>
      <w:r>
        <w:t>In addition to generating revenue that can be used to reduce property taxes, charges</w:t>
      </w:r>
      <w:r w:rsidRPr="00710363">
        <w:t xml:space="preserve"> and fees</w:t>
      </w:r>
      <w:r>
        <w:t xml:space="preserve"> can</w:t>
      </w:r>
      <w:r w:rsidRPr="00710363">
        <w:t xml:space="preserve"> serve as signals of the cost of </w:t>
      </w:r>
      <w:r>
        <w:t>a public</w:t>
      </w:r>
      <w:r w:rsidRPr="00710363">
        <w:t xml:space="preserve"> service, similar to prices for private goods.</w:t>
      </w:r>
      <w:r>
        <w:t xml:space="preserve"> If </w:t>
      </w:r>
      <w:r w:rsidRPr="00710363">
        <w:t>charges vary with the amount of service consumed</w:t>
      </w:r>
      <w:r w:rsidR="00B92827">
        <w:t>,</w:t>
      </w:r>
      <w:r w:rsidRPr="00710363">
        <w:t xml:space="preserve"> individuals </w:t>
      </w:r>
      <w:r>
        <w:t xml:space="preserve">are expected to </w:t>
      </w:r>
      <w:r w:rsidRPr="00710363">
        <w:t>adjust their consumption</w:t>
      </w:r>
      <w:r>
        <w:t xml:space="preserve"> of these services, relating the benefits they receive to </w:t>
      </w:r>
      <w:r w:rsidR="00B92827">
        <w:t>what they pay</w:t>
      </w:r>
      <w:r>
        <w:t xml:space="preserve">. Charges thus act as a rationing device in the same way that prices ration goods and services in the private sector. </w:t>
      </w:r>
      <w:r w:rsidRPr="00710363">
        <w:t>In addition</w:t>
      </w:r>
      <w:r>
        <w:t>,</w:t>
      </w:r>
      <w:r w:rsidRPr="00710363">
        <w:t xml:space="preserve"> charges can be used to reduce congestion when the demand for a public service exceeds capacity.</w:t>
      </w:r>
      <w:r>
        <w:t xml:space="preserve"> </w:t>
      </w:r>
    </w:p>
    <w:p w14:paraId="68EF229A" w14:textId="32DD4135" w:rsidR="00040858" w:rsidRPr="00710363" w:rsidRDefault="00040858" w:rsidP="00D73164">
      <w:pPr>
        <w:pStyle w:val="ListParagraph"/>
        <w:spacing w:after="0" w:line="360" w:lineRule="auto"/>
        <w:ind w:left="0"/>
      </w:pPr>
      <w:r w:rsidRPr="00710363">
        <w:tab/>
      </w:r>
      <w:r>
        <w:t>A major issue with charges is equity. One the one hand, f</w:t>
      </w:r>
      <w:r w:rsidRPr="00710363">
        <w:t xml:space="preserve">or </w:t>
      </w:r>
      <w:r w:rsidR="00B92827">
        <w:t xml:space="preserve">public </w:t>
      </w:r>
      <w:r w:rsidRPr="00710363">
        <w:t>services that do not involve distributional concerns</w:t>
      </w:r>
      <w:r>
        <w:t xml:space="preserve">, </w:t>
      </w:r>
      <w:r w:rsidRPr="00710363">
        <w:t xml:space="preserve">charges ensure that those who benefit from the </w:t>
      </w:r>
      <w:r w:rsidR="00B92827">
        <w:t xml:space="preserve">public </w:t>
      </w:r>
      <w:r w:rsidRPr="00710363">
        <w:t>service pay for it.</w:t>
      </w:r>
      <w:r>
        <w:t xml:space="preserve"> Based on the benefit principle of equity, this would be equitable. </w:t>
      </w:r>
      <w:r w:rsidRPr="00710363">
        <w:t xml:space="preserve">This is </w:t>
      </w:r>
      <w:r>
        <w:t xml:space="preserve">also </w:t>
      </w:r>
      <w:r w:rsidRPr="00710363">
        <w:t xml:space="preserve">relevant for services consumed by nonresidents, </w:t>
      </w:r>
      <w:r>
        <w:t xml:space="preserve">who might not pay taxes commensurate with the cost of </w:t>
      </w:r>
      <w:r w:rsidRPr="00710363">
        <w:t>provi</w:t>
      </w:r>
      <w:r>
        <w:t>ding</w:t>
      </w:r>
      <w:r w:rsidRPr="00710363">
        <w:t xml:space="preserve"> those services.</w:t>
      </w:r>
      <w:r>
        <w:t xml:space="preserve"> </w:t>
      </w:r>
      <w:r w:rsidRPr="00710363">
        <w:t xml:space="preserve">On the other hand, </w:t>
      </w:r>
      <w:r>
        <w:t xml:space="preserve">there are </w:t>
      </w:r>
      <w:r w:rsidRPr="00710363">
        <w:t xml:space="preserve">potential vertical equity issues that may </w:t>
      </w:r>
      <w:r w:rsidRPr="00710363">
        <w:lastRenderedPageBreak/>
        <w:t>arise.</w:t>
      </w:r>
      <w:r>
        <w:t xml:space="preserve"> F</w:t>
      </w:r>
      <w:r w:rsidRPr="00710363">
        <w:t>or many public services the user charge</w:t>
      </w:r>
      <w:r>
        <w:t>s</w:t>
      </w:r>
      <w:r w:rsidRPr="00710363">
        <w:t xml:space="preserve"> would constitute a larger percent</w:t>
      </w:r>
      <w:r>
        <w:t>age</w:t>
      </w:r>
      <w:r w:rsidRPr="00710363">
        <w:t xml:space="preserve"> of income for lower income individuals and therefore may be regressive.</w:t>
      </w:r>
      <w:r>
        <w:t xml:space="preserve"> </w:t>
      </w:r>
      <w:r w:rsidRPr="00710363">
        <w:t xml:space="preserve">The extent to which this is the case would vary with </w:t>
      </w:r>
      <w:r>
        <w:t>the nature of the</w:t>
      </w:r>
      <w:r w:rsidRPr="00710363">
        <w:t xml:space="preserve"> public services.</w:t>
      </w:r>
      <w:r>
        <w:t xml:space="preserve"> </w:t>
      </w:r>
    </w:p>
    <w:p w14:paraId="390F57AB" w14:textId="77777777" w:rsidR="00040858" w:rsidRPr="00710363" w:rsidRDefault="00040858" w:rsidP="00D73164">
      <w:pPr>
        <w:pStyle w:val="ListParagraph"/>
        <w:spacing w:after="0" w:line="360" w:lineRule="auto"/>
        <w:ind w:left="0" w:firstLine="720"/>
      </w:pPr>
      <w:r>
        <w:t xml:space="preserve">There are charges or fees that do not vary with the use of the public service. For example, </w:t>
      </w:r>
      <w:r w:rsidRPr="00710363">
        <w:t xml:space="preserve">the fee for solid waste collection is </w:t>
      </w:r>
      <w:r>
        <w:t>g</w:t>
      </w:r>
      <w:r w:rsidRPr="00710363">
        <w:t>enerally</w:t>
      </w:r>
      <w:r>
        <w:t xml:space="preserve"> </w:t>
      </w:r>
      <w:r w:rsidRPr="00710363">
        <w:t>a flat amount, independent of the amount of solid waste generated.</w:t>
      </w:r>
      <w:r>
        <w:t xml:space="preserve"> </w:t>
      </w:r>
      <w:r w:rsidRPr="00710363">
        <w:t>Such a fee is not associated with th</w:t>
      </w:r>
      <w:r>
        <w:t>e cost of providing the service. In this case, the fee is essentially equivalent to a flat per household tax. However, some cities have adopted a fee structure that depends on the volume of solid waste that a household generates.</w:t>
      </w:r>
      <w:r w:rsidRPr="00710363">
        <w:tab/>
      </w:r>
    </w:p>
    <w:p w14:paraId="1CA32047" w14:textId="77777777" w:rsidR="00040858" w:rsidRDefault="00040858" w:rsidP="00D73164">
      <w:pPr>
        <w:spacing w:after="0" w:line="360" w:lineRule="auto"/>
      </w:pPr>
    </w:p>
    <w:p w14:paraId="3919FF83" w14:textId="77777777" w:rsidR="00040858" w:rsidRDefault="00040858" w:rsidP="00D73164">
      <w:pPr>
        <w:pStyle w:val="Heading3"/>
        <w:spacing w:before="0"/>
      </w:pPr>
      <w:bookmarkStart w:id="30" w:name="_Toc432058807"/>
      <w:bookmarkStart w:id="31" w:name="_Toc433373620"/>
      <w:r>
        <w:t>Estimates of Potential Revenue</w:t>
      </w:r>
      <w:bookmarkEnd w:id="30"/>
      <w:bookmarkEnd w:id="31"/>
    </w:p>
    <w:p w14:paraId="356C1583" w14:textId="3F6B1F85" w:rsidR="00040858" w:rsidRDefault="00040858" w:rsidP="00D73164">
      <w:pPr>
        <w:spacing w:after="0" w:line="360" w:lineRule="auto"/>
        <w:ind w:firstLine="720"/>
      </w:pPr>
      <w:r>
        <w:t>To estimate the potential for increasing revenue</w:t>
      </w:r>
      <w:r w:rsidR="00B92827" w:rsidRPr="00B92827">
        <w:t xml:space="preserve"> </w:t>
      </w:r>
      <w:r w:rsidR="00B92827">
        <w:t>from charges and fees,</w:t>
      </w:r>
      <w:r>
        <w:t xml:space="preserve"> we selected three states that do not have a large city and for which current charges as a share of OSR is close to the average for the U.S. If Connecticut increased its current charge revenue sufficiently to cover the same percentage of each expenditure category as these 3 other states, Connecticut could increase its current service revenue by between $349 million and $867 million, or between </w:t>
      </w:r>
      <w:r w:rsidR="009B2E33">
        <w:t>38.6</w:t>
      </w:r>
      <w:r>
        <w:t xml:space="preserve"> percent and 96.0 percent. If used to reduce property taxes, towns in Connecticut could reduce</w:t>
      </w:r>
      <w:r w:rsidR="00C64C72">
        <w:t xml:space="preserve"> total</w:t>
      </w:r>
      <w:r>
        <w:t xml:space="preserve"> property taxes by between 3.8 percent and 9.3 percent.</w:t>
      </w:r>
    </w:p>
    <w:p w14:paraId="0E822307" w14:textId="77777777" w:rsidR="00040858" w:rsidRDefault="00040858" w:rsidP="00D73164">
      <w:pPr>
        <w:spacing w:after="0" w:line="360" w:lineRule="auto"/>
      </w:pPr>
      <w:r>
        <w:t xml:space="preserve"> </w:t>
      </w:r>
    </w:p>
    <w:p w14:paraId="31866E41" w14:textId="77777777" w:rsidR="00040858" w:rsidRDefault="00040858" w:rsidP="00D73164">
      <w:pPr>
        <w:pStyle w:val="Heading3"/>
        <w:spacing w:before="0"/>
      </w:pPr>
      <w:bookmarkStart w:id="32" w:name="_Toc432058808"/>
      <w:bookmarkStart w:id="33" w:name="_Toc433373621"/>
      <w:r>
        <w:t>Impact Fees</w:t>
      </w:r>
      <w:bookmarkEnd w:id="32"/>
      <w:bookmarkEnd w:id="33"/>
    </w:p>
    <w:p w14:paraId="0D407B9F" w14:textId="78DE6A6B" w:rsidR="00040858" w:rsidRDefault="00040858" w:rsidP="00D73164">
      <w:pPr>
        <w:spacing w:after="0" w:line="360" w:lineRule="auto"/>
        <w:ind w:firstLine="720"/>
      </w:pPr>
      <w:r>
        <w:t>Impact fees are</w:t>
      </w:r>
      <w:r w:rsidRPr="004E442F">
        <w:t xml:space="preserve"> one-time charge</w:t>
      </w:r>
      <w:r>
        <w:t>s</w:t>
      </w:r>
      <w:r w:rsidRPr="004E442F">
        <w:t xml:space="preserve"> on new development </w:t>
      </w:r>
      <w:r w:rsidR="009B2E33">
        <w:t>that are used</w:t>
      </w:r>
      <w:r>
        <w:t xml:space="preserve"> </w:t>
      </w:r>
      <w:r w:rsidRPr="004E442F">
        <w:t>to pay for the construction or expansion of off-site capital improvements that are necessitated by and benefit the new project</w:t>
      </w:r>
      <w:r>
        <w:t xml:space="preserve">. They are not considered a user </w:t>
      </w:r>
      <w:r w:rsidR="00C64C72">
        <w:t>charge</w:t>
      </w:r>
      <w:r>
        <w:t xml:space="preserve">. Towns in Connecticut are not allowed to impose impact fees. To estimate the potential revenue from impact fees, we used data on impact fee revenue per housing permit for Florida. Applying these data to Connecticut yields annual revenues estimates for impact fees in Connecticut that range between $33.4 million and $45.2 million. </w:t>
      </w:r>
      <w:r w:rsidR="00E80642">
        <w:t>Data are not available that would allow us to estimate</w:t>
      </w:r>
      <w:r w:rsidR="009B2E33">
        <w:t xml:space="preserve"> impact fee</w:t>
      </w:r>
      <w:r w:rsidR="00E80642">
        <w:t xml:space="preserve"> revenue by town.</w:t>
      </w:r>
    </w:p>
    <w:p w14:paraId="7DD34B97" w14:textId="77777777" w:rsidR="00040858" w:rsidRDefault="00040858" w:rsidP="00D73164">
      <w:pPr>
        <w:spacing w:after="0" w:line="360" w:lineRule="auto"/>
        <w:ind w:firstLine="720"/>
      </w:pPr>
    </w:p>
    <w:p w14:paraId="2E07CEFA" w14:textId="77777777" w:rsidR="00040858" w:rsidRPr="007E1533" w:rsidRDefault="00040858" w:rsidP="00D73164">
      <w:pPr>
        <w:pStyle w:val="Heading3"/>
        <w:spacing w:before="0"/>
      </w:pPr>
      <w:bookmarkStart w:id="34" w:name="_Toc432058809"/>
      <w:bookmarkStart w:id="35" w:name="_Toc433373622"/>
      <w:r>
        <w:t>Policy Options for Increasing Charges and Fees</w:t>
      </w:r>
      <w:bookmarkEnd w:id="34"/>
      <w:bookmarkEnd w:id="35"/>
    </w:p>
    <w:p w14:paraId="7C9C0EAE" w14:textId="77777777" w:rsidR="00040858" w:rsidRDefault="00040858" w:rsidP="00D73164">
      <w:pPr>
        <w:pStyle w:val="ListParagraph"/>
        <w:numPr>
          <w:ilvl w:val="0"/>
          <w:numId w:val="21"/>
        </w:numPr>
        <w:spacing w:after="0" w:line="360" w:lineRule="auto"/>
        <w:ind w:left="720"/>
      </w:pPr>
      <w:r>
        <w:t xml:space="preserve">State legislation regarding limits the state imposes on fees could be reviewed to determine whether they are still appropriate. </w:t>
      </w:r>
    </w:p>
    <w:p w14:paraId="09EC1C74" w14:textId="77777777" w:rsidR="00040858" w:rsidRDefault="00040858" w:rsidP="00D73164">
      <w:pPr>
        <w:pStyle w:val="ListParagraph"/>
        <w:numPr>
          <w:ilvl w:val="0"/>
          <w:numId w:val="21"/>
        </w:numPr>
        <w:spacing w:after="0" w:line="360" w:lineRule="auto"/>
        <w:ind w:left="720"/>
      </w:pPr>
      <w:r>
        <w:lastRenderedPageBreak/>
        <w:t xml:space="preserve">Actions that would encourage greater use of user charges and fees might be proposed, such as funding a comparative interstate study of the use, design, and fee levels of user charges or a campaign to promote the increase use of charges. </w:t>
      </w:r>
    </w:p>
    <w:p w14:paraId="420C4FB4" w14:textId="77777777" w:rsidR="00040858" w:rsidRDefault="00040858" w:rsidP="00D73164">
      <w:pPr>
        <w:pStyle w:val="ListParagraph"/>
        <w:numPr>
          <w:ilvl w:val="0"/>
          <w:numId w:val="21"/>
        </w:numPr>
        <w:spacing w:after="0" w:line="360" w:lineRule="auto"/>
        <w:ind w:left="720"/>
      </w:pPr>
      <w:r>
        <w:t>For services such as waste collection, local governments could be encouraged to adopt a fee structure that is based on the volume of waste a resident puts in the system and that is not as regressive as a flat per household charge.</w:t>
      </w:r>
      <w:r w:rsidRPr="004470B2">
        <w:t xml:space="preserve"> </w:t>
      </w:r>
    </w:p>
    <w:p w14:paraId="6D5A83C1" w14:textId="1AC195D0" w:rsidR="00040858" w:rsidRDefault="00040858" w:rsidP="00D73164">
      <w:pPr>
        <w:pStyle w:val="ListParagraph"/>
        <w:numPr>
          <w:ilvl w:val="0"/>
          <w:numId w:val="21"/>
        </w:numPr>
        <w:spacing w:after="0" w:line="240" w:lineRule="auto"/>
        <w:ind w:left="720"/>
      </w:pPr>
      <w:r>
        <w:t xml:space="preserve">Consideration could be given to authorizing the use of impact fees. </w:t>
      </w:r>
    </w:p>
    <w:p w14:paraId="6CB21F99" w14:textId="6CBF4FA2" w:rsidR="00040858" w:rsidRPr="00040858" w:rsidRDefault="00040858" w:rsidP="00D73164">
      <w:pPr>
        <w:spacing w:after="0" w:line="240" w:lineRule="auto"/>
      </w:pPr>
      <w:r>
        <w:br w:type="page"/>
      </w:r>
    </w:p>
    <w:p w14:paraId="570FB428" w14:textId="5E153E9D" w:rsidR="009B004F" w:rsidRPr="00990451" w:rsidRDefault="009B004F" w:rsidP="00C5513A">
      <w:pPr>
        <w:pStyle w:val="Heading1"/>
        <w:rPr>
          <w:sz w:val="28"/>
        </w:rPr>
      </w:pPr>
      <w:bookmarkStart w:id="36" w:name="_Toc433373623"/>
      <w:r w:rsidRPr="00C5513A">
        <w:rPr>
          <w:rStyle w:val="Heading1Char"/>
          <w:b/>
          <w:bCs/>
          <w:smallCaps/>
        </w:rPr>
        <w:lastRenderedPageBreak/>
        <w:t>I</w:t>
      </w:r>
      <w:r w:rsidR="000A6609" w:rsidRPr="00C5513A">
        <w:rPr>
          <w:rStyle w:val="Heading1Char"/>
          <w:b/>
          <w:bCs/>
          <w:smallCaps/>
        </w:rPr>
        <w:t>ntroduction</w:t>
      </w:r>
      <w:r w:rsidR="00740F2E" w:rsidRPr="00990451">
        <w:rPr>
          <w:rStyle w:val="FootnoteReference"/>
          <w:b w:val="0"/>
          <w:smallCaps w:val="0"/>
          <w:sz w:val="28"/>
        </w:rPr>
        <w:footnoteReference w:id="1"/>
      </w:r>
      <w:bookmarkEnd w:id="36"/>
      <w:r w:rsidR="00EA238C" w:rsidRPr="00990451">
        <w:rPr>
          <w:sz w:val="28"/>
        </w:rPr>
        <w:t xml:space="preserve"> </w:t>
      </w:r>
    </w:p>
    <w:p w14:paraId="107F4F08" w14:textId="1AFE4E33" w:rsidR="00096C9D" w:rsidRDefault="00C05D78" w:rsidP="00D422A0">
      <w:pPr>
        <w:spacing w:after="0" w:line="360" w:lineRule="auto"/>
        <w:ind w:firstLine="720"/>
      </w:pPr>
      <w:r>
        <w:t>T</w:t>
      </w:r>
      <w:r w:rsidR="00CE78C0">
        <w:t xml:space="preserve">he </w:t>
      </w:r>
      <w:r>
        <w:t xml:space="preserve">current </w:t>
      </w:r>
      <w:r w:rsidR="00CE78C0">
        <w:t xml:space="preserve">composition of local </w:t>
      </w:r>
      <w:r w:rsidR="00823E52">
        <w:t xml:space="preserve">government </w:t>
      </w:r>
      <w:r w:rsidR="00CE78C0">
        <w:t>revenue</w:t>
      </w:r>
      <w:r w:rsidR="00823E52">
        <w:t xml:space="preserve"> in the United States</w:t>
      </w:r>
      <w:r>
        <w:t xml:space="preserve"> is much</w:t>
      </w:r>
      <w:r w:rsidR="00CE78C0">
        <w:t xml:space="preserve"> different than</w:t>
      </w:r>
      <w:r w:rsidR="002B6C44">
        <w:t xml:space="preserve"> it</w:t>
      </w:r>
      <w:r w:rsidR="00CE78C0">
        <w:t xml:space="preserve"> </w:t>
      </w:r>
      <w:r>
        <w:t>was</w:t>
      </w:r>
      <w:r w:rsidR="00CE78C0">
        <w:t xml:space="preserve"> </w:t>
      </w:r>
      <w:r w:rsidR="00F53065">
        <w:t>70 years ago</w:t>
      </w:r>
      <w:r w:rsidR="00CE78C0">
        <w:t xml:space="preserve">. </w:t>
      </w:r>
      <w:r w:rsidR="001E7414" w:rsidRPr="00CE78C0">
        <w:t>For example, i</w:t>
      </w:r>
      <w:r w:rsidR="00357DD8" w:rsidRPr="00CE78C0">
        <w:t xml:space="preserve">n 1942, property taxes </w:t>
      </w:r>
      <w:r w:rsidR="00F434C8">
        <w:t xml:space="preserve">accounted for </w:t>
      </w:r>
      <w:r w:rsidR="00357DD8" w:rsidRPr="00CE78C0">
        <w:t>92.2 percent of local government taxes and 88.3 percent of own source revenue.</w:t>
      </w:r>
      <w:r w:rsidR="00096C9D" w:rsidRPr="00710363">
        <w:rPr>
          <w:rStyle w:val="FootnoteReference"/>
        </w:rPr>
        <w:footnoteReference w:id="2"/>
      </w:r>
      <w:r w:rsidR="0073042B">
        <w:t xml:space="preserve"> </w:t>
      </w:r>
      <w:r w:rsidR="00096C9D" w:rsidRPr="00710363">
        <w:t>By 20</w:t>
      </w:r>
      <w:r w:rsidR="00096C9D">
        <w:t>12</w:t>
      </w:r>
      <w:r w:rsidR="00096C9D" w:rsidRPr="00710363">
        <w:t>, property taxes had fallen</w:t>
      </w:r>
      <w:r w:rsidR="00096C9D" w:rsidRPr="00CE78C0">
        <w:t xml:space="preserve"> to 7</w:t>
      </w:r>
      <w:r w:rsidR="00096C9D">
        <w:t>3.5</w:t>
      </w:r>
      <w:r w:rsidR="00096C9D" w:rsidRPr="00CE78C0">
        <w:t xml:space="preserve"> percent of local tax revenue and 4</w:t>
      </w:r>
      <w:r w:rsidR="00096C9D">
        <w:t>7</w:t>
      </w:r>
      <w:r w:rsidR="00096C9D" w:rsidRPr="00CE78C0">
        <w:t>.</w:t>
      </w:r>
      <w:r w:rsidR="00096C9D">
        <w:t>1</w:t>
      </w:r>
      <w:r w:rsidR="00096C9D" w:rsidRPr="00CE78C0">
        <w:t xml:space="preserve"> percent of own source revenue.</w:t>
      </w:r>
      <w:r w:rsidR="00096C9D" w:rsidRPr="00710363">
        <w:rPr>
          <w:rStyle w:val="FootnoteReference"/>
        </w:rPr>
        <w:footnoteReference w:id="3"/>
      </w:r>
    </w:p>
    <w:p w14:paraId="7F0799FA" w14:textId="1AD8ECF4" w:rsidR="00096C9D" w:rsidRDefault="00096C9D" w:rsidP="00D422A0">
      <w:pPr>
        <w:spacing w:after="0" w:line="360" w:lineRule="auto"/>
        <w:ind w:firstLine="720"/>
      </w:pPr>
      <w:r>
        <w:t xml:space="preserve">This decrease in the relative important of property taxes </w:t>
      </w:r>
      <w:r w:rsidR="00823E52">
        <w:t xml:space="preserve">in the United States </w:t>
      </w:r>
      <w:r>
        <w:t>is the result of at least two developments.</w:t>
      </w:r>
      <w:r w:rsidR="0073042B">
        <w:t xml:space="preserve"> </w:t>
      </w:r>
      <w:r w:rsidR="00740F2E">
        <w:t>The f</w:t>
      </w:r>
      <w:r>
        <w:t>irst</w:t>
      </w:r>
      <w:r w:rsidR="00740F2E">
        <w:t xml:space="preserve"> is the</w:t>
      </w:r>
      <w:r w:rsidRPr="00F434C8">
        <w:t xml:space="preserve"> growth in the use of local sales taxes and local income taxes.</w:t>
      </w:r>
      <w:r w:rsidR="0073042B">
        <w:t xml:space="preserve"> </w:t>
      </w:r>
      <w:r w:rsidRPr="00F434C8">
        <w:t>In 1942, local sales and income taxes accounted for less than 3.4 percent of tax revenue, but by 20</w:t>
      </w:r>
      <w:r>
        <w:t>12</w:t>
      </w:r>
      <w:r w:rsidRPr="00F434C8">
        <w:t>, these revenue sources had increased to 1</w:t>
      </w:r>
      <w:r>
        <w:t>6</w:t>
      </w:r>
      <w:r w:rsidRPr="00F434C8">
        <w:t>.</w:t>
      </w:r>
      <w:r>
        <w:t>3</w:t>
      </w:r>
      <w:r w:rsidRPr="00F434C8">
        <w:t xml:space="preserve"> percent of tax revenue. Second, the use of charges and miscellaneous revenue increased from 10.5 percent of own source revenue in 1942 to 3</w:t>
      </w:r>
      <w:r>
        <w:t>5.8</w:t>
      </w:r>
      <w:r w:rsidRPr="00F434C8">
        <w:t xml:space="preserve"> percent </w:t>
      </w:r>
      <w:r>
        <w:t>in 2012</w:t>
      </w:r>
      <w:r w:rsidRPr="00F434C8">
        <w:t>.</w:t>
      </w:r>
      <w:r w:rsidR="0073042B">
        <w:t xml:space="preserve"> </w:t>
      </w:r>
      <w:r w:rsidR="009170CB">
        <w:t xml:space="preserve">As a result, </w:t>
      </w:r>
      <w:r>
        <w:t xml:space="preserve">local </w:t>
      </w:r>
      <w:r w:rsidR="00823E52">
        <w:t xml:space="preserve">government </w:t>
      </w:r>
      <w:r>
        <w:t>revenue</w:t>
      </w:r>
      <w:r w:rsidR="009170CB">
        <w:t xml:space="preserve"> sources are </w:t>
      </w:r>
      <w:r w:rsidR="00823E52">
        <w:t xml:space="preserve">now </w:t>
      </w:r>
      <w:r>
        <w:t>more diverse</w:t>
      </w:r>
      <w:r w:rsidR="00FE7BD4">
        <w:t xml:space="preserve"> and rely less heavily on property tax</w:t>
      </w:r>
      <w:r w:rsidR="002B6C44">
        <w:t>.</w:t>
      </w:r>
      <w:r w:rsidR="0073042B">
        <w:t xml:space="preserve"> </w:t>
      </w:r>
    </w:p>
    <w:p w14:paraId="6B108D6B" w14:textId="0477AEDA" w:rsidR="00764290" w:rsidRDefault="00096C9D" w:rsidP="00D422A0">
      <w:pPr>
        <w:spacing w:after="0" w:line="360" w:lineRule="auto"/>
        <w:ind w:firstLine="720"/>
      </w:pPr>
      <w:r w:rsidRPr="00F434C8">
        <w:t xml:space="preserve">This </w:t>
      </w:r>
      <w:r w:rsidR="009170CB">
        <w:t xml:space="preserve">report </w:t>
      </w:r>
      <w:r w:rsidRPr="00F434C8">
        <w:t>explores th</w:t>
      </w:r>
      <w:r w:rsidR="009170CB">
        <w:t xml:space="preserve">e </w:t>
      </w:r>
      <w:r w:rsidRPr="00F434C8">
        <w:t xml:space="preserve">diversity </w:t>
      </w:r>
      <w:r w:rsidR="009170CB">
        <w:t>of</w:t>
      </w:r>
      <w:r w:rsidRPr="00F434C8">
        <w:t xml:space="preserve"> local government revenue</w:t>
      </w:r>
      <w:r w:rsidR="009170CB">
        <w:t xml:space="preserve"> </w:t>
      </w:r>
      <w:r w:rsidR="000911E0">
        <w:t xml:space="preserve">among towns </w:t>
      </w:r>
      <w:r w:rsidR="009170CB">
        <w:t>in Connecticut</w:t>
      </w:r>
      <w:r w:rsidR="00823E52">
        <w:t xml:space="preserve"> and</w:t>
      </w:r>
      <w:r w:rsidR="002B6C44">
        <w:t xml:space="preserve"> discusses</w:t>
      </w:r>
      <w:r w:rsidR="00823E52">
        <w:t xml:space="preserve"> </w:t>
      </w:r>
      <w:r w:rsidR="005945C5">
        <w:t xml:space="preserve">three </w:t>
      </w:r>
      <w:r w:rsidR="00823E52">
        <w:t xml:space="preserve">options for increasing that diversity, </w:t>
      </w:r>
      <w:r w:rsidR="005945C5">
        <w:t xml:space="preserve">namely adopting local sales taxes, </w:t>
      </w:r>
      <w:r w:rsidR="00871D4B">
        <w:t xml:space="preserve">adopting </w:t>
      </w:r>
      <w:r w:rsidR="005945C5">
        <w:t>local income taxes, or increasing reliance on charges and fees</w:t>
      </w:r>
      <w:r w:rsidR="00F856B4">
        <w:t xml:space="preserve">. To the extent that reducing reliance on property taxes is an objective, each of these three policy could </w:t>
      </w:r>
      <w:r w:rsidR="00730813">
        <w:t>have the effect of</w:t>
      </w:r>
      <w:r w:rsidR="00823E52">
        <w:t xml:space="preserve"> reducing the reliance on property taxes.</w:t>
      </w:r>
      <w:r w:rsidR="009170CB">
        <w:t xml:space="preserve"> </w:t>
      </w:r>
      <w:r w:rsidR="00871D4B">
        <w:t>The second s</w:t>
      </w:r>
      <w:r w:rsidR="009170CB">
        <w:t xml:space="preserve">ection presents comparative measures </w:t>
      </w:r>
      <w:r w:rsidR="002B6C44">
        <w:t xml:space="preserve">by state </w:t>
      </w:r>
      <w:r w:rsidR="009170CB">
        <w:t>of the diversity of local government revenue</w:t>
      </w:r>
      <w:r w:rsidR="002B6C44">
        <w:t>.</w:t>
      </w:r>
      <w:r w:rsidR="00740F2E">
        <w:t xml:space="preserve"> </w:t>
      </w:r>
      <w:r w:rsidR="00871D4B">
        <w:t>The third s</w:t>
      </w:r>
      <w:r w:rsidR="00740F2E">
        <w:t xml:space="preserve">ection </w:t>
      </w:r>
      <w:r w:rsidR="002B6C44">
        <w:t>discusses the</w:t>
      </w:r>
      <w:r w:rsidR="009170CB">
        <w:t xml:space="preserve"> arguments for and against revenue diversity and the advan</w:t>
      </w:r>
      <w:r w:rsidR="004C356D">
        <w:t>tages</w:t>
      </w:r>
      <w:r w:rsidR="009170CB">
        <w:t xml:space="preserve"> and disadvantages of relying on </w:t>
      </w:r>
      <w:r w:rsidR="009170CB" w:rsidRPr="00F434C8">
        <w:t>local sales taxes, local income taxes</w:t>
      </w:r>
      <w:r w:rsidR="009170CB">
        <w:t>, and</w:t>
      </w:r>
      <w:r w:rsidRPr="00F434C8">
        <w:t xml:space="preserve"> user charges and fees.</w:t>
      </w:r>
      <w:r w:rsidR="0073042B">
        <w:t xml:space="preserve"> </w:t>
      </w:r>
      <w:r w:rsidR="00871D4B">
        <w:t>The fourth s</w:t>
      </w:r>
      <w:r w:rsidR="00740F2E">
        <w:t xml:space="preserve">ection </w:t>
      </w:r>
      <w:r w:rsidR="002B6C44">
        <w:t>explores</w:t>
      </w:r>
      <w:r w:rsidR="00740F2E">
        <w:t xml:space="preserve"> the nature and structure of local sales taxes as used in other </w:t>
      </w:r>
      <w:r w:rsidR="00823E52">
        <w:t>states</w:t>
      </w:r>
      <w:r w:rsidR="00740F2E">
        <w:t xml:space="preserve">, suggests alternatives for structuring a local sales tax in Connecticut, </w:t>
      </w:r>
      <w:r w:rsidR="004803C4">
        <w:t xml:space="preserve">discusses incentive effects of sales taxes, </w:t>
      </w:r>
      <w:r w:rsidR="00740F2E">
        <w:t xml:space="preserve">provides revenue estimates, discusses equity/fairness, and relates </w:t>
      </w:r>
      <w:r w:rsidR="002B6C44">
        <w:t xml:space="preserve">the estimated sales tax </w:t>
      </w:r>
      <w:r w:rsidR="00740F2E">
        <w:t xml:space="preserve">revenue </w:t>
      </w:r>
      <w:r w:rsidR="00CF4969">
        <w:t xml:space="preserve">per capita by town </w:t>
      </w:r>
      <w:r w:rsidR="00740F2E">
        <w:t xml:space="preserve">to a measure of </w:t>
      </w:r>
      <w:r w:rsidR="002B6C44">
        <w:t xml:space="preserve">the </w:t>
      </w:r>
      <w:r w:rsidR="00740F2E">
        <w:t xml:space="preserve">fiscal gap. </w:t>
      </w:r>
      <w:r w:rsidR="00871D4B">
        <w:t>The fifth s</w:t>
      </w:r>
      <w:r w:rsidR="00740F2E">
        <w:t>ection</w:t>
      </w:r>
      <w:r w:rsidR="00823E52">
        <w:t xml:space="preserve"> </w:t>
      </w:r>
      <w:r w:rsidR="00740F2E">
        <w:t>covers the same issues for the local income tax.</w:t>
      </w:r>
      <w:r w:rsidR="0073042B">
        <w:t xml:space="preserve"> </w:t>
      </w:r>
      <w:r w:rsidR="00871D4B">
        <w:t>The final s</w:t>
      </w:r>
      <w:r w:rsidR="00740F2E">
        <w:t>e</w:t>
      </w:r>
      <w:r w:rsidR="00823E52">
        <w:t xml:space="preserve">ction </w:t>
      </w:r>
      <w:r w:rsidR="00764290">
        <w:t>focuses on user charges and fees.</w:t>
      </w:r>
      <w:r w:rsidR="0073042B">
        <w:t xml:space="preserve"> </w:t>
      </w:r>
    </w:p>
    <w:p w14:paraId="6E0311B0" w14:textId="0683E337" w:rsidR="00446F90" w:rsidRDefault="00A7788C" w:rsidP="00D422A0">
      <w:pPr>
        <w:spacing w:after="0" w:line="360" w:lineRule="auto"/>
        <w:ind w:firstLine="720"/>
      </w:pPr>
      <w:r>
        <w:t xml:space="preserve">We searched for prior studies of the effect of adopting local sales taxes and local income taxes in Connecticut, and did not find any. However, the 2003 Blue Ribbon Commission on </w:t>
      </w:r>
      <w:r>
        <w:lastRenderedPageBreak/>
        <w:t>Property Tax Burdens and Smart Growth Incentives did consider the option of local sales and income taxes.</w:t>
      </w:r>
      <w:r w:rsidR="0073042B">
        <w:t xml:space="preserve"> </w:t>
      </w:r>
      <w:r>
        <w:t>The Commission concluded, “The commission believes that local-option taxes on a municipality-by-municipality basis in a state like Connecticut are generally counterproductive - - they tend to foster tax competition between communities and make high-tax towns that opt for additional taxes less competitive.</w:t>
      </w:r>
      <w:r w:rsidR="0073042B">
        <w:t xml:space="preserve"> </w:t>
      </w:r>
      <w:r>
        <w:t>The commission believes that regional revenue sharing offers the best model.”</w:t>
      </w:r>
      <w:r w:rsidR="001B4DDE">
        <w:t xml:space="preserve"> (p. 31)</w:t>
      </w:r>
      <w:r>
        <w:t xml:space="preserve"> The Commission goes on to recommend an increase in the real estate conveyance tax, the imposition of a 15</w:t>
      </w:r>
      <w:r w:rsidR="00CF4969">
        <w:t xml:space="preserve"> percent</w:t>
      </w:r>
      <w:r>
        <w:t xml:space="preserve"> surcharge on the state room occupancy tax to be retained by the host municipality, and regional sharing of part of the state sales tax</w:t>
      </w:r>
      <w:r w:rsidR="00856E8B">
        <w:t>,</w:t>
      </w:r>
      <w:r>
        <w:t xml:space="preserve"> with the host community getting the greatest share.</w:t>
      </w:r>
      <w:r w:rsidR="0073042B">
        <w:t xml:space="preserve"> </w:t>
      </w:r>
    </w:p>
    <w:p w14:paraId="7050B8EA" w14:textId="1651DC4E" w:rsidR="00892777" w:rsidRPr="00892777" w:rsidRDefault="00892777" w:rsidP="00D422A0">
      <w:pPr>
        <w:spacing w:after="0" w:line="360" w:lineRule="auto"/>
        <w:ind w:firstLine="720"/>
      </w:pPr>
      <w:r>
        <w:t xml:space="preserve">In 2006, the Program Review and Investigations Committee issued a report entitled </w:t>
      </w:r>
      <w:r w:rsidRPr="00892777">
        <w:rPr>
          <w:i/>
        </w:rPr>
        <w:t>Connecticut</w:t>
      </w:r>
      <w:r w:rsidR="00B17705">
        <w:rPr>
          <w:i/>
        </w:rPr>
        <w:t>’s</w:t>
      </w:r>
      <w:r w:rsidRPr="00892777">
        <w:rPr>
          <w:i/>
        </w:rPr>
        <w:t xml:space="preserve"> Tax System</w:t>
      </w:r>
      <w:r>
        <w:t>. On</w:t>
      </w:r>
      <w:r w:rsidR="000A6609">
        <w:t>e</w:t>
      </w:r>
      <w:r>
        <w:t xml:space="preserve"> option it considered</w:t>
      </w:r>
      <w:r w:rsidR="000A6609">
        <w:t>,</w:t>
      </w:r>
      <w:r>
        <w:t xml:space="preserve"> but </w:t>
      </w:r>
      <w:r w:rsidR="000A6609">
        <w:t xml:space="preserve">did </w:t>
      </w:r>
      <w:r w:rsidR="00E80642">
        <w:t>not recommend</w:t>
      </w:r>
      <w:r w:rsidR="000A6609">
        <w:t>,</w:t>
      </w:r>
      <w:r>
        <w:t xml:space="preserve"> was to e</w:t>
      </w:r>
      <w:r w:rsidRPr="005C5BBC">
        <w:t xml:space="preserve">xpand the taxing authority of local governments </w:t>
      </w:r>
      <w:r w:rsidRPr="00892777">
        <w:t xml:space="preserve">to levy an income or sales tax. </w:t>
      </w:r>
      <w:r>
        <w:t>The Committee concluded that “th</w:t>
      </w:r>
      <w:r w:rsidRPr="005C5BBC">
        <w:t>is option would negatively impact the complementary nature and simplicity of the current system, and may lead to taxpayer confusion and resentment. It may generate competition among municipalities and possibly encourage sprawl. This would circumvent issues with the spending cap but still allow funding to go to towns.</w:t>
      </w:r>
      <w:r>
        <w:t>” (pp. 164-165)</w:t>
      </w:r>
    </w:p>
    <w:p w14:paraId="2ACEFFC7" w14:textId="2D73F8D4" w:rsidR="00A7788C" w:rsidRDefault="009E3DE4" w:rsidP="00D422A0">
      <w:pPr>
        <w:pStyle w:val="ListParagraph"/>
        <w:spacing w:after="0" w:line="360" w:lineRule="auto"/>
        <w:ind w:left="0"/>
      </w:pPr>
      <w:r>
        <w:tab/>
        <w:t>Nonetheless, in a recent report</w:t>
      </w:r>
      <w:r w:rsidR="00856E8B">
        <w:t>,</w:t>
      </w:r>
      <w:r>
        <w:t xml:space="preserve"> the Connecticut Conference of Municipalities (2011) suggested that consideration be given to allowing town</w:t>
      </w:r>
      <w:r w:rsidR="00856E8B">
        <w:t>s</w:t>
      </w:r>
      <w:r>
        <w:t xml:space="preserve"> to use local</w:t>
      </w:r>
      <w:r w:rsidR="00E80642">
        <w:t xml:space="preserve"> </w:t>
      </w:r>
      <w:r>
        <w:t>option taxes. The report states, “Distressed municipalities could be allowed to levy certain types of local-option taxes as a way to take pressure off property taxes. For example, locally levied sales taxes, entertainment taxes and hotel occupancy taxes can be considered in municipalities where those industries are strong.” (p. 6)</w:t>
      </w:r>
    </w:p>
    <w:p w14:paraId="2788E501" w14:textId="2DB80F8F" w:rsidR="005945C5" w:rsidRDefault="005945C5" w:rsidP="005945C5">
      <w:pPr>
        <w:spacing w:after="0" w:line="360" w:lineRule="auto"/>
        <w:ind w:firstLine="720"/>
      </w:pPr>
      <w:r>
        <w:rPr>
          <w:color w:val="000000"/>
        </w:rPr>
        <w:t xml:space="preserve">In addition to the three policies discussed in this report, there are other policies that could be adopted that would increase </w:t>
      </w:r>
      <w:r w:rsidR="00871D4B">
        <w:rPr>
          <w:color w:val="000000"/>
        </w:rPr>
        <w:t xml:space="preserve">local </w:t>
      </w:r>
      <w:r>
        <w:rPr>
          <w:color w:val="000000"/>
        </w:rPr>
        <w:t xml:space="preserve">revenue diversity and/or reduce the reliance on the property tax. </w:t>
      </w:r>
      <w:r w:rsidR="00871D4B">
        <w:rPr>
          <w:color w:val="000000"/>
        </w:rPr>
        <w:t xml:space="preserve">Such options include </w:t>
      </w:r>
      <w:r>
        <w:rPr>
          <w:color w:val="000000"/>
        </w:rPr>
        <w:t xml:space="preserve">a state grant program for towns </w:t>
      </w:r>
      <w:r w:rsidR="00871D4B">
        <w:rPr>
          <w:color w:val="000000"/>
        </w:rPr>
        <w:t xml:space="preserve">and </w:t>
      </w:r>
      <w:r>
        <w:rPr>
          <w:color w:val="000000"/>
        </w:rPr>
        <w:t>a property tax circuit breaker. However, consideration of these</w:t>
      </w:r>
      <w:r w:rsidR="00871D4B">
        <w:rPr>
          <w:color w:val="000000"/>
        </w:rPr>
        <w:t xml:space="preserve"> other</w:t>
      </w:r>
      <w:r>
        <w:rPr>
          <w:color w:val="000000"/>
        </w:rPr>
        <w:t xml:space="preserve"> options are beyond the scope of this report.</w:t>
      </w:r>
    </w:p>
    <w:p w14:paraId="7B5AA417" w14:textId="35C165FC" w:rsidR="00096C9D" w:rsidRPr="000A6609" w:rsidRDefault="000A6609" w:rsidP="00C5513A">
      <w:pPr>
        <w:pStyle w:val="Heading1"/>
      </w:pPr>
      <w:bookmarkStart w:id="37" w:name="_Toc433373624"/>
      <w:r w:rsidRPr="000A6609">
        <w:t>Level of Revenue Diversification</w:t>
      </w:r>
      <w:bookmarkEnd w:id="37"/>
      <w:r w:rsidR="00764290" w:rsidRPr="000A6609">
        <w:t xml:space="preserve"> </w:t>
      </w:r>
    </w:p>
    <w:p w14:paraId="5F560BE0" w14:textId="5173B2B3" w:rsidR="00A12F0F" w:rsidRDefault="00096C9D" w:rsidP="00D422A0">
      <w:pPr>
        <w:pStyle w:val="ListParagraph"/>
        <w:spacing w:after="0" w:line="360" w:lineRule="auto"/>
        <w:ind w:left="0"/>
        <w:rPr>
          <w:color w:val="000000"/>
        </w:rPr>
      </w:pPr>
      <w:r w:rsidRPr="00710363">
        <w:rPr>
          <w:color w:val="000000"/>
        </w:rPr>
        <w:tab/>
      </w:r>
      <w:r w:rsidR="00944979">
        <w:rPr>
          <w:color w:val="000000"/>
        </w:rPr>
        <w:t>Th</w:t>
      </w:r>
      <w:r w:rsidR="00245ACE">
        <w:rPr>
          <w:color w:val="000000"/>
        </w:rPr>
        <w:t xml:space="preserve">ere is little revenue diversity </w:t>
      </w:r>
      <w:r w:rsidR="00446F90">
        <w:rPr>
          <w:color w:val="000000"/>
        </w:rPr>
        <w:t>among</w:t>
      </w:r>
      <w:r w:rsidR="002B6C44">
        <w:rPr>
          <w:color w:val="000000"/>
        </w:rPr>
        <w:t xml:space="preserve"> the</w:t>
      </w:r>
      <w:r w:rsidR="00446F90">
        <w:rPr>
          <w:color w:val="000000"/>
        </w:rPr>
        <w:t xml:space="preserve"> local</w:t>
      </w:r>
      <w:r w:rsidR="00245ACE">
        <w:rPr>
          <w:color w:val="000000"/>
        </w:rPr>
        <w:t xml:space="preserve"> governments</w:t>
      </w:r>
      <w:r w:rsidR="002B6C44" w:rsidRPr="002B6C44">
        <w:rPr>
          <w:color w:val="000000"/>
        </w:rPr>
        <w:t xml:space="preserve"> </w:t>
      </w:r>
      <w:r w:rsidR="002B6C44">
        <w:rPr>
          <w:color w:val="000000"/>
        </w:rPr>
        <w:t>in Connecticut</w:t>
      </w:r>
      <w:r w:rsidR="00446F90">
        <w:rPr>
          <w:color w:val="000000"/>
        </w:rPr>
        <w:t xml:space="preserve">, i.e., </w:t>
      </w:r>
      <w:r w:rsidR="00A33C66">
        <w:rPr>
          <w:color w:val="000000"/>
        </w:rPr>
        <w:t xml:space="preserve">the 169 </w:t>
      </w:r>
      <w:r w:rsidR="00446F90">
        <w:rPr>
          <w:color w:val="000000"/>
        </w:rPr>
        <w:t>towns and the few existing school districts</w:t>
      </w:r>
      <w:r w:rsidR="00944979">
        <w:rPr>
          <w:color w:val="000000"/>
        </w:rPr>
        <w:t>.</w:t>
      </w:r>
      <w:r w:rsidR="0073042B">
        <w:rPr>
          <w:color w:val="000000"/>
        </w:rPr>
        <w:t xml:space="preserve"> </w:t>
      </w:r>
      <w:r w:rsidR="002B6C44">
        <w:rPr>
          <w:color w:val="000000"/>
        </w:rPr>
        <w:t xml:space="preserve">There are various ways of illustrating this point. </w:t>
      </w:r>
      <w:r w:rsidRPr="00710363">
        <w:rPr>
          <w:color w:val="000000"/>
        </w:rPr>
        <w:t>Consider</w:t>
      </w:r>
      <w:r w:rsidR="00944979">
        <w:rPr>
          <w:color w:val="000000"/>
        </w:rPr>
        <w:t xml:space="preserve"> first property tax revenue as a share of own source revenue and as a share of total taxes </w:t>
      </w:r>
      <w:r w:rsidR="00944979">
        <w:rPr>
          <w:color w:val="000000"/>
        </w:rPr>
        <w:lastRenderedPageBreak/>
        <w:t>(</w:t>
      </w:r>
      <w:r w:rsidR="00A36DA6">
        <w:rPr>
          <w:color w:val="000000"/>
        </w:rPr>
        <w:t>Table 1</w:t>
      </w:r>
      <w:r w:rsidR="00856E8B">
        <w:rPr>
          <w:color w:val="000000"/>
        </w:rPr>
        <w:t>, columns 1 and 2</w:t>
      </w:r>
      <w:r w:rsidR="00944979">
        <w:rPr>
          <w:color w:val="000000"/>
        </w:rPr>
        <w:t>).</w:t>
      </w:r>
      <w:r w:rsidR="002B6C44">
        <w:rPr>
          <w:rStyle w:val="FootnoteReference"/>
          <w:color w:val="000000"/>
        </w:rPr>
        <w:footnoteReference w:id="4"/>
      </w:r>
      <w:r w:rsidR="00944979">
        <w:rPr>
          <w:color w:val="000000"/>
        </w:rPr>
        <w:t xml:space="preserve"> Connecticut relies relatively more </w:t>
      </w:r>
      <w:r w:rsidR="0021693F">
        <w:rPr>
          <w:color w:val="000000"/>
        </w:rPr>
        <w:t>heavily on property taxes than</w:t>
      </w:r>
      <w:r w:rsidR="00944979">
        <w:rPr>
          <w:color w:val="000000"/>
        </w:rPr>
        <w:t xml:space="preserve"> </w:t>
      </w:r>
      <w:r w:rsidR="00856E8B">
        <w:rPr>
          <w:color w:val="000000"/>
        </w:rPr>
        <w:t xml:space="preserve">most </w:t>
      </w:r>
      <w:r w:rsidR="00944979">
        <w:rPr>
          <w:color w:val="000000"/>
        </w:rPr>
        <w:t>other state</w:t>
      </w:r>
      <w:r w:rsidR="0021693F">
        <w:rPr>
          <w:color w:val="000000"/>
        </w:rPr>
        <w:t>s</w:t>
      </w:r>
      <w:r w:rsidR="00944979">
        <w:rPr>
          <w:color w:val="000000"/>
        </w:rPr>
        <w:t xml:space="preserve">. In 2012, </w:t>
      </w:r>
      <w:r w:rsidR="00446F90">
        <w:rPr>
          <w:color w:val="000000"/>
        </w:rPr>
        <w:t>88.0</w:t>
      </w:r>
      <w:r w:rsidR="00944979">
        <w:rPr>
          <w:color w:val="000000"/>
        </w:rPr>
        <w:t xml:space="preserve"> percent of </w:t>
      </w:r>
      <w:r w:rsidR="00446F90">
        <w:rPr>
          <w:color w:val="000000"/>
        </w:rPr>
        <w:t>local</w:t>
      </w:r>
      <w:r w:rsidR="00944979">
        <w:rPr>
          <w:color w:val="000000"/>
        </w:rPr>
        <w:t xml:space="preserve"> government own source revenues </w:t>
      </w:r>
      <w:r w:rsidR="00764290">
        <w:rPr>
          <w:color w:val="000000"/>
        </w:rPr>
        <w:t xml:space="preserve">(OSR) </w:t>
      </w:r>
      <w:r w:rsidR="00944979">
        <w:rPr>
          <w:color w:val="000000"/>
        </w:rPr>
        <w:t>in Connecticut were derived from property tax revenue</w:t>
      </w:r>
      <w:r w:rsidR="0021693F">
        <w:rPr>
          <w:color w:val="000000"/>
        </w:rPr>
        <w:t xml:space="preserve"> (the highest percent of any state)</w:t>
      </w:r>
      <w:r w:rsidR="00944979">
        <w:rPr>
          <w:color w:val="000000"/>
        </w:rPr>
        <w:t>.</w:t>
      </w:r>
      <w:r w:rsidR="0073042B">
        <w:rPr>
          <w:color w:val="000000"/>
        </w:rPr>
        <w:t xml:space="preserve"> </w:t>
      </w:r>
      <w:r w:rsidR="00944979">
        <w:rPr>
          <w:color w:val="000000"/>
        </w:rPr>
        <w:t xml:space="preserve">At the other end </w:t>
      </w:r>
      <w:r w:rsidR="00446F90">
        <w:rPr>
          <w:color w:val="000000"/>
        </w:rPr>
        <w:t xml:space="preserve">of the range </w:t>
      </w:r>
      <w:r w:rsidR="00944979">
        <w:rPr>
          <w:color w:val="000000"/>
        </w:rPr>
        <w:t xml:space="preserve">was </w:t>
      </w:r>
      <w:r w:rsidR="00482E15">
        <w:rPr>
          <w:color w:val="000000"/>
        </w:rPr>
        <w:t xml:space="preserve">the District of Columbia and </w:t>
      </w:r>
      <w:r w:rsidR="00FE7BD4">
        <w:rPr>
          <w:color w:val="000000"/>
        </w:rPr>
        <w:t xml:space="preserve">local governments in </w:t>
      </w:r>
      <w:r w:rsidR="00482E15">
        <w:rPr>
          <w:color w:val="000000"/>
        </w:rPr>
        <w:t xml:space="preserve">Louisiana, </w:t>
      </w:r>
      <w:r w:rsidR="00944979">
        <w:rPr>
          <w:color w:val="000000"/>
        </w:rPr>
        <w:t xml:space="preserve">which derived </w:t>
      </w:r>
      <w:r w:rsidR="00482E15">
        <w:rPr>
          <w:color w:val="000000"/>
        </w:rPr>
        <w:t xml:space="preserve">just 24.6 percent and 28.6 percent </w:t>
      </w:r>
      <w:r w:rsidR="00944979">
        <w:rPr>
          <w:color w:val="000000"/>
        </w:rPr>
        <w:t>of their OSR from property taxes</w:t>
      </w:r>
      <w:r w:rsidR="00482E15">
        <w:rPr>
          <w:color w:val="000000"/>
        </w:rPr>
        <w:t>, respectively</w:t>
      </w:r>
      <w:r w:rsidR="00944979">
        <w:rPr>
          <w:color w:val="000000"/>
        </w:rPr>
        <w:t>.</w:t>
      </w:r>
      <w:r w:rsidR="0073042B">
        <w:rPr>
          <w:color w:val="000000"/>
        </w:rPr>
        <w:t xml:space="preserve"> </w:t>
      </w:r>
      <w:r w:rsidR="00944979">
        <w:rPr>
          <w:color w:val="000000"/>
        </w:rPr>
        <w:t xml:space="preserve">The average for the United States was </w:t>
      </w:r>
      <w:r w:rsidR="00482E15">
        <w:rPr>
          <w:color w:val="000000"/>
        </w:rPr>
        <w:t>51.1</w:t>
      </w:r>
      <w:r w:rsidR="00944979">
        <w:rPr>
          <w:color w:val="000000"/>
        </w:rPr>
        <w:t xml:space="preserve"> percent.</w:t>
      </w:r>
      <w:r w:rsidRPr="00710363">
        <w:rPr>
          <w:color w:val="000000"/>
        </w:rPr>
        <w:t xml:space="preserve"> </w:t>
      </w:r>
    </w:p>
    <w:p w14:paraId="6A4ADAE9" w14:textId="77777777" w:rsidR="00990451" w:rsidRDefault="00990451" w:rsidP="00D422A0">
      <w:pPr>
        <w:pStyle w:val="ListParagraph"/>
        <w:spacing w:after="0" w:line="360" w:lineRule="auto"/>
        <w:ind w:left="0"/>
        <w:rPr>
          <w:color w:val="000000"/>
        </w:rPr>
      </w:pP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00"/>
        <w:gridCol w:w="1530"/>
        <w:gridCol w:w="1988"/>
        <w:gridCol w:w="1571"/>
      </w:tblGrid>
      <w:tr w:rsidR="00990A8E" w:rsidRPr="001E5771" w14:paraId="054B39B6" w14:textId="5D075476" w:rsidTr="00990451">
        <w:trPr>
          <w:trHeight w:val="297"/>
        </w:trPr>
        <w:tc>
          <w:tcPr>
            <w:tcW w:w="9139" w:type="dxa"/>
            <w:gridSpan w:val="5"/>
            <w:tcBorders>
              <w:top w:val="nil"/>
              <w:left w:val="nil"/>
              <w:bottom w:val="single" w:sz="4" w:space="0" w:color="auto"/>
              <w:right w:val="nil"/>
            </w:tcBorders>
          </w:tcPr>
          <w:p w14:paraId="792B182C" w14:textId="21FF06BD" w:rsidR="00990A8E" w:rsidRPr="00040858" w:rsidRDefault="00A12F0F" w:rsidP="00040858">
            <w:pPr>
              <w:pStyle w:val="Heading4"/>
            </w:pPr>
            <w:r>
              <w:br w:type="page"/>
            </w:r>
            <w:bookmarkStart w:id="38" w:name="_Toc433373689"/>
            <w:r w:rsidR="00990A8E" w:rsidRPr="00040858">
              <w:t>Table 1. Measures of Revenue Diversity, 2012</w:t>
            </w:r>
            <w:bookmarkEnd w:id="38"/>
          </w:p>
        </w:tc>
      </w:tr>
      <w:tr w:rsidR="008F2D80" w:rsidRPr="001E5771" w14:paraId="6F3F14DB" w14:textId="77777777" w:rsidTr="005D739A">
        <w:trPr>
          <w:trHeight w:val="288"/>
        </w:trPr>
        <w:tc>
          <w:tcPr>
            <w:tcW w:w="2250" w:type="dxa"/>
            <w:tcBorders>
              <w:top w:val="single" w:sz="4" w:space="0" w:color="auto"/>
              <w:left w:val="nil"/>
              <w:bottom w:val="nil"/>
              <w:right w:val="nil"/>
            </w:tcBorders>
          </w:tcPr>
          <w:p w14:paraId="105945A8" w14:textId="77777777" w:rsidR="008F2D80" w:rsidRPr="001E5771" w:rsidRDefault="008F2D80" w:rsidP="00D422A0">
            <w:pPr>
              <w:spacing w:after="0" w:line="240" w:lineRule="auto"/>
              <w:rPr>
                <w:color w:val="000000"/>
                <w:sz w:val="22"/>
                <w:szCs w:val="22"/>
                <w:lang w:bidi="ar-SA"/>
              </w:rPr>
            </w:pPr>
          </w:p>
        </w:tc>
        <w:tc>
          <w:tcPr>
            <w:tcW w:w="1800" w:type="dxa"/>
            <w:tcBorders>
              <w:top w:val="single" w:sz="4" w:space="0" w:color="auto"/>
              <w:left w:val="nil"/>
              <w:bottom w:val="nil"/>
              <w:right w:val="nil"/>
            </w:tcBorders>
            <w:shd w:val="clear" w:color="auto" w:fill="auto"/>
            <w:noWrap/>
            <w:vAlign w:val="bottom"/>
          </w:tcPr>
          <w:p w14:paraId="4BD1EE0F" w14:textId="620FFCA8" w:rsidR="008F2D80" w:rsidRPr="00990A8E" w:rsidRDefault="008F2D80" w:rsidP="00D422A0">
            <w:pPr>
              <w:spacing w:after="0" w:line="240" w:lineRule="auto"/>
              <w:jc w:val="center"/>
              <w:rPr>
                <w:b/>
                <w:color w:val="000000"/>
                <w:sz w:val="22"/>
                <w:szCs w:val="22"/>
                <w:lang w:bidi="ar-SA"/>
              </w:rPr>
            </w:pPr>
            <w:r>
              <w:rPr>
                <w:b/>
                <w:color w:val="000000"/>
                <w:sz w:val="22"/>
                <w:szCs w:val="22"/>
                <w:lang w:bidi="ar-SA"/>
              </w:rPr>
              <w:t>[1]</w:t>
            </w:r>
          </w:p>
        </w:tc>
        <w:tc>
          <w:tcPr>
            <w:tcW w:w="1530" w:type="dxa"/>
            <w:tcBorders>
              <w:top w:val="single" w:sz="4" w:space="0" w:color="auto"/>
              <w:left w:val="nil"/>
              <w:bottom w:val="nil"/>
              <w:right w:val="nil"/>
            </w:tcBorders>
            <w:shd w:val="clear" w:color="auto" w:fill="auto"/>
            <w:noWrap/>
            <w:vAlign w:val="bottom"/>
          </w:tcPr>
          <w:p w14:paraId="4FA69FD9" w14:textId="1A5CB6D7" w:rsidR="008F2D80" w:rsidRPr="00990A8E" w:rsidRDefault="008F2D80" w:rsidP="00D422A0">
            <w:pPr>
              <w:spacing w:after="0" w:line="240" w:lineRule="auto"/>
              <w:jc w:val="center"/>
              <w:rPr>
                <w:b/>
                <w:color w:val="000000"/>
                <w:sz w:val="22"/>
                <w:szCs w:val="22"/>
                <w:lang w:bidi="ar-SA"/>
              </w:rPr>
            </w:pPr>
            <w:r>
              <w:rPr>
                <w:b/>
                <w:color w:val="000000"/>
                <w:sz w:val="22"/>
                <w:szCs w:val="22"/>
                <w:lang w:bidi="ar-SA"/>
              </w:rPr>
              <w:t>[2]</w:t>
            </w:r>
          </w:p>
        </w:tc>
        <w:tc>
          <w:tcPr>
            <w:tcW w:w="1988" w:type="dxa"/>
            <w:tcBorders>
              <w:top w:val="single" w:sz="4" w:space="0" w:color="auto"/>
              <w:left w:val="nil"/>
              <w:bottom w:val="nil"/>
              <w:right w:val="nil"/>
            </w:tcBorders>
            <w:shd w:val="clear" w:color="auto" w:fill="auto"/>
            <w:noWrap/>
            <w:vAlign w:val="bottom"/>
          </w:tcPr>
          <w:p w14:paraId="464F1EF9" w14:textId="71DF089B" w:rsidR="008F2D80" w:rsidRPr="00990A8E" w:rsidRDefault="008F2D80" w:rsidP="00D422A0">
            <w:pPr>
              <w:spacing w:after="0" w:line="240" w:lineRule="auto"/>
              <w:jc w:val="center"/>
              <w:rPr>
                <w:b/>
                <w:color w:val="000000"/>
                <w:sz w:val="22"/>
                <w:szCs w:val="22"/>
                <w:lang w:bidi="ar-SA"/>
              </w:rPr>
            </w:pPr>
            <w:r>
              <w:rPr>
                <w:b/>
                <w:color w:val="000000"/>
                <w:sz w:val="22"/>
                <w:szCs w:val="22"/>
                <w:lang w:bidi="ar-SA"/>
              </w:rPr>
              <w:t>[3]</w:t>
            </w:r>
          </w:p>
        </w:tc>
        <w:tc>
          <w:tcPr>
            <w:tcW w:w="1571" w:type="dxa"/>
            <w:tcBorders>
              <w:top w:val="single" w:sz="4" w:space="0" w:color="auto"/>
              <w:left w:val="nil"/>
              <w:bottom w:val="nil"/>
              <w:right w:val="nil"/>
            </w:tcBorders>
            <w:shd w:val="clear" w:color="auto" w:fill="auto"/>
            <w:noWrap/>
            <w:vAlign w:val="bottom"/>
          </w:tcPr>
          <w:p w14:paraId="646419CF" w14:textId="145A0C7C" w:rsidR="008F2D80" w:rsidRPr="00990A8E" w:rsidRDefault="008F2D80" w:rsidP="00D422A0">
            <w:pPr>
              <w:spacing w:after="0" w:line="240" w:lineRule="auto"/>
              <w:jc w:val="center"/>
              <w:rPr>
                <w:b/>
                <w:color w:val="000000"/>
                <w:sz w:val="22"/>
                <w:szCs w:val="22"/>
                <w:lang w:bidi="ar-SA"/>
              </w:rPr>
            </w:pPr>
            <w:r>
              <w:rPr>
                <w:b/>
                <w:color w:val="000000"/>
                <w:sz w:val="22"/>
                <w:szCs w:val="22"/>
                <w:lang w:bidi="ar-SA"/>
              </w:rPr>
              <w:t>[4]</w:t>
            </w:r>
          </w:p>
        </w:tc>
      </w:tr>
      <w:tr w:rsidR="00217FFC" w:rsidRPr="001E5771" w14:paraId="5659F180" w14:textId="1CD29D4A" w:rsidTr="00990451">
        <w:trPr>
          <w:trHeight w:val="288"/>
        </w:trPr>
        <w:tc>
          <w:tcPr>
            <w:tcW w:w="2250" w:type="dxa"/>
            <w:tcBorders>
              <w:top w:val="nil"/>
              <w:left w:val="nil"/>
              <w:bottom w:val="single" w:sz="4" w:space="0" w:color="auto"/>
              <w:right w:val="nil"/>
            </w:tcBorders>
            <w:vAlign w:val="bottom"/>
          </w:tcPr>
          <w:p w14:paraId="31F1B9FC" w14:textId="6BED622D" w:rsidR="00217FFC" w:rsidRPr="00990451" w:rsidRDefault="00990451" w:rsidP="00990451">
            <w:pPr>
              <w:spacing w:after="0" w:line="240" w:lineRule="auto"/>
              <w:rPr>
                <w:b/>
                <w:color w:val="000000"/>
                <w:sz w:val="22"/>
                <w:szCs w:val="22"/>
                <w:lang w:bidi="ar-SA"/>
              </w:rPr>
            </w:pPr>
            <w:r w:rsidRPr="00990451">
              <w:rPr>
                <w:b/>
                <w:color w:val="000000"/>
                <w:sz w:val="22"/>
                <w:szCs w:val="22"/>
                <w:lang w:bidi="ar-SA"/>
              </w:rPr>
              <w:t>State</w:t>
            </w:r>
          </w:p>
        </w:tc>
        <w:tc>
          <w:tcPr>
            <w:tcW w:w="1800" w:type="dxa"/>
            <w:tcBorders>
              <w:top w:val="nil"/>
              <w:left w:val="nil"/>
              <w:bottom w:val="single" w:sz="4" w:space="0" w:color="auto"/>
              <w:right w:val="nil"/>
            </w:tcBorders>
            <w:shd w:val="clear" w:color="auto" w:fill="auto"/>
            <w:noWrap/>
            <w:vAlign w:val="bottom"/>
            <w:hideMark/>
          </w:tcPr>
          <w:p w14:paraId="2178BB3C" w14:textId="77777777" w:rsidR="00217FFC" w:rsidRPr="00990A8E" w:rsidRDefault="00217FFC" w:rsidP="00D422A0">
            <w:pPr>
              <w:spacing w:after="0" w:line="240" w:lineRule="auto"/>
              <w:jc w:val="center"/>
              <w:rPr>
                <w:b/>
                <w:color w:val="000000"/>
                <w:sz w:val="22"/>
                <w:szCs w:val="22"/>
                <w:lang w:bidi="ar-SA"/>
              </w:rPr>
            </w:pPr>
            <w:r w:rsidRPr="00990A8E">
              <w:rPr>
                <w:b/>
                <w:color w:val="000000"/>
                <w:sz w:val="22"/>
                <w:szCs w:val="22"/>
                <w:lang w:bidi="ar-SA"/>
              </w:rPr>
              <w:t>Property Taxes as a Share of Own Source Revenue</w:t>
            </w:r>
          </w:p>
        </w:tc>
        <w:tc>
          <w:tcPr>
            <w:tcW w:w="1530" w:type="dxa"/>
            <w:tcBorders>
              <w:top w:val="nil"/>
              <w:left w:val="nil"/>
              <w:bottom w:val="single" w:sz="4" w:space="0" w:color="auto"/>
              <w:right w:val="nil"/>
            </w:tcBorders>
            <w:shd w:val="clear" w:color="auto" w:fill="auto"/>
            <w:noWrap/>
            <w:vAlign w:val="bottom"/>
            <w:hideMark/>
          </w:tcPr>
          <w:p w14:paraId="2FB3B99A" w14:textId="77777777" w:rsidR="00217FFC" w:rsidRPr="00990A8E" w:rsidRDefault="00217FFC" w:rsidP="00D422A0">
            <w:pPr>
              <w:spacing w:after="0" w:line="240" w:lineRule="auto"/>
              <w:jc w:val="center"/>
              <w:rPr>
                <w:b/>
                <w:color w:val="000000"/>
                <w:sz w:val="22"/>
                <w:szCs w:val="22"/>
                <w:lang w:bidi="ar-SA"/>
              </w:rPr>
            </w:pPr>
            <w:r w:rsidRPr="00990A8E">
              <w:rPr>
                <w:b/>
                <w:color w:val="000000"/>
                <w:sz w:val="22"/>
                <w:szCs w:val="22"/>
                <w:lang w:bidi="ar-SA"/>
              </w:rPr>
              <w:t>Property Taxes as a Share of Total Tax Revenue</w:t>
            </w:r>
          </w:p>
        </w:tc>
        <w:tc>
          <w:tcPr>
            <w:tcW w:w="1988" w:type="dxa"/>
            <w:tcBorders>
              <w:top w:val="nil"/>
              <w:left w:val="nil"/>
              <w:bottom w:val="single" w:sz="4" w:space="0" w:color="auto"/>
              <w:right w:val="nil"/>
            </w:tcBorders>
            <w:shd w:val="clear" w:color="auto" w:fill="auto"/>
            <w:noWrap/>
            <w:vAlign w:val="bottom"/>
            <w:hideMark/>
          </w:tcPr>
          <w:p w14:paraId="1CE40364" w14:textId="77777777" w:rsidR="00217FFC" w:rsidRPr="00990A8E" w:rsidRDefault="00217FFC" w:rsidP="00D422A0">
            <w:pPr>
              <w:spacing w:after="0" w:line="240" w:lineRule="auto"/>
              <w:jc w:val="center"/>
              <w:rPr>
                <w:b/>
                <w:color w:val="000000"/>
                <w:sz w:val="22"/>
                <w:szCs w:val="22"/>
                <w:lang w:bidi="ar-SA"/>
              </w:rPr>
            </w:pPr>
            <w:r w:rsidRPr="00990A8E">
              <w:rPr>
                <w:b/>
                <w:color w:val="000000"/>
                <w:sz w:val="22"/>
                <w:szCs w:val="22"/>
                <w:lang w:bidi="ar-SA"/>
              </w:rPr>
              <w:t>State and Federal Intergovernmental Revenue as a Share of General Revenue</w:t>
            </w:r>
          </w:p>
        </w:tc>
        <w:tc>
          <w:tcPr>
            <w:tcW w:w="1571" w:type="dxa"/>
            <w:tcBorders>
              <w:top w:val="nil"/>
              <w:left w:val="nil"/>
              <w:bottom w:val="single" w:sz="4" w:space="0" w:color="auto"/>
              <w:right w:val="nil"/>
            </w:tcBorders>
            <w:shd w:val="clear" w:color="auto" w:fill="auto"/>
            <w:noWrap/>
            <w:vAlign w:val="bottom"/>
            <w:hideMark/>
          </w:tcPr>
          <w:p w14:paraId="7262E0E0" w14:textId="77777777" w:rsidR="00217FFC" w:rsidRPr="00990A8E" w:rsidRDefault="00217FFC" w:rsidP="00D422A0">
            <w:pPr>
              <w:spacing w:after="0" w:line="240" w:lineRule="auto"/>
              <w:jc w:val="center"/>
              <w:rPr>
                <w:b/>
                <w:color w:val="000000"/>
                <w:sz w:val="22"/>
                <w:szCs w:val="22"/>
                <w:lang w:bidi="ar-SA"/>
              </w:rPr>
            </w:pPr>
            <w:r w:rsidRPr="00990A8E">
              <w:rPr>
                <w:b/>
                <w:color w:val="000000"/>
                <w:sz w:val="22"/>
                <w:szCs w:val="22"/>
                <w:lang w:bidi="ar-SA"/>
              </w:rPr>
              <w:t>Herfindahl Index</w:t>
            </w:r>
          </w:p>
        </w:tc>
      </w:tr>
      <w:tr w:rsidR="00A12F0F" w:rsidRPr="001E5771" w14:paraId="367FA55C" w14:textId="3F7F6562" w:rsidTr="005D739A">
        <w:trPr>
          <w:trHeight w:val="288"/>
        </w:trPr>
        <w:tc>
          <w:tcPr>
            <w:tcW w:w="2250" w:type="dxa"/>
            <w:tcBorders>
              <w:top w:val="single" w:sz="4" w:space="0" w:color="auto"/>
              <w:left w:val="nil"/>
              <w:bottom w:val="nil"/>
              <w:right w:val="nil"/>
            </w:tcBorders>
            <w:vAlign w:val="bottom"/>
          </w:tcPr>
          <w:p w14:paraId="5392ACB7"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Alabama</w:t>
            </w:r>
          </w:p>
        </w:tc>
        <w:tc>
          <w:tcPr>
            <w:tcW w:w="1800" w:type="dxa"/>
            <w:tcBorders>
              <w:top w:val="single" w:sz="4" w:space="0" w:color="auto"/>
              <w:left w:val="nil"/>
              <w:bottom w:val="nil"/>
              <w:right w:val="nil"/>
            </w:tcBorders>
            <w:shd w:val="clear" w:color="auto" w:fill="auto"/>
            <w:noWrap/>
            <w:vAlign w:val="bottom"/>
          </w:tcPr>
          <w:p w14:paraId="3CF8D3EE" w14:textId="4CAE61D4" w:rsidR="00A12F0F" w:rsidRPr="00990A8E" w:rsidRDefault="00A12F0F" w:rsidP="00D422A0">
            <w:pPr>
              <w:spacing w:after="0" w:line="240" w:lineRule="auto"/>
              <w:jc w:val="center"/>
              <w:rPr>
                <w:color w:val="000000"/>
                <w:sz w:val="22"/>
                <w:szCs w:val="22"/>
                <w:lang w:bidi="ar-SA"/>
              </w:rPr>
            </w:pPr>
            <w:r w:rsidRPr="00990A8E">
              <w:rPr>
                <w:color w:val="000000"/>
                <w:sz w:val="22"/>
                <w:szCs w:val="22"/>
              </w:rPr>
              <w:t>30.1%</w:t>
            </w:r>
          </w:p>
        </w:tc>
        <w:tc>
          <w:tcPr>
            <w:tcW w:w="1530" w:type="dxa"/>
            <w:tcBorders>
              <w:top w:val="single" w:sz="4" w:space="0" w:color="auto"/>
              <w:left w:val="nil"/>
              <w:bottom w:val="nil"/>
              <w:right w:val="nil"/>
            </w:tcBorders>
            <w:shd w:val="clear" w:color="auto" w:fill="auto"/>
            <w:noWrap/>
            <w:vAlign w:val="bottom"/>
          </w:tcPr>
          <w:p w14:paraId="30E71712" w14:textId="197C29E1" w:rsidR="00A12F0F" w:rsidRPr="00990A8E" w:rsidRDefault="00A12F0F" w:rsidP="00D422A0">
            <w:pPr>
              <w:spacing w:after="0" w:line="240" w:lineRule="auto"/>
              <w:jc w:val="center"/>
              <w:rPr>
                <w:color w:val="000000"/>
                <w:sz w:val="22"/>
                <w:szCs w:val="22"/>
                <w:lang w:bidi="ar-SA"/>
              </w:rPr>
            </w:pPr>
            <w:r w:rsidRPr="00990A8E">
              <w:rPr>
                <w:color w:val="000000"/>
                <w:sz w:val="22"/>
                <w:szCs w:val="22"/>
              </w:rPr>
              <w:t>42.8%</w:t>
            </w:r>
          </w:p>
        </w:tc>
        <w:tc>
          <w:tcPr>
            <w:tcW w:w="1988" w:type="dxa"/>
            <w:tcBorders>
              <w:top w:val="single" w:sz="4" w:space="0" w:color="auto"/>
              <w:left w:val="nil"/>
              <w:bottom w:val="nil"/>
              <w:right w:val="nil"/>
            </w:tcBorders>
            <w:shd w:val="clear" w:color="auto" w:fill="auto"/>
            <w:noWrap/>
            <w:vAlign w:val="bottom"/>
          </w:tcPr>
          <w:p w14:paraId="2C6CDD90" w14:textId="13BB1A06" w:rsidR="00A12F0F" w:rsidRPr="00990A8E" w:rsidRDefault="00A12F0F" w:rsidP="00D422A0">
            <w:pPr>
              <w:spacing w:after="0" w:line="240" w:lineRule="auto"/>
              <w:jc w:val="center"/>
              <w:rPr>
                <w:color w:val="000000"/>
                <w:sz w:val="22"/>
                <w:szCs w:val="22"/>
                <w:lang w:bidi="ar-SA"/>
              </w:rPr>
            </w:pPr>
            <w:r w:rsidRPr="00990A8E">
              <w:rPr>
                <w:color w:val="000000"/>
                <w:sz w:val="22"/>
                <w:szCs w:val="22"/>
              </w:rPr>
              <w:t>41.3%</w:t>
            </w:r>
          </w:p>
        </w:tc>
        <w:tc>
          <w:tcPr>
            <w:tcW w:w="1571" w:type="dxa"/>
            <w:tcBorders>
              <w:top w:val="single" w:sz="4" w:space="0" w:color="auto"/>
              <w:left w:val="nil"/>
              <w:bottom w:val="nil"/>
              <w:right w:val="nil"/>
            </w:tcBorders>
            <w:shd w:val="clear" w:color="auto" w:fill="auto"/>
            <w:noWrap/>
            <w:vAlign w:val="bottom"/>
          </w:tcPr>
          <w:p w14:paraId="677CB6DA" w14:textId="2C714484" w:rsidR="00A12F0F" w:rsidRPr="00990A8E" w:rsidRDefault="00A12F0F" w:rsidP="00D422A0">
            <w:pPr>
              <w:spacing w:after="0" w:line="240" w:lineRule="auto"/>
              <w:jc w:val="center"/>
              <w:rPr>
                <w:color w:val="000000"/>
                <w:sz w:val="22"/>
                <w:szCs w:val="22"/>
                <w:lang w:bidi="ar-SA"/>
              </w:rPr>
            </w:pPr>
            <w:r w:rsidRPr="00990A8E">
              <w:rPr>
                <w:color w:val="000000"/>
                <w:sz w:val="22"/>
                <w:szCs w:val="22"/>
              </w:rPr>
              <w:t>0.181</w:t>
            </w:r>
          </w:p>
        </w:tc>
      </w:tr>
      <w:tr w:rsidR="00A12F0F" w:rsidRPr="001E5771" w14:paraId="79F188E9" w14:textId="4EDAC969" w:rsidTr="005D739A">
        <w:trPr>
          <w:trHeight w:val="288"/>
        </w:trPr>
        <w:tc>
          <w:tcPr>
            <w:tcW w:w="2250" w:type="dxa"/>
            <w:tcBorders>
              <w:top w:val="nil"/>
              <w:left w:val="nil"/>
              <w:bottom w:val="nil"/>
              <w:right w:val="nil"/>
            </w:tcBorders>
            <w:vAlign w:val="bottom"/>
          </w:tcPr>
          <w:p w14:paraId="59F77DEE"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Alaska</w:t>
            </w:r>
          </w:p>
        </w:tc>
        <w:tc>
          <w:tcPr>
            <w:tcW w:w="1800" w:type="dxa"/>
            <w:tcBorders>
              <w:top w:val="nil"/>
              <w:left w:val="nil"/>
              <w:bottom w:val="nil"/>
              <w:right w:val="nil"/>
            </w:tcBorders>
            <w:shd w:val="clear" w:color="auto" w:fill="auto"/>
            <w:noWrap/>
            <w:vAlign w:val="bottom"/>
          </w:tcPr>
          <w:p w14:paraId="06A7068E" w14:textId="58EBE418" w:rsidR="00A12F0F" w:rsidRPr="00990A8E" w:rsidRDefault="00A12F0F" w:rsidP="00D422A0">
            <w:pPr>
              <w:spacing w:after="0" w:line="240" w:lineRule="auto"/>
              <w:jc w:val="center"/>
              <w:rPr>
                <w:color w:val="000000"/>
                <w:sz w:val="22"/>
                <w:szCs w:val="22"/>
                <w:lang w:bidi="ar-SA"/>
              </w:rPr>
            </w:pPr>
            <w:r w:rsidRPr="00990A8E">
              <w:rPr>
                <w:color w:val="000000"/>
                <w:sz w:val="22"/>
                <w:szCs w:val="22"/>
              </w:rPr>
              <w:t>51.1%</w:t>
            </w:r>
          </w:p>
        </w:tc>
        <w:tc>
          <w:tcPr>
            <w:tcW w:w="1530" w:type="dxa"/>
            <w:tcBorders>
              <w:top w:val="nil"/>
              <w:left w:val="nil"/>
              <w:bottom w:val="nil"/>
              <w:right w:val="nil"/>
            </w:tcBorders>
            <w:shd w:val="clear" w:color="auto" w:fill="auto"/>
            <w:noWrap/>
            <w:vAlign w:val="bottom"/>
          </w:tcPr>
          <w:p w14:paraId="50B32910" w14:textId="4B5F4C8B" w:rsidR="00A12F0F" w:rsidRPr="00990A8E" w:rsidRDefault="00A12F0F" w:rsidP="00D422A0">
            <w:pPr>
              <w:spacing w:after="0" w:line="240" w:lineRule="auto"/>
              <w:jc w:val="center"/>
              <w:rPr>
                <w:color w:val="000000"/>
                <w:sz w:val="22"/>
                <w:szCs w:val="22"/>
                <w:lang w:bidi="ar-SA"/>
              </w:rPr>
            </w:pPr>
            <w:r w:rsidRPr="00990A8E">
              <w:rPr>
                <w:color w:val="000000"/>
                <w:sz w:val="22"/>
                <w:szCs w:val="22"/>
              </w:rPr>
              <w:t>79.7%</w:t>
            </w:r>
          </w:p>
        </w:tc>
        <w:tc>
          <w:tcPr>
            <w:tcW w:w="1988" w:type="dxa"/>
            <w:tcBorders>
              <w:top w:val="nil"/>
              <w:left w:val="nil"/>
              <w:bottom w:val="nil"/>
              <w:right w:val="nil"/>
            </w:tcBorders>
            <w:shd w:val="clear" w:color="auto" w:fill="auto"/>
            <w:noWrap/>
            <w:vAlign w:val="bottom"/>
          </w:tcPr>
          <w:p w14:paraId="043B1C7D" w14:textId="0BE21998" w:rsidR="00A12F0F" w:rsidRPr="00990A8E" w:rsidRDefault="00A12F0F" w:rsidP="00D422A0">
            <w:pPr>
              <w:spacing w:after="0" w:line="240" w:lineRule="auto"/>
              <w:jc w:val="center"/>
              <w:rPr>
                <w:color w:val="000000"/>
                <w:sz w:val="22"/>
                <w:szCs w:val="22"/>
                <w:lang w:bidi="ar-SA"/>
              </w:rPr>
            </w:pPr>
            <w:r w:rsidRPr="00990A8E">
              <w:rPr>
                <w:color w:val="000000"/>
                <w:sz w:val="22"/>
                <w:szCs w:val="22"/>
              </w:rPr>
              <w:t>41.4%</w:t>
            </w:r>
          </w:p>
        </w:tc>
        <w:tc>
          <w:tcPr>
            <w:tcW w:w="1571" w:type="dxa"/>
            <w:tcBorders>
              <w:top w:val="nil"/>
              <w:left w:val="nil"/>
              <w:bottom w:val="nil"/>
              <w:right w:val="nil"/>
            </w:tcBorders>
            <w:shd w:val="clear" w:color="auto" w:fill="auto"/>
            <w:noWrap/>
            <w:vAlign w:val="bottom"/>
          </w:tcPr>
          <w:p w14:paraId="6AC09A6F" w14:textId="105E43AA" w:rsidR="00A12F0F" w:rsidRPr="00990A8E" w:rsidRDefault="00A12F0F" w:rsidP="00D422A0">
            <w:pPr>
              <w:spacing w:after="0" w:line="240" w:lineRule="auto"/>
              <w:jc w:val="center"/>
              <w:rPr>
                <w:color w:val="000000"/>
                <w:sz w:val="22"/>
                <w:szCs w:val="22"/>
                <w:lang w:bidi="ar-SA"/>
              </w:rPr>
            </w:pPr>
            <w:r w:rsidRPr="00990A8E">
              <w:rPr>
                <w:color w:val="000000"/>
                <w:sz w:val="22"/>
                <w:szCs w:val="22"/>
              </w:rPr>
              <w:t>0.292</w:t>
            </w:r>
          </w:p>
        </w:tc>
      </w:tr>
      <w:tr w:rsidR="00A12F0F" w:rsidRPr="001E5771" w14:paraId="1C4BB8DC" w14:textId="1B553669" w:rsidTr="005D739A">
        <w:trPr>
          <w:trHeight w:val="288"/>
        </w:trPr>
        <w:tc>
          <w:tcPr>
            <w:tcW w:w="2250" w:type="dxa"/>
            <w:tcBorders>
              <w:top w:val="nil"/>
              <w:left w:val="nil"/>
              <w:bottom w:val="nil"/>
              <w:right w:val="nil"/>
            </w:tcBorders>
            <w:vAlign w:val="bottom"/>
          </w:tcPr>
          <w:p w14:paraId="421E44C3"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Arizona</w:t>
            </w:r>
          </w:p>
        </w:tc>
        <w:tc>
          <w:tcPr>
            <w:tcW w:w="1800" w:type="dxa"/>
            <w:tcBorders>
              <w:top w:val="nil"/>
              <w:left w:val="nil"/>
              <w:bottom w:val="nil"/>
              <w:right w:val="nil"/>
            </w:tcBorders>
            <w:shd w:val="clear" w:color="auto" w:fill="auto"/>
            <w:noWrap/>
            <w:vAlign w:val="bottom"/>
          </w:tcPr>
          <w:p w14:paraId="1E40B8E5" w14:textId="6C9A6401" w:rsidR="00A12F0F" w:rsidRPr="00990A8E" w:rsidRDefault="00A12F0F" w:rsidP="00D422A0">
            <w:pPr>
              <w:spacing w:after="0" w:line="240" w:lineRule="auto"/>
              <w:jc w:val="center"/>
              <w:rPr>
                <w:color w:val="000000"/>
                <w:sz w:val="22"/>
                <w:szCs w:val="22"/>
                <w:lang w:bidi="ar-SA"/>
              </w:rPr>
            </w:pPr>
            <w:r w:rsidRPr="00990A8E">
              <w:rPr>
                <w:color w:val="000000"/>
                <w:sz w:val="22"/>
                <w:szCs w:val="22"/>
              </w:rPr>
              <w:t>44.8%</w:t>
            </w:r>
          </w:p>
        </w:tc>
        <w:tc>
          <w:tcPr>
            <w:tcW w:w="1530" w:type="dxa"/>
            <w:tcBorders>
              <w:top w:val="nil"/>
              <w:left w:val="nil"/>
              <w:bottom w:val="nil"/>
              <w:right w:val="nil"/>
            </w:tcBorders>
            <w:shd w:val="clear" w:color="auto" w:fill="auto"/>
            <w:noWrap/>
            <w:vAlign w:val="bottom"/>
          </w:tcPr>
          <w:p w14:paraId="3401EAAE" w14:textId="220845FE" w:rsidR="00A12F0F" w:rsidRPr="00990A8E" w:rsidRDefault="00A12F0F" w:rsidP="00D422A0">
            <w:pPr>
              <w:spacing w:after="0" w:line="240" w:lineRule="auto"/>
              <w:jc w:val="center"/>
              <w:rPr>
                <w:color w:val="000000"/>
                <w:sz w:val="22"/>
                <w:szCs w:val="22"/>
                <w:lang w:bidi="ar-SA"/>
              </w:rPr>
            </w:pPr>
            <w:r w:rsidRPr="00990A8E">
              <w:rPr>
                <w:color w:val="000000"/>
                <w:sz w:val="22"/>
                <w:szCs w:val="22"/>
              </w:rPr>
              <w:t>66.1%</w:t>
            </w:r>
          </w:p>
        </w:tc>
        <w:tc>
          <w:tcPr>
            <w:tcW w:w="1988" w:type="dxa"/>
            <w:tcBorders>
              <w:top w:val="nil"/>
              <w:left w:val="nil"/>
              <w:bottom w:val="nil"/>
              <w:right w:val="nil"/>
            </w:tcBorders>
            <w:shd w:val="clear" w:color="auto" w:fill="auto"/>
            <w:noWrap/>
            <w:vAlign w:val="bottom"/>
          </w:tcPr>
          <w:p w14:paraId="4894E59C" w14:textId="7BFCA5A5" w:rsidR="00A12F0F" w:rsidRPr="00990A8E" w:rsidRDefault="00A12F0F" w:rsidP="00D422A0">
            <w:pPr>
              <w:spacing w:after="0" w:line="240" w:lineRule="auto"/>
              <w:jc w:val="center"/>
              <w:rPr>
                <w:color w:val="000000"/>
                <w:sz w:val="22"/>
                <w:szCs w:val="22"/>
                <w:lang w:bidi="ar-SA"/>
              </w:rPr>
            </w:pPr>
            <w:r w:rsidRPr="00990A8E">
              <w:rPr>
                <w:color w:val="000000"/>
                <w:sz w:val="22"/>
                <w:szCs w:val="22"/>
              </w:rPr>
              <w:t>37.5%</w:t>
            </w:r>
          </w:p>
        </w:tc>
        <w:tc>
          <w:tcPr>
            <w:tcW w:w="1571" w:type="dxa"/>
            <w:tcBorders>
              <w:top w:val="nil"/>
              <w:left w:val="nil"/>
              <w:bottom w:val="nil"/>
              <w:right w:val="nil"/>
            </w:tcBorders>
            <w:shd w:val="clear" w:color="auto" w:fill="auto"/>
            <w:noWrap/>
            <w:vAlign w:val="bottom"/>
          </w:tcPr>
          <w:p w14:paraId="133967B1" w14:textId="0B567DB8" w:rsidR="00A12F0F" w:rsidRPr="00990A8E" w:rsidRDefault="00A12F0F" w:rsidP="00D422A0">
            <w:pPr>
              <w:spacing w:after="0" w:line="240" w:lineRule="auto"/>
              <w:jc w:val="center"/>
              <w:rPr>
                <w:color w:val="000000"/>
                <w:sz w:val="22"/>
                <w:szCs w:val="22"/>
                <w:lang w:bidi="ar-SA"/>
              </w:rPr>
            </w:pPr>
            <w:r w:rsidRPr="00990A8E">
              <w:rPr>
                <w:color w:val="000000"/>
                <w:sz w:val="22"/>
                <w:szCs w:val="22"/>
              </w:rPr>
              <w:t>0.250</w:t>
            </w:r>
          </w:p>
        </w:tc>
      </w:tr>
      <w:tr w:rsidR="00A12F0F" w:rsidRPr="001E5771" w14:paraId="6E33F912" w14:textId="55DADCE1" w:rsidTr="005D739A">
        <w:trPr>
          <w:trHeight w:val="288"/>
        </w:trPr>
        <w:tc>
          <w:tcPr>
            <w:tcW w:w="2250" w:type="dxa"/>
            <w:tcBorders>
              <w:top w:val="nil"/>
              <w:left w:val="nil"/>
              <w:bottom w:val="nil"/>
              <w:right w:val="nil"/>
            </w:tcBorders>
            <w:vAlign w:val="bottom"/>
          </w:tcPr>
          <w:p w14:paraId="1FFF954F"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Arkansas</w:t>
            </w:r>
          </w:p>
        </w:tc>
        <w:tc>
          <w:tcPr>
            <w:tcW w:w="1800" w:type="dxa"/>
            <w:tcBorders>
              <w:top w:val="nil"/>
              <w:left w:val="nil"/>
              <w:bottom w:val="nil"/>
              <w:right w:val="nil"/>
            </w:tcBorders>
            <w:shd w:val="clear" w:color="auto" w:fill="auto"/>
            <w:noWrap/>
            <w:vAlign w:val="bottom"/>
          </w:tcPr>
          <w:p w14:paraId="2B0FB2D2" w14:textId="79FB5ACB" w:rsidR="00A12F0F" w:rsidRPr="00990A8E" w:rsidRDefault="00A12F0F" w:rsidP="00D422A0">
            <w:pPr>
              <w:spacing w:after="0" w:line="240" w:lineRule="auto"/>
              <w:jc w:val="center"/>
              <w:rPr>
                <w:color w:val="000000"/>
                <w:sz w:val="22"/>
                <w:szCs w:val="22"/>
                <w:lang w:bidi="ar-SA"/>
              </w:rPr>
            </w:pPr>
            <w:r w:rsidRPr="00990A8E">
              <w:rPr>
                <w:color w:val="000000"/>
                <w:sz w:val="22"/>
                <w:szCs w:val="22"/>
              </w:rPr>
              <w:t>25.3%</w:t>
            </w:r>
          </w:p>
        </w:tc>
        <w:tc>
          <w:tcPr>
            <w:tcW w:w="1530" w:type="dxa"/>
            <w:tcBorders>
              <w:top w:val="nil"/>
              <w:left w:val="nil"/>
              <w:bottom w:val="nil"/>
              <w:right w:val="nil"/>
            </w:tcBorders>
            <w:shd w:val="clear" w:color="auto" w:fill="auto"/>
            <w:noWrap/>
            <w:vAlign w:val="bottom"/>
          </w:tcPr>
          <w:p w14:paraId="144BE1D5" w14:textId="3271DE6B" w:rsidR="00A12F0F" w:rsidRPr="00990A8E" w:rsidRDefault="00A12F0F" w:rsidP="00D422A0">
            <w:pPr>
              <w:spacing w:after="0" w:line="240" w:lineRule="auto"/>
              <w:jc w:val="center"/>
              <w:rPr>
                <w:color w:val="000000"/>
                <w:sz w:val="22"/>
                <w:szCs w:val="22"/>
                <w:lang w:bidi="ar-SA"/>
              </w:rPr>
            </w:pPr>
            <w:r w:rsidRPr="00990A8E">
              <w:rPr>
                <w:color w:val="000000"/>
                <w:sz w:val="22"/>
                <w:szCs w:val="22"/>
              </w:rPr>
              <w:t>43.1%</w:t>
            </w:r>
          </w:p>
        </w:tc>
        <w:tc>
          <w:tcPr>
            <w:tcW w:w="1988" w:type="dxa"/>
            <w:tcBorders>
              <w:top w:val="nil"/>
              <w:left w:val="nil"/>
              <w:bottom w:val="nil"/>
              <w:right w:val="nil"/>
            </w:tcBorders>
            <w:shd w:val="clear" w:color="auto" w:fill="auto"/>
            <w:noWrap/>
            <w:vAlign w:val="bottom"/>
          </w:tcPr>
          <w:p w14:paraId="3E235D0E" w14:textId="266BAB72" w:rsidR="00A12F0F" w:rsidRPr="00990A8E" w:rsidRDefault="00A12F0F" w:rsidP="00D422A0">
            <w:pPr>
              <w:spacing w:after="0" w:line="240" w:lineRule="auto"/>
              <w:jc w:val="center"/>
              <w:rPr>
                <w:color w:val="000000"/>
                <w:sz w:val="22"/>
                <w:szCs w:val="22"/>
                <w:lang w:bidi="ar-SA"/>
              </w:rPr>
            </w:pPr>
            <w:r w:rsidRPr="00990A8E">
              <w:rPr>
                <w:color w:val="000000"/>
                <w:sz w:val="22"/>
                <w:szCs w:val="22"/>
              </w:rPr>
              <w:t>56.7%</w:t>
            </w:r>
          </w:p>
        </w:tc>
        <w:tc>
          <w:tcPr>
            <w:tcW w:w="1571" w:type="dxa"/>
            <w:tcBorders>
              <w:top w:val="nil"/>
              <w:left w:val="nil"/>
              <w:bottom w:val="nil"/>
              <w:right w:val="nil"/>
            </w:tcBorders>
            <w:shd w:val="clear" w:color="auto" w:fill="auto"/>
            <w:noWrap/>
            <w:vAlign w:val="bottom"/>
          </w:tcPr>
          <w:p w14:paraId="6DB5B029" w14:textId="1021AEB9" w:rsidR="00A12F0F" w:rsidRPr="00990A8E" w:rsidRDefault="00A12F0F" w:rsidP="00D422A0">
            <w:pPr>
              <w:spacing w:after="0" w:line="240" w:lineRule="auto"/>
              <w:jc w:val="center"/>
              <w:rPr>
                <w:color w:val="000000"/>
                <w:sz w:val="22"/>
                <w:szCs w:val="22"/>
                <w:lang w:bidi="ar-SA"/>
              </w:rPr>
            </w:pPr>
            <w:r w:rsidRPr="00990A8E">
              <w:rPr>
                <w:color w:val="000000"/>
                <w:sz w:val="22"/>
                <w:szCs w:val="22"/>
              </w:rPr>
              <w:t>0.161</w:t>
            </w:r>
          </w:p>
        </w:tc>
      </w:tr>
      <w:tr w:rsidR="00A12F0F" w:rsidRPr="001E5771" w14:paraId="20C0C833" w14:textId="09DB7A24" w:rsidTr="005D739A">
        <w:trPr>
          <w:trHeight w:val="288"/>
        </w:trPr>
        <w:tc>
          <w:tcPr>
            <w:tcW w:w="2250" w:type="dxa"/>
            <w:tcBorders>
              <w:top w:val="nil"/>
              <w:left w:val="nil"/>
              <w:bottom w:val="nil"/>
              <w:right w:val="nil"/>
            </w:tcBorders>
            <w:vAlign w:val="bottom"/>
          </w:tcPr>
          <w:p w14:paraId="5AE72232"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California</w:t>
            </w:r>
          </w:p>
        </w:tc>
        <w:tc>
          <w:tcPr>
            <w:tcW w:w="1800" w:type="dxa"/>
            <w:tcBorders>
              <w:top w:val="nil"/>
              <w:left w:val="nil"/>
              <w:bottom w:val="nil"/>
              <w:right w:val="nil"/>
            </w:tcBorders>
            <w:shd w:val="clear" w:color="auto" w:fill="auto"/>
            <w:noWrap/>
            <w:vAlign w:val="bottom"/>
          </w:tcPr>
          <w:p w14:paraId="7017BF56" w14:textId="3AD71542" w:rsidR="00A12F0F" w:rsidRPr="00990A8E" w:rsidRDefault="00A12F0F" w:rsidP="00D422A0">
            <w:pPr>
              <w:spacing w:after="0" w:line="240" w:lineRule="auto"/>
              <w:jc w:val="center"/>
              <w:rPr>
                <w:color w:val="000000"/>
                <w:sz w:val="22"/>
                <w:szCs w:val="22"/>
                <w:lang w:bidi="ar-SA"/>
              </w:rPr>
            </w:pPr>
            <w:r w:rsidRPr="00990A8E">
              <w:rPr>
                <w:color w:val="000000"/>
                <w:sz w:val="22"/>
                <w:szCs w:val="22"/>
              </w:rPr>
              <w:t>45.7%</w:t>
            </w:r>
          </w:p>
        </w:tc>
        <w:tc>
          <w:tcPr>
            <w:tcW w:w="1530" w:type="dxa"/>
            <w:tcBorders>
              <w:top w:val="nil"/>
              <w:left w:val="nil"/>
              <w:bottom w:val="nil"/>
              <w:right w:val="nil"/>
            </w:tcBorders>
            <w:shd w:val="clear" w:color="auto" w:fill="auto"/>
            <w:noWrap/>
            <w:vAlign w:val="bottom"/>
          </w:tcPr>
          <w:p w14:paraId="5A144B04" w14:textId="556E6ABD" w:rsidR="00A12F0F" w:rsidRPr="00990A8E" w:rsidRDefault="00A12F0F" w:rsidP="00D422A0">
            <w:pPr>
              <w:spacing w:after="0" w:line="240" w:lineRule="auto"/>
              <w:jc w:val="center"/>
              <w:rPr>
                <w:color w:val="000000"/>
                <w:sz w:val="22"/>
                <w:szCs w:val="22"/>
                <w:lang w:bidi="ar-SA"/>
              </w:rPr>
            </w:pPr>
            <w:r w:rsidRPr="00990A8E">
              <w:rPr>
                <w:color w:val="000000"/>
                <w:sz w:val="22"/>
                <w:szCs w:val="22"/>
              </w:rPr>
              <w:t>75.9%</w:t>
            </w:r>
          </w:p>
        </w:tc>
        <w:tc>
          <w:tcPr>
            <w:tcW w:w="1988" w:type="dxa"/>
            <w:tcBorders>
              <w:top w:val="nil"/>
              <w:left w:val="nil"/>
              <w:bottom w:val="nil"/>
              <w:right w:val="nil"/>
            </w:tcBorders>
            <w:shd w:val="clear" w:color="auto" w:fill="auto"/>
            <w:noWrap/>
            <w:vAlign w:val="bottom"/>
          </w:tcPr>
          <w:p w14:paraId="578EAD32" w14:textId="0B9CFBAD" w:rsidR="00A12F0F" w:rsidRPr="00990A8E" w:rsidRDefault="00A12F0F" w:rsidP="00D422A0">
            <w:pPr>
              <w:spacing w:after="0" w:line="240" w:lineRule="auto"/>
              <w:jc w:val="center"/>
              <w:rPr>
                <w:color w:val="000000"/>
                <w:sz w:val="22"/>
                <w:szCs w:val="22"/>
                <w:lang w:bidi="ar-SA"/>
              </w:rPr>
            </w:pPr>
            <w:r w:rsidRPr="00990A8E">
              <w:rPr>
                <w:color w:val="000000"/>
                <w:sz w:val="22"/>
                <w:szCs w:val="22"/>
              </w:rPr>
              <w:t>45.6%</w:t>
            </w:r>
          </w:p>
        </w:tc>
        <w:tc>
          <w:tcPr>
            <w:tcW w:w="1571" w:type="dxa"/>
            <w:tcBorders>
              <w:top w:val="nil"/>
              <w:left w:val="nil"/>
              <w:bottom w:val="nil"/>
              <w:right w:val="nil"/>
            </w:tcBorders>
            <w:shd w:val="clear" w:color="auto" w:fill="auto"/>
            <w:noWrap/>
            <w:vAlign w:val="bottom"/>
          </w:tcPr>
          <w:p w14:paraId="179741B7" w14:textId="7738AF7E" w:rsidR="00A12F0F" w:rsidRPr="00990A8E" w:rsidRDefault="00A12F0F" w:rsidP="00D422A0">
            <w:pPr>
              <w:spacing w:after="0" w:line="240" w:lineRule="auto"/>
              <w:jc w:val="center"/>
              <w:rPr>
                <w:color w:val="000000"/>
                <w:sz w:val="22"/>
                <w:szCs w:val="22"/>
                <w:lang w:bidi="ar-SA"/>
              </w:rPr>
            </w:pPr>
            <w:r w:rsidRPr="00990A8E">
              <w:rPr>
                <w:color w:val="000000"/>
                <w:sz w:val="22"/>
                <w:szCs w:val="22"/>
              </w:rPr>
              <w:t>0.235</w:t>
            </w:r>
          </w:p>
        </w:tc>
      </w:tr>
      <w:tr w:rsidR="00A12F0F" w:rsidRPr="001E5771" w14:paraId="7D9E2356" w14:textId="6FB77814" w:rsidTr="005D739A">
        <w:trPr>
          <w:trHeight w:val="288"/>
        </w:trPr>
        <w:tc>
          <w:tcPr>
            <w:tcW w:w="2250" w:type="dxa"/>
            <w:tcBorders>
              <w:top w:val="nil"/>
              <w:left w:val="nil"/>
              <w:bottom w:val="nil"/>
              <w:right w:val="nil"/>
            </w:tcBorders>
            <w:vAlign w:val="bottom"/>
          </w:tcPr>
          <w:p w14:paraId="1ECD0147"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Colorado</w:t>
            </w:r>
          </w:p>
        </w:tc>
        <w:tc>
          <w:tcPr>
            <w:tcW w:w="1800" w:type="dxa"/>
            <w:tcBorders>
              <w:top w:val="nil"/>
              <w:left w:val="nil"/>
              <w:bottom w:val="nil"/>
              <w:right w:val="nil"/>
            </w:tcBorders>
            <w:shd w:val="clear" w:color="auto" w:fill="auto"/>
            <w:noWrap/>
            <w:vAlign w:val="bottom"/>
          </w:tcPr>
          <w:p w14:paraId="39B6D5D6" w14:textId="68575406" w:rsidR="00A12F0F" w:rsidRPr="00990A8E" w:rsidRDefault="00A12F0F" w:rsidP="00D422A0">
            <w:pPr>
              <w:spacing w:after="0" w:line="240" w:lineRule="auto"/>
              <w:jc w:val="center"/>
              <w:rPr>
                <w:color w:val="000000"/>
                <w:sz w:val="22"/>
                <w:szCs w:val="22"/>
                <w:lang w:bidi="ar-SA"/>
              </w:rPr>
            </w:pPr>
            <w:r w:rsidRPr="00990A8E">
              <w:rPr>
                <w:color w:val="000000"/>
                <w:sz w:val="22"/>
                <w:szCs w:val="22"/>
              </w:rPr>
              <w:t>41.7%</w:t>
            </w:r>
          </w:p>
        </w:tc>
        <w:tc>
          <w:tcPr>
            <w:tcW w:w="1530" w:type="dxa"/>
            <w:tcBorders>
              <w:top w:val="nil"/>
              <w:left w:val="nil"/>
              <w:bottom w:val="nil"/>
              <w:right w:val="nil"/>
            </w:tcBorders>
            <w:shd w:val="clear" w:color="auto" w:fill="auto"/>
            <w:noWrap/>
            <w:vAlign w:val="bottom"/>
          </w:tcPr>
          <w:p w14:paraId="363652CD" w14:textId="0801B386" w:rsidR="00A12F0F" w:rsidRPr="00990A8E" w:rsidRDefault="00A12F0F" w:rsidP="00D422A0">
            <w:pPr>
              <w:spacing w:after="0" w:line="240" w:lineRule="auto"/>
              <w:jc w:val="center"/>
              <w:rPr>
                <w:color w:val="000000"/>
                <w:sz w:val="22"/>
                <w:szCs w:val="22"/>
                <w:lang w:bidi="ar-SA"/>
              </w:rPr>
            </w:pPr>
            <w:r w:rsidRPr="00990A8E">
              <w:rPr>
                <w:color w:val="000000"/>
                <w:sz w:val="22"/>
                <w:szCs w:val="22"/>
              </w:rPr>
              <w:t>63.0%</w:t>
            </w:r>
          </w:p>
        </w:tc>
        <w:tc>
          <w:tcPr>
            <w:tcW w:w="1988" w:type="dxa"/>
            <w:tcBorders>
              <w:top w:val="nil"/>
              <w:left w:val="nil"/>
              <w:bottom w:val="nil"/>
              <w:right w:val="nil"/>
            </w:tcBorders>
            <w:shd w:val="clear" w:color="auto" w:fill="auto"/>
            <w:noWrap/>
            <w:vAlign w:val="bottom"/>
          </w:tcPr>
          <w:p w14:paraId="5D135711" w14:textId="206FC55C" w:rsidR="00A12F0F" w:rsidRPr="00990A8E" w:rsidRDefault="00A12F0F" w:rsidP="00D422A0">
            <w:pPr>
              <w:spacing w:after="0" w:line="240" w:lineRule="auto"/>
              <w:jc w:val="center"/>
              <w:rPr>
                <w:color w:val="000000"/>
                <w:sz w:val="22"/>
                <w:szCs w:val="22"/>
                <w:lang w:bidi="ar-SA"/>
              </w:rPr>
            </w:pPr>
            <w:r w:rsidRPr="00990A8E">
              <w:rPr>
                <w:color w:val="000000"/>
                <w:sz w:val="22"/>
                <w:szCs w:val="22"/>
              </w:rPr>
              <w:t>30.6%</w:t>
            </w:r>
          </w:p>
        </w:tc>
        <w:tc>
          <w:tcPr>
            <w:tcW w:w="1571" w:type="dxa"/>
            <w:tcBorders>
              <w:top w:val="nil"/>
              <w:left w:val="nil"/>
              <w:bottom w:val="nil"/>
              <w:right w:val="nil"/>
            </w:tcBorders>
            <w:shd w:val="clear" w:color="auto" w:fill="auto"/>
            <w:noWrap/>
            <w:vAlign w:val="bottom"/>
          </w:tcPr>
          <w:p w14:paraId="4A0003C9" w14:textId="54B16F21" w:rsidR="00A12F0F" w:rsidRPr="00990A8E" w:rsidRDefault="00A12F0F" w:rsidP="00D422A0">
            <w:pPr>
              <w:spacing w:after="0" w:line="240" w:lineRule="auto"/>
              <w:jc w:val="center"/>
              <w:rPr>
                <w:color w:val="000000"/>
                <w:sz w:val="22"/>
                <w:szCs w:val="22"/>
                <w:lang w:bidi="ar-SA"/>
              </w:rPr>
            </w:pPr>
            <w:r w:rsidRPr="00990A8E">
              <w:rPr>
                <w:color w:val="000000"/>
                <w:sz w:val="22"/>
                <w:szCs w:val="22"/>
              </w:rPr>
              <w:t>0.226</w:t>
            </w:r>
          </w:p>
        </w:tc>
      </w:tr>
      <w:tr w:rsidR="00A12F0F" w:rsidRPr="001E5771" w14:paraId="78C642A0" w14:textId="011A779B" w:rsidTr="005D739A">
        <w:trPr>
          <w:trHeight w:val="288"/>
        </w:trPr>
        <w:tc>
          <w:tcPr>
            <w:tcW w:w="2250" w:type="dxa"/>
            <w:tcBorders>
              <w:top w:val="nil"/>
              <w:left w:val="nil"/>
              <w:bottom w:val="nil"/>
              <w:right w:val="nil"/>
            </w:tcBorders>
            <w:vAlign w:val="bottom"/>
          </w:tcPr>
          <w:p w14:paraId="36BE9AF8" w14:textId="77777777" w:rsidR="00A12F0F" w:rsidRPr="001E5771" w:rsidRDefault="00A12F0F" w:rsidP="00D422A0">
            <w:pPr>
              <w:spacing w:after="0" w:line="240" w:lineRule="auto"/>
              <w:rPr>
                <w:b/>
                <w:color w:val="000000"/>
                <w:sz w:val="22"/>
                <w:szCs w:val="22"/>
                <w:lang w:bidi="ar-SA"/>
              </w:rPr>
            </w:pPr>
            <w:r w:rsidRPr="001E5771">
              <w:rPr>
                <w:b/>
                <w:color w:val="000000"/>
                <w:sz w:val="22"/>
                <w:szCs w:val="22"/>
                <w:lang w:bidi="ar-SA"/>
              </w:rPr>
              <w:t>Connecticut</w:t>
            </w:r>
          </w:p>
        </w:tc>
        <w:tc>
          <w:tcPr>
            <w:tcW w:w="1800" w:type="dxa"/>
            <w:tcBorders>
              <w:top w:val="nil"/>
              <w:left w:val="nil"/>
              <w:bottom w:val="nil"/>
              <w:right w:val="nil"/>
            </w:tcBorders>
            <w:shd w:val="clear" w:color="auto" w:fill="auto"/>
            <w:noWrap/>
            <w:vAlign w:val="bottom"/>
          </w:tcPr>
          <w:p w14:paraId="494BF855" w14:textId="793F5C38" w:rsidR="00A12F0F" w:rsidRPr="00990A8E" w:rsidRDefault="00A12F0F" w:rsidP="00D422A0">
            <w:pPr>
              <w:spacing w:after="0" w:line="240" w:lineRule="auto"/>
              <w:jc w:val="center"/>
              <w:rPr>
                <w:b/>
                <w:color w:val="000000"/>
                <w:sz w:val="22"/>
                <w:szCs w:val="22"/>
                <w:lang w:bidi="ar-SA"/>
              </w:rPr>
            </w:pPr>
            <w:r w:rsidRPr="00990A8E">
              <w:rPr>
                <w:b/>
                <w:color w:val="000000"/>
                <w:sz w:val="22"/>
                <w:szCs w:val="22"/>
              </w:rPr>
              <w:t>88.0%</w:t>
            </w:r>
          </w:p>
        </w:tc>
        <w:tc>
          <w:tcPr>
            <w:tcW w:w="1530" w:type="dxa"/>
            <w:tcBorders>
              <w:top w:val="nil"/>
              <w:left w:val="nil"/>
              <w:bottom w:val="nil"/>
              <w:right w:val="nil"/>
            </w:tcBorders>
            <w:shd w:val="clear" w:color="auto" w:fill="auto"/>
            <w:noWrap/>
            <w:vAlign w:val="bottom"/>
          </w:tcPr>
          <w:p w14:paraId="02829F5D" w14:textId="4450CD82" w:rsidR="00A12F0F" w:rsidRPr="00990A8E" w:rsidRDefault="00A12F0F" w:rsidP="00D422A0">
            <w:pPr>
              <w:spacing w:after="0" w:line="240" w:lineRule="auto"/>
              <w:jc w:val="center"/>
              <w:rPr>
                <w:b/>
                <w:color w:val="000000"/>
                <w:sz w:val="22"/>
                <w:szCs w:val="22"/>
                <w:lang w:bidi="ar-SA"/>
              </w:rPr>
            </w:pPr>
            <w:r w:rsidRPr="00990A8E">
              <w:rPr>
                <w:b/>
                <w:color w:val="000000"/>
                <w:sz w:val="22"/>
                <w:szCs w:val="22"/>
              </w:rPr>
              <w:t>98.8%</w:t>
            </w:r>
          </w:p>
        </w:tc>
        <w:tc>
          <w:tcPr>
            <w:tcW w:w="1988" w:type="dxa"/>
            <w:tcBorders>
              <w:top w:val="nil"/>
              <w:left w:val="nil"/>
              <w:bottom w:val="nil"/>
              <w:right w:val="nil"/>
            </w:tcBorders>
            <w:shd w:val="clear" w:color="auto" w:fill="auto"/>
            <w:noWrap/>
            <w:vAlign w:val="bottom"/>
          </w:tcPr>
          <w:p w14:paraId="68285506" w14:textId="7AF32605" w:rsidR="00A12F0F" w:rsidRPr="00990A8E" w:rsidRDefault="00A12F0F" w:rsidP="00D422A0">
            <w:pPr>
              <w:spacing w:after="0" w:line="240" w:lineRule="auto"/>
              <w:jc w:val="center"/>
              <w:rPr>
                <w:b/>
                <w:color w:val="000000"/>
                <w:sz w:val="22"/>
                <w:szCs w:val="22"/>
                <w:lang w:bidi="ar-SA"/>
              </w:rPr>
            </w:pPr>
            <w:r w:rsidRPr="00990A8E">
              <w:rPr>
                <w:b/>
                <w:color w:val="000000"/>
                <w:sz w:val="22"/>
                <w:szCs w:val="22"/>
              </w:rPr>
              <w:t>29.2%</w:t>
            </w:r>
          </w:p>
        </w:tc>
        <w:tc>
          <w:tcPr>
            <w:tcW w:w="1571" w:type="dxa"/>
            <w:tcBorders>
              <w:top w:val="nil"/>
              <w:left w:val="nil"/>
              <w:bottom w:val="nil"/>
              <w:right w:val="nil"/>
            </w:tcBorders>
            <w:shd w:val="clear" w:color="auto" w:fill="auto"/>
            <w:noWrap/>
            <w:vAlign w:val="bottom"/>
          </w:tcPr>
          <w:p w14:paraId="6E52C7C2" w14:textId="360136A8" w:rsidR="00A12F0F" w:rsidRPr="00990A8E" w:rsidRDefault="00A12F0F" w:rsidP="00D422A0">
            <w:pPr>
              <w:spacing w:after="0" w:line="240" w:lineRule="auto"/>
              <w:jc w:val="center"/>
              <w:rPr>
                <w:b/>
                <w:color w:val="000000"/>
                <w:sz w:val="22"/>
                <w:szCs w:val="22"/>
                <w:lang w:bidi="ar-SA"/>
              </w:rPr>
            </w:pPr>
            <w:r w:rsidRPr="00990A8E">
              <w:rPr>
                <w:b/>
                <w:color w:val="000000"/>
                <w:sz w:val="22"/>
                <w:szCs w:val="22"/>
              </w:rPr>
              <w:t>0.776</w:t>
            </w:r>
          </w:p>
        </w:tc>
      </w:tr>
      <w:tr w:rsidR="00A12F0F" w:rsidRPr="001E5771" w14:paraId="7DDFF3A9" w14:textId="7C2842C7" w:rsidTr="005D739A">
        <w:trPr>
          <w:trHeight w:val="288"/>
        </w:trPr>
        <w:tc>
          <w:tcPr>
            <w:tcW w:w="2250" w:type="dxa"/>
            <w:tcBorders>
              <w:top w:val="nil"/>
              <w:left w:val="nil"/>
              <w:bottom w:val="nil"/>
              <w:right w:val="nil"/>
            </w:tcBorders>
            <w:vAlign w:val="bottom"/>
          </w:tcPr>
          <w:p w14:paraId="68F6FCB8"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Delaware</w:t>
            </w:r>
          </w:p>
        </w:tc>
        <w:tc>
          <w:tcPr>
            <w:tcW w:w="1800" w:type="dxa"/>
            <w:tcBorders>
              <w:top w:val="nil"/>
              <w:left w:val="nil"/>
              <w:bottom w:val="nil"/>
              <w:right w:val="nil"/>
            </w:tcBorders>
            <w:shd w:val="clear" w:color="auto" w:fill="auto"/>
            <w:noWrap/>
            <w:vAlign w:val="bottom"/>
          </w:tcPr>
          <w:p w14:paraId="6649FDC7" w14:textId="0EC1BBB8" w:rsidR="00A12F0F" w:rsidRPr="00990A8E" w:rsidRDefault="00A12F0F" w:rsidP="00D422A0">
            <w:pPr>
              <w:spacing w:after="0" w:line="240" w:lineRule="auto"/>
              <w:jc w:val="center"/>
              <w:rPr>
                <w:color w:val="000000"/>
                <w:sz w:val="22"/>
                <w:szCs w:val="22"/>
                <w:lang w:bidi="ar-SA"/>
              </w:rPr>
            </w:pPr>
            <w:r w:rsidRPr="00990A8E">
              <w:rPr>
                <w:color w:val="000000"/>
                <w:sz w:val="22"/>
                <w:szCs w:val="22"/>
              </w:rPr>
              <w:t>56.1%</w:t>
            </w:r>
          </w:p>
        </w:tc>
        <w:tc>
          <w:tcPr>
            <w:tcW w:w="1530" w:type="dxa"/>
            <w:tcBorders>
              <w:top w:val="nil"/>
              <w:left w:val="nil"/>
              <w:bottom w:val="nil"/>
              <w:right w:val="nil"/>
            </w:tcBorders>
            <w:shd w:val="clear" w:color="auto" w:fill="auto"/>
            <w:noWrap/>
            <w:vAlign w:val="bottom"/>
          </w:tcPr>
          <w:p w14:paraId="3F999A74" w14:textId="6AE8C60C" w:rsidR="00A12F0F" w:rsidRPr="00990A8E" w:rsidRDefault="00A12F0F" w:rsidP="00D422A0">
            <w:pPr>
              <w:spacing w:after="0" w:line="240" w:lineRule="auto"/>
              <w:jc w:val="center"/>
              <w:rPr>
                <w:color w:val="000000"/>
                <w:sz w:val="22"/>
                <w:szCs w:val="22"/>
                <w:lang w:bidi="ar-SA"/>
              </w:rPr>
            </w:pPr>
            <w:r w:rsidRPr="00990A8E">
              <w:rPr>
                <w:color w:val="000000"/>
                <w:sz w:val="22"/>
                <w:szCs w:val="22"/>
              </w:rPr>
              <w:t>81.8%</w:t>
            </w:r>
          </w:p>
        </w:tc>
        <w:tc>
          <w:tcPr>
            <w:tcW w:w="1988" w:type="dxa"/>
            <w:tcBorders>
              <w:top w:val="nil"/>
              <w:left w:val="nil"/>
              <w:bottom w:val="nil"/>
              <w:right w:val="nil"/>
            </w:tcBorders>
            <w:shd w:val="clear" w:color="auto" w:fill="auto"/>
            <w:noWrap/>
            <w:vAlign w:val="bottom"/>
          </w:tcPr>
          <w:p w14:paraId="02C721D8" w14:textId="5D069895" w:rsidR="00A12F0F" w:rsidRPr="00990A8E" w:rsidRDefault="00A12F0F" w:rsidP="00D422A0">
            <w:pPr>
              <w:spacing w:after="0" w:line="240" w:lineRule="auto"/>
              <w:jc w:val="center"/>
              <w:rPr>
                <w:color w:val="000000"/>
                <w:sz w:val="22"/>
                <w:szCs w:val="22"/>
                <w:lang w:bidi="ar-SA"/>
              </w:rPr>
            </w:pPr>
            <w:r w:rsidRPr="00990A8E">
              <w:rPr>
                <w:color w:val="000000"/>
                <w:sz w:val="22"/>
                <w:szCs w:val="22"/>
              </w:rPr>
              <w:t>53.0%</w:t>
            </w:r>
          </w:p>
        </w:tc>
        <w:tc>
          <w:tcPr>
            <w:tcW w:w="1571" w:type="dxa"/>
            <w:tcBorders>
              <w:top w:val="nil"/>
              <w:left w:val="nil"/>
              <w:bottom w:val="nil"/>
              <w:right w:val="nil"/>
            </w:tcBorders>
            <w:shd w:val="clear" w:color="auto" w:fill="auto"/>
            <w:noWrap/>
            <w:vAlign w:val="bottom"/>
          </w:tcPr>
          <w:p w14:paraId="2C6A1CCF" w14:textId="679A938F" w:rsidR="00A12F0F" w:rsidRPr="00990A8E" w:rsidRDefault="00A12F0F" w:rsidP="00D422A0">
            <w:pPr>
              <w:spacing w:after="0" w:line="240" w:lineRule="auto"/>
              <w:jc w:val="center"/>
              <w:rPr>
                <w:color w:val="000000"/>
                <w:sz w:val="22"/>
                <w:szCs w:val="22"/>
                <w:lang w:bidi="ar-SA"/>
              </w:rPr>
            </w:pPr>
            <w:r w:rsidRPr="00990A8E">
              <w:rPr>
                <w:color w:val="000000"/>
                <w:sz w:val="22"/>
                <w:szCs w:val="22"/>
              </w:rPr>
              <w:t>0.344</w:t>
            </w:r>
          </w:p>
        </w:tc>
      </w:tr>
      <w:tr w:rsidR="00A12F0F" w:rsidRPr="001E5771" w14:paraId="0BD71FAE" w14:textId="45474BDE" w:rsidTr="005D739A">
        <w:trPr>
          <w:trHeight w:val="288"/>
        </w:trPr>
        <w:tc>
          <w:tcPr>
            <w:tcW w:w="2250" w:type="dxa"/>
            <w:tcBorders>
              <w:top w:val="nil"/>
              <w:left w:val="nil"/>
              <w:bottom w:val="nil"/>
              <w:right w:val="nil"/>
            </w:tcBorders>
            <w:vAlign w:val="bottom"/>
          </w:tcPr>
          <w:p w14:paraId="13938FA9"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District of Columbia</w:t>
            </w:r>
          </w:p>
        </w:tc>
        <w:tc>
          <w:tcPr>
            <w:tcW w:w="1800" w:type="dxa"/>
            <w:tcBorders>
              <w:top w:val="nil"/>
              <w:left w:val="nil"/>
              <w:bottom w:val="nil"/>
              <w:right w:val="nil"/>
            </w:tcBorders>
            <w:shd w:val="clear" w:color="auto" w:fill="auto"/>
            <w:noWrap/>
            <w:vAlign w:val="bottom"/>
          </w:tcPr>
          <w:p w14:paraId="1EFB0436" w14:textId="394B408F" w:rsidR="00A12F0F" w:rsidRPr="00990A8E" w:rsidRDefault="00A12F0F" w:rsidP="00D422A0">
            <w:pPr>
              <w:spacing w:after="0" w:line="240" w:lineRule="auto"/>
              <w:jc w:val="center"/>
              <w:rPr>
                <w:color w:val="000000"/>
                <w:sz w:val="22"/>
                <w:szCs w:val="22"/>
                <w:lang w:bidi="ar-SA"/>
              </w:rPr>
            </w:pPr>
            <w:r w:rsidRPr="00990A8E">
              <w:rPr>
                <w:color w:val="000000"/>
                <w:sz w:val="22"/>
                <w:szCs w:val="22"/>
              </w:rPr>
              <w:t>24.6%</w:t>
            </w:r>
          </w:p>
        </w:tc>
        <w:tc>
          <w:tcPr>
            <w:tcW w:w="1530" w:type="dxa"/>
            <w:tcBorders>
              <w:top w:val="nil"/>
              <w:left w:val="nil"/>
              <w:bottom w:val="nil"/>
              <w:right w:val="nil"/>
            </w:tcBorders>
            <w:shd w:val="clear" w:color="auto" w:fill="auto"/>
            <w:noWrap/>
            <w:vAlign w:val="bottom"/>
          </w:tcPr>
          <w:p w14:paraId="1EDD5FD7" w14:textId="7F02A1AF" w:rsidR="00A12F0F" w:rsidRPr="00990A8E" w:rsidRDefault="00A12F0F" w:rsidP="00D422A0">
            <w:pPr>
              <w:spacing w:after="0" w:line="240" w:lineRule="auto"/>
              <w:jc w:val="center"/>
              <w:rPr>
                <w:color w:val="000000"/>
                <w:sz w:val="22"/>
                <w:szCs w:val="22"/>
                <w:lang w:bidi="ar-SA"/>
              </w:rPr>
            </w:pPr>
            <w:r w:rsidRPr="00990A8E">
              <w:rPr>
                <w:color w:val="000000"/>
                <w:sz w:val="22"/>
                <w:szCs w:val="22"/>
              </w:rPr>
              <w:t>31.6%</w:t>
            </w:r>
          </w:p>
        </w:tc>
        <w:tc>
          <w:tcPr>
            <w:tcW w:w="1988" w:type="dxa"/>
            <w:tcBorders>
              <w:top w:val="nil"/>
              <w:left w:val="nil"/>
              <w:bottom w:val="nil"/>
              <w:right w:val="nil"/>
            </w:tcBorders>
            <w:shd w:val="clear" w:color="auto" w:fill="auto"/>
            <w:noWrap/>
            <w:vAlign w:val="bottom"/>
          </w:tcPr>
          <w:p w14:paraId="2DB274E0" w14:textId="61187540" w:rsidR="00A12F0F" w:rsidRPr="00990A8E" w:rsidRDefault="00A12F0F" w:rsidP="00D422A0">
            <w:pPr>
              <w:spacing w:after="0" w:line="240" w:lineRule="auto"/>
              <w:jc w:val="center"/>
              <w:rPr>
                <w:color w:val="000000"/>
                <w:sz w:val="22"/>
                <w:szCs w:val="22"/>
                <w:lang w:bidi="ar-SA"/>
              </w:rPr>
            </w:pPr>
            <w:r w:rsidRPr="00990A8E">
              <w:rPr>
                <w:color w:val="000000"/>
                <w:sz w:val="22"/>
                <w:szCs w:val="22"/>
              </w:rPr>
              <w:t>28.7%</w:t>
            </w:r>
          </w:p>
        </w:tc>
        <w:tc>
          <w:tcPr>
            <w:tcW w:w="1571" w:type="dxa"/>
            <w:tcBorders>
              <w:top w:val="nil"/>
              <w:left w:val="nil"/>
              <w:bottom w:val="nil"/>
              <w:right w:val="nil"/>
            </w:tcBorders>
            <w:shd w:val="clear" w:color="auto" w:fill="auto"/>
            <w:noWrap/>
            <w:vAlign w:val="bottom"/>
          </w:tcPr>
          <w:p w14:paraId="323A90F0" w14:textId="301BCE8F" w:rsidR="00A12F0F" w:rsidRPr="00990A8E" w:rsidRDefault="00A12F0F" w:rsidP="00D422A0">
            <w:pPr>
              <w:spacing w:after="0" w:line="240" w:lineRule="auto"/>
              <w:jc w:val="center"/>
              <w:rPr>
                <w:color w:val="000000"/>
                <w:sz w:val="22"/>
                <w:szCs w:val="22"/>
                <w:lang w:bidi="ar-SA"/>
              </w:rPr>
            </w:pPr>
            <w:r w:rsidRPr="00990A8E">
              <w:rPr>
                <w:color w:val="000000"/>
                <w:sz w:val="22"/>
                <w:szCs w:val="22"/>
              </w:rPr>
              <w:t>0.148</w:t>
            </w:r>
          </w:p>
        </w:tc>
      </w:tr>
      <w:tr w:rsidR="00A12F0F" w:rsidRPr="001E5771" w14:paraId="106822CE" w14:textId="52289980" w:rsidTr="005D739A">
        <w:trPr>
          <w:trHeight w:val="288"/>
        </w:trPr>
        <w:tc>
          <w:tcPr>
            <w:tcW w:w="2250" w:type="dxa"/>
            <w:tcBorders>
              <w:top w:val="nil"/>
              <w:left w:val="nil"/>
              <w:bottom w:val="nil"/>
              <w:right w:val="nil"/>
            </w:tcBorders>
            <w:vAlign w:val="bottom"/>
          </w:tcPr>
          <w:p w14:paraId="56E71D8B"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Florida</w:t>
            </w:r>
          </w:p>
        </w:tc>
        <w:tc>
          <w:tcPr>
            <w:tcW w:w="1800" w:type="dxa"/>
            <w:tcBorders>
              <w:top w:val="nil"/>
              <w:left w:val="nil"/>
              <w:bottom w:val="nil"/>
              <w:right w:val="nil"/>
            </w:tcBorders>
            <w:shd w:val="clear" w:color="auto" w:fill="auto"/>
            <w:noWrap/>
            <w:vAlign w:val="bottom"/>
          </w:tcPr>
          <w:p w14:paraId="7B653456" w14:textId="16F88911" w:rsidR="00A12F0F" w:rsidRPr="00990A8E" w:rsidRDefault="00A12F0F" w:rsidP="00D422A0">
            <w:pPr>
              <w:spacing w:after="0" w:line="240" w:lineRule="auto"/>
              <w:jc w:val="center"/>
              <w:rPr>
                <w:color w:val="000000"/>
                <w:sz w:val="22"/>
                <w:szCs w:val="22"/>
                <w:lang w:bidi="ar-SA"/>
              </w:rPr>
            </w:pPr>
            <w:r w:rsidRPr="00990A8E">
              <w:rPr>
                <w:color w:val="000000"/>
                <w:sz w:val="22"/>
                <w:szCs w:val="22"/>
              </w:rPr>
              <w:t>47.0%</w:t>
            </w:r>
          </w:p>
        </w:tc>
        <w:tc>
          <w:tcPr>
            <w:tcW w:w="1530" w:type="dxa"/>
            <w:tcBorders>
              <w:top w:val="nil"/>
              <w:left w:val="nil"/>
              <w:bottom w:val="nil"/>
              <w:right w:val="nil"/>
            </w:tcBorders>
            <w:shd w:val="clear" w:color="auto" w:fill="auto"/>
            <w:noWrap/>
            <w:vAlign w:val="bottom"/>
          </w:tcPr>
          <w:p w14:paraId="7495B516" w14:textId="2301A2FF" w:rsidR="00A12F0F" w:rsidRPr="00990A8E" w:rsidRDefault="00A12F0F" w:rsidP="00D422A0">
            <w:pPr>
              <w:spacing w:after="0" w:line="240" w:lineRule="auto"/>
              <w:jc w:val="center"/>
              <w:rPr>
                <w:color w:val="000000"/>
                <w:sz w:val="22"/>
                <w:szCs w:val="22"/>
                <w:lang w:bidi="ar-SA"/>
              </w:rPr>
            </w:pPr>
            <w:r w:rsidRPr="00990A8E">
              <w:rPr>
                <w:color w:val="000000"/>
                <w:sz w:val="22"/>
                <w:szCs w:val="22"/>
              </w:rPr>
              <w:t>76.4%</w:t>
            </w:r>
          </w:p>
        </w:tc>
        <w:tc>
          <w:tcPr>
            <w:tcW w:w="1988" w:type="dxa"/>
            <w:tcBorders>
              <w:top w:val="nil"/>
              <w:left w:val="nil"/>
              <w:bottom w:val="nil"/>
              <w:right w:val="nil"/>
            </w:tcBorders>
            <w:shd w:val="clear" w:color="auto" w:fill="auto"/>
            <w:noWrap/>
            <w:vAlign w:val="bottom"/>
          </w:tcPr>
          <w:p w14:paraId="2E50F1EC" w14:textId="02571263" w:rsidR="00A12F0F" w:rsidRPr="00990A8E" w:rsidRDefault="00A12F0F" w:rsidP="00D422A0">
            <w:pPr>
              <w:spacing w:after="0" w:line="240" w:lineRule="auto"/>
              <w:jc w:val="center"/>
              <w:rPr>
                <w:color w:val="000000"/>
                <w:sz w:val="22"/>
                <w:szCs w:val="22"/>
                <w:lang w:bidi="ar-SA"/>
              </w:rPr>
            </w:pPr>
            <w:r w:rsidRPr="00990A8E">
              <w:rPr>
                <w:color w:val="000000"/>
                <w:sz w:val="22"/>
                <w:szCs w:val="22"/>
              </w:rPr>
              <w:t>29.2%</w:t>
            </w:r>
          </w:p>
        </w:tc>
        <w:tc>
          <w:tcPr>
            <w:tcW w:w="1571" w:type="dxa"/>
            <w:tcBorders>
              <w:top w:val="nil"/>
              <w:left w:val="nil"/>
              <w:bottom w:val="nil"/>
              <w:right w:val="nil"/>
            </w:tcBorders>
            <w:shd w:val="clear" w:color="auto" w:fill="auto"/>
            <w:noWrap/>
            <w:vAlign w:val="bottom"/>
          </w:tcPr>
          <w:p w14:paraId="725DB7FC" w14:textId="35D01639" w:rsidR="00A12F0F" w:rsidRPr="00990A8E" w:rsidRDefault="00A12F0F" w:rsidP="00D422A0">
            <w:pPr>
              <w:spacing w:after="0" w:line="240" w:lineRule="auto"/>
              <w:jc w:val="center"/>
              <w:rPr>
                <w:color w:val="000000"/>
                <w:sz w:val="22"/>
                <w:szCs w:val="22"/>
                <w:lang w:bidi="ar-SA"/>
              </w:rPr>
            </w:pPr>
            <w:r w:rsidRPr="00990A8E">
              <w:rPr>
                <w:color w:val="000000"/>
                <w:sz w:val="22"/>
                <w:szCs w:val="22"/>
              </w:rPr>
              <w:t>0.241</w:t>
            </w:r>
          </w:p>
        </w:tc>
      </w:tr>
      <w:tr w:rsidR="00A12F0F" w:rsidRPr="001E5771" w14:paraId="4E4DB532" w14:textId="5A2EF3DA" w:rsidTr="005D739A">
        <w:trPr>
          <w:trHeight w:val="288"/>
        </w:trPr>
        <w:tc>
          <w:tcPr>
            <w:tcW w:w="2250" w:type="dxa"/>
            <w:tcBorders>
              <w:top w:val="nil"/>
              <w:left w:val="nil"/>
              <w:bottom w:val="nil"/>
              <w:right w:val="nil"/>
            </w:tcBorders>
            <w:vAlign w:val="bottom"/>
          </w:tcPr>
          <w:p w14:paraId="060BEDD0"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Georgia</w:t>
            </w:r>
          </w:p>
        </w:tc>
        <w:tc>
          <w:tcPr>
            <w:tcW w:w="1800" w:type="dxa"/>
            <w:tcBorders>
              <w:top w:val="nil"/>
              <w:left w:val="nil"/>
              <w:bottom w:val="nil"/>
              <w:right w:val="nil"/>
            </w:tcBorders>
            <w:shd w:val="clear" w:color="auto" w:fill="auto"/>
            <w:noWrap/>
            <w:vAlign w:val="bottom"/>
          </w:tcPr>
          <w:p w14:paraId="12AF0827" w14:textId="57AEFFDB" w:rsidR="00A12F0F" w:rsidRPr="00990A8E" w:rsidRDefault="00A12F0F" w:rsidP="00D422A0">
            <w:pPr>
              <w:spacing w:after="0" w:line="240" w:lineRule="auto"/>
              <w:jc w:val="center"/>
              <w:rPr>
                <w:color w:val="000000"/>
                <w:sz w:val="22"/>
                <w:szCs w:val="22"/>
                <w:lang w:bidi="ar-SA"/>
              </w:rPr>
            </w:pPr>
            <w:r w:rsidRPr="00990A8E">
              <w:rPr>
                <w:color w:val="000000"/>
                <w:sz w:val="22"/>
                <w:szCs w:val="22"/>
              </w:rPr>
              <w:t>48.9%</w:t>
            </w:r>
          </w:p>
        </w:tc>
        <w:tc>
          <w:tcPr>
            <w:tcW w:w="1530" w:type="dxa"/>
            <w:tcBorders>
              <w:top w:val="nil"/>
              <w:left w:val="nil"/>
              <w:bottom w:val="nil"/>
              <w:right w:val="nil"/>
            </w:tcBorders>
            <w:shd w:val="clear" w:color="auto" w:fill="auto"/>
            <w:noWrap/>
            <w:vAlign w:val="bottom"/>
          </w:tcPr>
          <w:p w14:paraId="5FD86D7F" w14:textId="10D6E42F" w:rsidR="00A12F0F" w:rsidRPr="00990A8E" w:rsidRDefault="00A12F0F" w:rsidP="00D422A0">
            <w:pPr>
              <w:spacing w:after="0" w:line="240" w:lineRule="auto"/>
              <w:jc w:val="center"/>
              <w:rPr>
                <w:color w:val="000000"/>
                <w:sz w:val="22"/>
                <w:szCs w:val="22"/>
                <w:lang w:bidi="ar-SA"/>
              </w:rPr>
            </w:pPr>
            <w:r w:rsidRPr="00990A8E">
              <w:rPr>
                <w:color w:val="000000"/>
                <w:sz w:val="22"/>
                <w:szCs w:val="22"/>
              </w:rPr>
              <w:t>65.9%</w:t>
            </w:r>
          </w:p>
        </w:tc>
        <w:tc>
          <w:tcPr>
            <w:tcW w:w="1988" w:type="dxa"/>
            <w:tcBorders>
              <w:top w:val="nil"/>
              <w:left w:val="nil"/>
              <w:bottom w:val="nil"/>
              <w:right w:val="nil"/>
            </w:tcBorders>
            <w:shd w:val="clear" w:color="auto" w:fill="auto"/>
            <w:noWrap/>
            <w:vAlign w:val="bottom"/>
          </w:tcPr>
          <w:p w14:paraId="0CED9D39" w14:textId="61691649" w:rsidR="00A12F0F" w:rsidRPr="00990A8E" w:rsidRDefault="00A12F0F" w:rsidP="00D422A0">
            <w:pPr>
              <w:spacing w:after="0" w:line="240" w:lineRule="auto"/>
              <w:jc w:val="center"/>
              <w:rPr>
                <w:color w:val="000000"/>
                <w:sz w:val="22"/>
                <w:szCs w:val="22"/>
                <w:lang w:bidi="ar-SA"/>
              </w:rPr>
            </w:pPr>
            <w:r w:rsidRPr="00990A8E">
              <w:rPr>
                <w:color w:val="000000"/>
                <w:sz w:val="22"/>
                <w:szCs w:val="22"/>
              </w:rPr>
              <w:t>31.9%</w:t>
            </w:r>
          </w:p>
        </w:tc>
        <w:tc>
          <w:tcPr>
            <w:tcW w:w="1571" w:type="dxa"/>
            <w:tcBorders>
              <w:top w:val="nil"/>
              <w:left w:val="nil"/>
              <w:bottom w:val="nil"/>
              <w:right w:val="nil"/>
            </w:tcBorders>
            <w:shd w:val="clear" w:color="auto" w:fill="auto"/>
            <w:noWrap/>
            <w:vAlign w:val="bottom"/>
          </w:tcPr>
          <w:p w14:paraId="12B53F65" w14:textId="0AF14D1F" w:rsidR="00A12F0F" w:rsidRPr="00990A8E" w:rsidRDefault="00A12F0F" w:rsidP="00D422A0">
            <w:pPr>
              <w:spacing w:after="0" w:line="240" w:lineRule="auto"/>
              <w:jc w:val="center"/>
              <w:rPr>
                <w:color w:val="000000"/>
                <w:sz w:val="22"/>
                <w:szCs w:val="22"/>
                <w:lang w:bidi="ar-SA"/>
              </w:rPr>
            </w:pPr>
            <w:r w:rsidRPr="00990A8E">
              <w:rPr>
                <w:color w:val="000000"/>
                <w:sz w:val="22"/>
                <w:szCs w:val="22"/>
              </w:rPr>
              <w:t>0.285</w:t>
            </w:r>
          </w:p>
        </w:tc>
      </w:tr>
      <w:tr w:rsidR="00A12F0F" w:rsidRPr="001E5771" w14:paraId="73E84541" w14:textId="0398EFED" w:rsidTr="005D739A">
        <w:trPr>
          <w:trHeight w:val="288"/>
        </w:trPr>
        <w:tc>
          <w:tcPr>
            <w:tcW w:w="2250" w:type="dxa"/>
            <w:tcBorders>
              <w:top w:val="nil"/>
              <w:left w:val="nil"/>
              <w:bottom w:val="nil"/>
              <w:right w:val="nil"/>
            </w:tcBorders>
            <w:vAlign w:val="bottom"/>
          </w:tcPr>
          <w:p w14:paraId="162D1F26"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Hawaii</w:t>
            </w:r>
          </w:p>
        </w:tc>
        <w:tc>
          <w:tcPr>
            <w:tcW w:w="1800" w:type="dxa"/>
            <w:tcBorders>
              <w:top w:val="nil"/>
              <w:left w:val="nil"/>
              <w:bottom w:val="nil"/>
              <w:right w:val="nil"/>
            </w:tcBorders>
            <w:shd w:val="clear" w:color="auto" w:fill="auto"/>
            <w:noWrap/>
            <w:vAlign w:val="bottom"/>
          </w:tcPr>
          <w:p w14:paraId="5C10C26E" w14:textId="6F9A549D" w:rsidR="00A12F0F" w:rsidRPr="00990A8E" w:rsidRDefault="00A12F0F" w:rsidP="00D422A0">
            <w:pPr>
              <w:spacing w:after="0" w:line="240" w:lineRule="auto"/>
              <w:jc w:val="center"/>
              <w:rPr>
                <w:color w:val="000000"/>
                <w:sz w:val="22"/>
                <w:szCs w:val="22"/>
                <w:lang w:bidi="ar-SA"/>
              </w:rPr>
            </w:pPr>
            <w:r w:rsidRPr="00990A8E">
              <w:rPr>
                <w:color w:val="000000"/>
                <w:sz w:val="22"/>
                <w:szCs w:val="22"/>
              </w:rPr>
              <w:t>52.1%</w:t>
            </w:r>
          </w:p>
        </w:tc>
        <w:tc>
          <w:tcPr>
            <w:tcW w:w="1530" w:type="dxa"/>
            <w:tcBorders>
              <w:top w:val="nil"/>
              <w:left w:val="nil"/>
              <w:bottom w:val="nil"/>
              <w:right w:val="nil"/>
            </w:tcBorders>
            <w:shd w:val="clear" w:color="auto" w:fill="auto"/>
            <w:noWrap/>
            <w:vAlign w:val="bottom"/>
          </w:tcPr>
          <w:p w14:paraId="09FFD6B2" w14:textId="1EFCA6DC" w:rsidR="00A12F0F" w:rsidRPr="00990A8E" w:rsidRDefault="00A12F0F" w:rsidP="00D422A0">
            <w:pPr>
              <w:spacing w:after="0" w:line="240" w:lineRule="auto"/>
              <w:jc w:val="center"/>
              <w:rPr>
                <w:color w:val="000000"/>
                <w:sz w:val="22"/>
                <w:szCs w:val="22"/>
                <w:lang w:bidi="ar-SA"/>
              </w:rPr>
            </w:pPr>
            <w:r w:rsidRPr="00990A8E">
              <w:rPr>
                <w:color w:val="000000"/>
                <w:sz w:val="22"/>
                <w:szCs w:val="22"/>
              </w:rPr>
              <w:t>69.2%</w:t>
            </w:r>
          </w:p>
        </w:tc>
        <w:tc>
          <w:tcPr>
            <w:tcW w:w="1988" w:type="dxa"/>
            <w:tcBorders>
              <w:top w:val="nil"/>
              <w:left w:val="nil"/>
              <w:bottom w:val="nil"/>
              <w:right w:val="nil"/>
            </w:tcBorders>
            <w:shd w:val="clear" w:color="auto" w:fill="auto"/>
            <w:noWrap/>
            <w:vAlign w:val="bottom"/>
          </w:tcPr>
          <w:p w14:paraId="36DC313F" w14:textId="1788E2D0" w:rsidR="00A12F0F" w:rsidRPr="00990A8E" w:rsidRDefault="00A12F0F" w:rsidP="00D422A0">
            <w:pPr>
              <w:spacing w:after="0" w:line="240" w:lineRule="auto"/>
              <w:jc w:val="center"/>
              <w:rPr>
                <w:color w:val="000000"/>
                <w:sz w:val="22"/>
                <w:szCs w:val="22"/>
                <w:lang w:bidi="ar-SA"/>
              </w:rPr>
            </w:pPr>
            <w:r w:rsidRPr="00990A8E">
              <w:rPr>
                <w:color w:val="000000"/>
                <w:sz w:val="22"/>
                <w:szCs w:val="22"/>
              </w:rPr>
              <w:t>16.4%</w:t>
            </w:r>
          </w:p>
        </w:tc>
        <w:tc>
          <w:tcPr>
            <w:tcW w:w="1571" w:type="dxa"/>
            <w:tcBorders>
              <w:top w:val="nil"/>
              <w:left w:val="nil"/>
              <w:bottom w:val="nil"/>
              <w:right w:val="nil"/>
            </w:tcBorders>
            <w:shd w:val="clear" w:color="auto" w:fill="auto"/>
            <w:noWrap/>
            <w:vAlign w:val="bottom"/>
          </w:tcPr>
          <w:p w14:paraId="385A1BC6" w14:textId="66284B84" w:rsidR="00A12F0F" w:rsidRPr="00990A8E" w:rsidRDefault="00A12F0F" w:rsidP="00D422A0">
            <w:pPr>
              <w:spacing w:after="0" w:line="240" w:lineRule="auto"/>
              <w:jc w:val="center"/>
              <w:rPr>
                <w:color w:val="000000"/>
                <w:sz w:val="22"/>
                <w:szCs w:val="22"/>
                <w:lang w:bidi="ar-SA"/>
              </w:rPr>
            </w:pPr>
            <w:r w:rsidRPr="00990A8E">
              <w:rPr>
                <w:color w:val="000000"/>
                <w:sz w:val="22"/>
                <w:szCs w:val="22"/>
              </w:rPr>
              <w:t>0.310</w:t>
            </w:r>
          </w:p>
        </w:tc>
      </w:tr>
      <w:tr w:rsidR="00A12F0F" w:rsidRPr="001E5771" w14:paraId="4995D6E1" w14:textId="2F9403DF" w:rsidTr="005D739A">
        <w:trPr>
          <w:trHeight w:val="288"/>
        </w:trPr>
        <w:tc>
          <w:tcPr>
            <w:tcW w:w="2250" w:type="dxa"/>
            <w:tcBorders>
              <w:top w:val="nil"/>
              <w:left w:val="nil"/>
              <w:bottom w:val="nil"/>
              <w:right w:val="nil"/>
            </w:tcBorders>
            <w:vAlign w:val="bottom"/>
          </w:tcPr>
          <w:p w14:paraId="30B5D603"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Idaho</w:t>
            </w:r>
          </w:p>
        </w:tc>
        <w:tc>
          <w:tcPr>
            <w:tcW w:w="1800" w:type="dxa"/>
            <w:tcBorders>
              <w:top w:val="nil"/>
              <w:left w:val="nil"/>
              <w:bottom w:val="nil"/>
              <w:right w:val="nil"/>
            </w:tcBorders>
            <w:shd w:val="clear" w:color="auto" w:fill="auto"/>
            <w:noWrap/>
            <w:vAlign w:val="bottom"/>
          </w:tcPr>
          <w:p w14:paraId="4ADFED42" w14:textId="0EAD05FF" w:rsidR="00A12F0F" w:rsidRPr="00990A8E" w:rsidRDefault="00A12F0F" w:rsidP="00D422A0">
            <w:pPr>
              <w:spacing w:after="0" w:line="240" w:lineRule="auto"/>
              <w:jc w:val="center"/>
              <w:rPr>
                <w:color w:val="000000"/>
                <w:sz w:val="22"/>
                <w:szCs w:val="22"/>
                <w:lang w:bidi="ar-SA"/>
              </w:rPr>
            </w:pPr>
            <w:r w:rsidRPr="00990A8E">
              <w:rPr>
                <w:color w:val="000000"/>
                <w:sz w:val="22"/>
                <w:szCs w:val="22"/>
              </w:rPr>
              <w:t>54.5%</w:t>
            </w:r>
          </w:p>
        </w:tc>
        <w:tc>
          <w:tcPr>
            <w:tcW w:w="1530" w:type="dxa"/>
            <w:tcBorders>
              <w:top w:val="nil"/>
              <w:left w:val="nil"/>
              <w:bottom w:val="nil"/>
              <w:right w:val="nil"/>
            </w:tcBorders>
            <w:shd w:val="clear" w:color="auto" w:fill="auto"/>
            <w:noWrap/>
            <w:vAlign w:val="bottom"/>
          </w:tcPr>
          <w:p w14:paraId="0B9DD159" w14:textId="5D99F9D9" w:rsidR="00A12F0F" w:rsidRPr="00990A8E" w:rsidRDefault="00A12F0F" w:rsidP="00D422A0">
            <w:pPr>
              <w:spacing w:after="0" w:line="240" w:lineRule="auto"/>
              <w:jc w:val="center"/>
              <w:rPr>
                <w:color w:val="000000"/>
                <w:sz w:val="22"/>
                <w:szCs w:val="22"/>
                <w:lang w:bidi="ar-SA"/>
              </w:rPr>
            </w:pPr>
            <w:r w:rsidRPr="00990A8E">
              <w:rPr>
                <w:color w:val="000000"/>
                <w:sz w:val="22"/>
                <w:szCs w:val="22"/>
              </w:rPr>
              <w:t>95.1%</w:t>
            </w:r>
          </w:p>
        </w:tc>
        <w:tc>
          <w:tcPr>
            <w:tcW w:w="1988" w:type="dxa"/>
            <w:tcBorders>
              <w:top w:val="nil"/>
              <w:left w:val="nil"/>
              <w:bottom w:val="nil"/>
              <w:right w:val="nil"/>
            </w:tcBorders>
            <w:shd w:val="clear" w:color="auto" w:fill="auto"/>
            <w:noWrap/>
            <w:vAlign w:val="bottom"/>
          </w:tcPr>
          <w:p w14:paraId="40750B0A" w14:textId="79720C71" w:rsidR="00A12F0F" w:rsidRPr="00990A8E" w:rsidRDefault="00A12F0F" w:rsidP="00D422A0">
            <w:pPr>
              <w:spacing w:after="0" w:line="240" w:lineRule="auto"/>
              <w:jc w:val="center"/>
              <w:rPr>
                <w:color w:val="000000"/>
                <w:sz w:val="22"/>
                <w:szCs w:val="22"/>
                <w:lang w:bidi="ar-SA"/>
              </w:rPr>
            </w:pPr>
            <w:r w:rsidRPr="00990A8E">
              <w:rPr>
                <w:color w:val="000000"/>
                <w:sz w:val="22"/>
                <w:szCs w:val="22"/>
              </w:rPr>
              <w:t>46.7%</w:t>
            </w:r>
          </w:p>
        </w:tc>
        <w:tc>
          <w:tcPr>
            <w:tcW w:w="1571" w:type="dxa"/>
            <w:tcBorders>
              <w:top w:val="nil"/>
              <w:left w:val="nil"/>
              <w:bottom w:val="nil"/>
              <w:right w:val="nil"/>
            </w:tcBorders>
            <w:shd w:val="clear" w:color="auto" w:fill="auto"/>
            <w:noWrap/>
            <w:vAlign w:val="bottom"/>
          </w:tcPr>
          <w:p w14:paraId="653551F3" w14:textId="32E5FC11" w:rsidR="00A12F0F" w:rsidRPr="00990A8E" w:rsidRDefault="00A12F0F" w:rsidP="00D422A0">
            <w:pPr>
              <w:spacing w:after="0" w:line="240" w:lineRule="auto"/>
              <w:jc w:val="center"/>
              <w:rPr>
                <w:color w:val="000000"/>
                <w:sz w:val="22"/>
                <w:szCs w:val="22"/>
                <w:lang w:bidi="ar-SA"/>
              </w:rPr>
            </w:pPr>
            <w:r w:rsidRPr="00990A8E">
              <w:rPr>
                <w:color w:val="000000"/>
                <w:sz w:val="22"/>
                <w:szCs w:val="22"/>
              </w:rPr>
              <w:t>0.322</w:t>
            </w:r>
          </w:p>
        </w:tc>
      </w:tr>
      <w:tr w:rsidR="00A12F0F" w:rsidRPr="001E5771" w14:paraId="38CA022C" w14:textId="3370FAAF" w:rsidTr="005D739A">
        <w:trPr>
          <w:trHeight w:val="288"/>
        </w:trPr>
        <w:tc>
          <w:tcPr>
            <w:tcW w:w="2250" w:type="dxa"/>
            <w:tcBorders>
              <w:top w:val="nil"/>
              <w:left w:val="nil"/>
              <w:bottom w:val="nil"/>
              <w:right w:val="nil"/>
            </w:tcBorders>
            <w:vAlign w:val="bottom"/>
          </w:tcPr>
          <w:p w14:paraId="14615C65"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Illinois</w:t>
            </w:r>
          </w:p>
        </w:tc>
        <w:tc>
          <w:tcPr>
            <w:tcW w:w="1800" w:type="dxa"/>
            <w:tcBorders>
              <w:top w:val="nil"/>
              <w:left w:val="nil"/>
              <w:bottom w:val="nil"/>
              <w:right w:val="nil"/>
            </w:tcBorders>
            <w:shd w:val="clear" w:color="auto" w:fill="auto"/>
            <w:noWrap/>
            <w:vAlign w:val="bottom"/>
          </w:tcPr>
          <w:p w14:paraId="76223C52" w14:textId="1ECBBDF6" w:rsidR="00A12F0F" w:rsidRPr="00990A8E" w:rsidRDefault="00A12F0F" w:rsidP="00D422A0">
            <w:pPr>
              <w:spacing w:after="0" w:line="240" w:lineRule="auto"/>
              <w:jc w:val="center"/>
              <w:rPr>
                <w:color w:val="000000"/>
                <w:sz w:val="22"/>
                <w:szCs w:val="22"/>
                <w:lang w:bidi="ar-SA"/>
              </w:rPr>
            </w:pPr>
            <w:r w:rsidRPr="00990A8E">
              <w:rPr>
                <w:color w:val="000000"/>
                <w:sz w:val="22"/>
                <w:szCs w:val="22"/>
              </w:rPr>
              <w:t>63.7%</w:t>
            </w:r>
          </w:p>
        </w:tc>
        <w:tc>
          <w:tcPr>
            <w:tcW w:w="1530" w:type="dxa"/>
            <w:tcBorders>
              <w:top w:val="nil"/>
              <w:left w:val="nil"/>
              <w:bottom w:val="nil"/>
              <w:right w:val="nil"/>
            </w:tcBorders>
            <w:shd w:val="clear" w:color="auto" w:fill="auto"/>
            <w:noWrap/>
            <w:vAlign w:val="bottom"/>
          </w:tcPr>
          <w:p w14:paraId="1A710762" w14:textId="7712CEF3" w:rsidR="00A12F0F" w:rsidRPr="00990A8E" w:rsidRDefault="00A12F0F" w:rsidP="00D422A0">
            <w:pPr>
              <w:spacing w:after="0" w:line="240" w:lineRule="auto"/>
              <w:jc w:val="center"/>
              <w:rPr>
                <w:color w:val="000000"/>
                <w:sz w:val="22"/>
                <w:szCs w:val="22"/>
                <w:lang w:bidi="ar-SA"/>
              </w:rPr>
            </w:pPr>
            <w:r w:rsidRPr="00990A8E">
              <w:rPr>
                <w:color w:val="000000"/>
                <w:sz w:val="22"/>
                <w:szCs w:val="22"/>
              </w:rPr>
              <w:t>83.7%</w:t>
            </w:r>
          </w:p>
        </w:tc>
        <w:tc>
          <w:tcPr>
            <w:tcW w:w="1988" w:type="dxa"/>
            <w:tcBorders>
              <w:top w:val="nil"/>
              <w:left w:val="nil"/>
              <w:bottom w:val="nil"/>
              <w:right w:val="nil"/>
            </w:tcBorders>
            <w:shd w:val="clear" w:color="auto" w:fill="auto"/>
            <w:noWrap/>
            <w:vAlign w:val="bottom"/>
          </w:tcPr>
          <w:p w14:paraId="7D34FC29" w14:textId="275444D0" w:rsidR="00A12F0F" w:rsidRPr="00990A8E" w:rsidRDefault="00A12F0F" w:rsidP="00D422A0">
            <w:pPr>
              <w:spacing w:after="0" w:line="240" w:lineRule="auto"/>
              <w:jc w:val="center"/>
              <w:rPr>
                <w:color w:val="000000"/>
                <w:sz w:val="22"/>
                <w:szCs w:val="22"/>
                <w:lang w:bidi="ar-SA"/>
              </w:rPr>
            </w:pPr>
            <w:r w:rsidRPr="00990A8E">
              <w:rPr>
                <w:color w:val="000000"/>
                <w:sz w:val="22"/>
                <w:szCs w:val="22"/>
              </w:rPr>
              <w:t>33.3%</w:t>
            </w:r>
          </w:p>
        </w:tc>
        <w:tc>
          <w:tcPr>
            <w:tcW w:w="1571" w:type="dxa"/>
            <w:tcBorders>
              <w:top w:val="nil"/>
              <w:left w:val="nil"/>
              <w:bottom w:val="nil"/>
              <w:right w:val="nil"/>
            </w:tcBorders>
            <w:shd w:val="clear" w:color="auto" w:fill="auto"/>
            <w:noWrap/>
            <w:vAlign w:val="bottom"/>
          </w:tcPr>
          <w:p w14:paraId="74BAAE9F" w14:textId="3C03EE58" w:rsidR="00A12F0F" w:rsidRPr="00990A8E" w:rsidRDefault="00A12F0F" w:rsidP="00D422A0">
            <w:pPr>
              <w:spacing w:after="0" w:line="240" w:lineRule="auto"/>
              <w:jc w:val="center"/>
              <w:rPr>
                <w:color w:val="000000"/>
                <w:sz w:val="22"/>
                <w:szCs w:val="22"/>
                <w:lang w:bidi="ar-SA"/>
              </w:rPr>
            </w:pPr>
            <w:r w:rsidRPr="00990A8E">
              <w:rPr>
                <w:color w:val="000000"/>
                <w:sz w:val="22"/>
                <w:szCs w:val="22"/>
              </w:rPr>
              <w:t>0.417</w:t>
            </w:r>
          </w:p>
        </w:tc>
      </w:tr>
      <w:tr w:rsidR="00A12F0F" w:rsidRPr="001E5771" w14:paraId="28F1E449" w14:textId="16AEED76" w:rsidTr="005D739A">
        <w:trPr>
          <w:trHeight w:val="288"/>
        </w:trPr>
        <w:tc>
          <w:tcPr>
            <w:tcW w:w="2250" w:type="dxa"/>
            <w:tcBorders>
              <w:top w:val="nil"/>
              <w:left w:val="nil"/>
              <w:bottom w:val="nil"/>
              <w:right w:val="nil"/>
            </w:tcBorders>
            <w:vAlign w:val="bottom"/>
          </w:tcPr>
          <w:p w14:paraId="38C227EE"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Indiana</w:t>
            </w:r>
          </w:p>
        </w:tc>
        <w:tc>
          <w:tcPr>
            <w:tcW w:w="1800" w:type="dxa"/>
            <w:tcBorders>
              <w:top w:val="nil"/>
              <w:left w:val="nil"/>
              <w:bottom w:val="nil"/>
              <w:right w:val="nil"/>
            </w:tcBorders>
            <w:shd w:val="clear" w:color="auto" w:fill="auto"/>
            <w:noWrap/>
            <w:vAlign w:val="bottom"/>
          </w:tcPr>
          <w:p w14:paraId="0B82960D" w14:textId="0943544C" w:rsidR="00A12F0F" w:rsidRPr="00990A8E" w:rsidRDefault="00A12F0F" w:rsidP="00D422A0">
            <w:pPr>
              <w:spacing w:after="0" w:line="240" w:lineRule="auto"/>
              <w:jc w:val="center"/>
              <w:rPr>
                <w:color w:val="000000"/>
                <w:sz w:val="22"/>
                <w:szCs w:val="22"/>
                <w:lang w:bidi="ar-SA"/>
              </w:rPr>
            </w:pPr>
            <w:r w:rsidRPr="00990A8E">
              <w:rPr>
                <w:color w:val="000000"/>
                <w:sz w:val="22"/>
                <w:szCs w:val="22"/>
              </w:rPr>
              <w:t>43.0%</w:t>
            </w:r>
          </w:p>
        </w:tc>
        <w:tc>
          <w:tcPr>
            <w:tcW w:w="1530" w:type="dxa"/>
            <w:tcBorders>
              <w:top w:val="nil"/>
              <w:left w:val="nil"/>
              <w:bottom w:val="nil"/>
              <w:right w:val="nil"/>
            </w:tcBorders>
            <w:shd w:val="clear" w:color="auto" w:fill="auto"/>
            <w:noWrap/>
            <w:vAlign w:val="bottom"/>
          </w:tcPr>
          <w:p w14:paraId="2BC33A3B" w14:textId="279A274E" w:rsidR="00A12F0F" w:rsidRPr="00990A8E" w:rsidRDefault="00A12F0F" w:rsidP="00D422A0">
            <w:pPr>
              <w:spacing w:after="0" w:line="240" w:lineRule="auto"/>
              <w:jc w:val="center"/>
              <w:rPr>
                <w:color w:val="000000"/>
                <w:sz w:val="22"/>
                <w:szCs w:val="22"/>
                <w:lang w:bidi="ar-SA"/>
              </w:rPr>
            </w:pPr>
            <w:r w:rsidRPr="00990A8E">
              <w:rPr>
                <w:color w:val="000000"/>
                <w:sz w:val="22"/>
                <w:szCs w:val="22"/>
              </w:rPr>
              <w:t>78.4%</w:t>
            </w:r>
          </w:p>
        </w:tc>
        <w:tc>
          <w:tcPr>
            <w:tcW w:w="1988" w:type="dxa"/>
            <w:tcBorders>
              <w:top w:val="nil"/>
              <w:left w:val="nil"/>
              <w:bottom w:val="nil"/>
              <w:right w:val="nil"/>
            </w:tcBorders>
            <w:shd w:val="clear" w:color="auto" w:fill="auto"/>
            <w:noWrap/>
            <w:vAlign w:val="bottom"/>
          </w:tcPr>
          <w:p w14:paraId="7B9DA42D" w14:textId="66E0997B" w:rsidR="00A12F0F" w:rsidRPr="00990A8E" w:rsidRDefault="00A12F0F" w:rsidP="00D422A0">
            <w:pPr>
              <w:spacing w:after="0" w:line="240" w:lineRule="auto"/>
              <w:jc w:val="center"/>
              <w:rPr>
                <w:color w:val="000000"/>
                <w:sz w:val="22"/>
                <w:szCs w:val="22"/>
                <w:lang w:bidi="ar-SA"/>
              </w:rPr>
            </w:pPr>
            <w:r w:rsidRPr="00990A8E">
              <w:rPr>
                <w:color w:val="000000"/>
                <w:sz w:val="22"/>
                <w:szCs w:val="22"/>
              </w:rPr>
              <w:t>40.7%</w:t>
            </w:r>
          </w:p>
        </w:tc>
        <w:tc>
          <w:tcPr>
            <w:tcW w:w="1571" w:type="dxa"/>
            <w:tcBorders>
              <w:top w:val="nil"/>
              <w:left w:val="nil"/>
              <w:bottom w:val="nil"/>
              <w:right w:val="nil"/>
            </w:tcBorders>
            <w:shd w:val="clear" w:color="auto" w:fill="auto"/>
            <w:noWrap/>
            <w:vAlign w:val="bottom"/>
          </w:tcPr>
          <w:p w14:paraId="69B03BC5" w14:textId="7DDB7B75" w:rsidR="00A12F0F" w:rsidRPr="00990A8E" w:rsidRDefault="00A12F0F" w:rsidP="00D422A0">
            <w:pPr>
              <w:spacing w:after="0" w:line="240" w:lineRule="auto"/>
              <w:jc w:val="center"/>
              <w:rPr>
                <w:color w:val="000000"/>
                <w:sz w:val="22"/>
                <w:szCs w:val="22"/>
                <w:lang w:bidi="ar-SA"/>
              </w:rPr>
            </w:pPr>
            <w:r w:rsidRPr="00990A8E">
              <w:rPr>
                <w:color w:val="000000"/>
                <w:sz w:val="22"/>
                <w:szCs w:val="22"/>
              </w:rPr>
              <w:t>0.250</w:t>
            </w:r>
          </w:p>
        </w:tc>
      </w:tr>
      <w:tr w:rsidR="00A12F0F" w:rsidRPr="001E5771" w14:paraId="22D7DD81" w14:textId="3E3779B2" w:rsidTr="005D739A">
        <w:trPr>
          <w:trHeight w:val="288"/>
        </w:trPr>
        <w:tc>
          <w:tcPr>
            <w:tcW w:w="2250" w:type="dxa"/>
            <w:tcBorders>
              <w:top w:val="nil"/>
              <w:left w:val="nil"/>
              <w:bottom w:val="nil"/>
              <w:right w:val="nil"/>
            </w:tcBorders>
            <w:vAlign w:val="bottom"/>
          </w:tcPr>
          <w:p w14:paraId="62CF97B0"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Iowa</w:t>
            </w:r>
          </w:p>
        </w:tc>
        <w:tc>
          <w:tcPr>
            <w:tcW w:w="1800" w:type="dxa"/>
            <w:tcBorders>
              <w:top w:val="nil"/>
              <w:left w:val="nil"/>
              <w:bottom w:val="nil"/>
              <w:right w:val="nil"/>
            </w:tcBorders>
            <w:shd w:val="clear" w:color="auto" w:fill="auto"/>
            <w:noWrap/>
            <w:vAlign w:val="bottom"/>
          </w:tcPr>
          <w:p w14:paraId="50FB2C9A" w14:textId="7705977C" w:rsidR="00A12F0F" w:rsidRPr="00990A8E" w:rsidRDefault="00A12F0F" w:rsidP="00D422A0">
            <w:pPr>
              <w:spacing w:after="0" w:line="240" w:lineRule="auto"/>
              <w:jc w:val="center"/>
              <w:rPr>
                <w:color w:val="000000"/>
                <w:sz w:val="22"/>
                <w:szCs w:val="22"/>
                <w:lang w:bidi="ar-SA"/>
              </w:rPr>
            </w:pPr>
            <w:r w:rsidRPr="00990A8E">
              <w:rPr>
                <w:color w:val="000000"/>
                <w:sz w:val="22"/>
                <w:szCs w:val="22"/>
              </w:rPr>
              <w:t>49.4%</w:t>
            </w:r>
          </w:p>
        </w:tc>
        <w:tc>
          <w:tcPr>
            <w:tcW w:w="1530" w:type="dxa"/>
            <w:tcBorders>
              <w:top w:val="nil"/>
              <w:left w:val="nil"/>
              <w:bottom w:val="nil"/>
              <w:right w:val="nil"/>
            </w:tcBorders>
            <w:shd w:val="clear" w:color="auto" w:fill="auto"/>
            <w:noWrap/>
            <w:vAlign w:val="bottom"/>
          </w:tcPr>
          <w:p w14:paraId="4EEAFED7" w14:textId="5FE2ABE2" w:rsidR="00A12F0F" w:rsidRPr="00990A8E" w:rsidRDefault="00A12F0F" w:rsidP="00D422A0">
            <w:pPr>
              <w:spacing w:after="0" w:line="240" w:lineRule="auto"/>
              <w:jc w:val="center"/>
              <w:rPr>
                <w:color w:val="000000"/>
                <w:sz w:val="22"/>
                <w:szCs w:val="22"/>
                <w:lang w:bidi="ar-SA"/>
              </w:rPr>
            </w:pPr>
            <w:r w:rsidRPr="00990A8E">
              <w:rPr>
                <w:color w:val="000000"/>
                <w:sz w:val="22"/>
                <w:szCs w:val="22"/>
              </w:rPr>
              <w:t>80.8%</w:t>
            </w:r>
          </w:p>
        </w:tc>
        <w:tc>
          <w:tcPr>
            <w:tcW w:w="1988" w:type="dxa"/>
            <w:tcBorders>
              <w:top w:val="nil"/>
              <w:left w:val="nil"/>
              <w:bottom w:val="nil"/>
              <w:right w:val="nil"/>
            </w:tcBorders>
            <w:shd w:val="clear" w:color="auto" w:fill="auto"/>
            <w:noWrap/>
            <w:vAlign w:val="bottom"/>
          </w:tcPr>
          <w:p w14:paraId="283F515A" w14:textId="516CED2F" w:rsidR="00A12F0F" w:rsidRPr="00990A8E" w:rsidRDefault="00A12F0F" w:rsidP="00D422A0">
            <w:pPr>
              <w:spacing w:after="0" w:line="240" w:lineRule="auto"/>
              <w:jc w:val="center"/>
              <w:rPr>
                <w:color w:val="000000"/>
                <w:sz w:val="22"/>
                <w:szCs w:val="22"/>
                <w:lang w:bidi="ar-SA"/>
              </w:rPr>
            </w:pPr>
            <w:r w:rsidRPr="00990A8E">
              <w:rPr>
                <w:color w:val="000000"/>
                <w:sz w:val="22"/>
                <w:szCs w:val="22"/>
              </w:rPr>
              <w:t>36.1%</w:t>
            </w:r>
          </w:p>
        </w:tc>
        <w:tc>
          <w:tcPr>
            <w:tcW w:w="1571" w:type="dxa"/>
            <w:tcBorders>
              <w:top w:val="nil"/>
              <w:left w:val="nil"/>
              <w:bottom w:val="nil"/>
              <w:right w:val="nil"/>
            </w:tcBorders>
            <w:shd w:val="clear" w:color="auto" w:fill="auto"/>
            <w:noWrap/>
            <w:vAlign w:val="bottom"/>
          </w:tcPr>
          <w:p w14:paraId="2020BBF8" w14:textId="681C415F" w:rsidR="00A12F0F" w:rsidRPr="00990A8E" w:rsidRDefault="00A12F0F" w:rsidP="00D422A0">
            <w:pPr>
              <w:spacing w:after="0" w:line="240" w:lineRule="auto"/>
              <w:jc w:val="center"/>
              <w:rPr>
                <w:color w:val="000000"/>
                <w:sz w:val="22"/>
                <w:szCs w:val="22"/>
                <w:lang w:bidi="ar-SA"/>
              </w:rPr>
            </w:pPr>
            <w:r w:rsidRPr="00990A8E">
              <w:rPr>
                <w:color w:val="000000"/>
                <w:sz w:val="22"/>
                <w:szCs w:val="22"/>
              </w:rPr>
              <w:t>0.284</w:t>
            </w:r>
          </w:p>
        </w:tc>
      </w:tr>
      <w:tr w:rsidR="00A12F0F" w:rsidRPr="001E5771" w14:paraId="314B2548" w14:textId="686E7620" w:rsidTr="005D739A">
        <w:trPr>
          <w:trHeight w:val="288"/>
        </w:trPr>
        <w:tc>
          <w:tcPr>
            <w:tcW w:w="2250" w:type="dxa"/>
            <w:tcBorders>
              <w:top w:val="nil"/>
              <w:left w:val="nil"/>
              <w:bottom w:val="nil"/>
              <w:right w:val="nil"/>
            </w:tcBorders>
            <w:vAlign w:val="bottom"/>
          </w:tcPr>
          <w:p w14:paraId="4E59717C"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Kansas</w:t>
            </w:r>
          </w:p>
        </w:tc>
        <w:tc>
          <w:tcPr>
            <w:tcW w:w="1800" w:type="dxa"/>
            <w:tcBorders>
              <w:top w:val="nil"/>
              <w:left w:val="nil"/>
              <w:bottom w:val="nil"/>
              <w:right w:val="nil"/>
            </w:tcBorders>
            <w:shd w:val="clear" w:color="auto" w:fill="auto"/>
            <w:noWrap/>
            <w:vAlign w:val="bottom"/>
          </w:tcPr>
          <w:p w14:paraId="586370CC" w14:textId="2C9172E0" w:rsidR="00A12F0F" w:rsidRPr="00990A8E" w:rsidRDefault="00A12F0F" w:rsidP="00D422A0">
            <w:pPr>
              <w:spacing w:after="0" w:line="240" w:lineRule="auto"/>
              <w:jc w:val="center"/>
              <w:rPr>
                <w:color w:val="000000"/>
                <w:sz w:val="22"/>
                <w:szCs w:val="22"/>
                <w:lang w:bidi="ar-SA"/>
              </w:rPr>
            </w:pPr>
            <w:r w:rsidRPr="00990A8E">
              <w:rPr>
                <w:color w:val="000000"/>
                <w:sz w:val="22"/>
                <w:szCs w:val="22"/>
              </w:rPr>
              <w:t>47.3%</w:t>
            </w:r>
          </w:p>
        </w:tc>
        <w:tc>
          <w:tcPr>
            <w:tcW w:w="1530" w:type="dxa"/>
            <w:tcBorders>
              <w:top w:val="nil"/>
              <w:left w:val="nil"/>
              <w:bottom w:val="nil"/>
              <w:right w:val="nil"/>
            </w:tcBorders>
            <w:shd w:val="clear" w:color="auto" w:fill="auto"/>
            <w:noWrap/>
            <w:vAlign w:val="bottom"/>
          </w:tcPr>
          <w:p w14:paraId="79EB1846" w14:textId="15E8E10F" w:rsidR="00A12F0F" w:rsidRPr="00990A8E" w:rsidRDefault="00A12F0F" w:rsidP="00D422A0">
            <w:pPr>
              <w:spacing w:after="0" w:line="240" w:lineRule="auto"/>
              <w:jc w:val="center"/>
              <w:rPr>
                <w:color w:val="000000"/>
                <w:sz w:val="22"/>
                <w:szCs w:val="22"/>
                <w:lang w:bidi="ar-SA"/>
              </w:rPr>
            </w:pPr>
            <w:r w:rsidRPr="00990A8E">
              <w:rPr>
                <w:color w:val="000000"/>
                <w:sz w:val="22"/>
                <w:szCs w:val="22"/>
              </w:rPr>
              <w:t>75.3%</w:t>
            </w:r>
          </w:p>
        </w:tc>
        <w:tc>
          <w:tcPr>
            <w:tcW w:w="1988" w:type="dxa"/>
            <w:tcBorders>
              <w:top w:val="nil"/>
              <w:left w:val="nil"/>
              <w:bottom w:val="nil"/>
              <w:right w:val="nil"/>
            </w:tcBorders>
            <w:shd w:val="clear" w:color="auto" w:fill="auto"/>
            <w:noWrap/>
            <w:vAlign w:val="bottom"/>
          </w:tcPr>
          <w:p w14:paraId="4B0F3149" w14:textId="5AD3F452" w:rsidR="00A12F0F" w:rsidRPr="00990A8E" w:rsidRDefault="00A12F0F" w:rsidP="00D422A0">
            <w:pPr>
              <w:spacing w:after="0" w:line="240" w:lineRule="auto"/>
              <w:jc w:val="center"/>
              <w:rPr>
                <w:color w:val="000000"/>
                <w:sz w:val="22"/>
                <w:szCs w:val="22"/>
                <w:lang w:bidi="ar-SA"/>
              </w:rPr>
            </w:pPr>
            <w:r w:rsidRPr="00990A8E">
              <w:rPr>
                <w:color w:val="000000"/>
                <w:sz w:val="22"/>
                <w:szCs w:val="22"/>
              </w:rPr>
              <w:t>31.9%</w:t>
            </w:r>
          </w:p>
        </w:tc>
        <w:tc>
          <w:tcPr>
            <w:tcW w:w="1571" w:type="dxa"/>
            <w:tcBorders>
              <w:top w:val="nil"/>
              <w:left w:val="nil"/>
              <w:bottom w:val="nil"/>
              <w:right w:val="nil"/>
            </w:tcBorders>
            <w:shd w:val="clear" w:color="auto" w:fill="auto"/>
            <w:noWrap/>
            <w:vAlign w:val="bottom"/>
          </w:tcPr>
          <w:p w14:paraId="20E2A11A" w14:textId="1F04BBBF" w:rsidR="00A12F0F" w:rsidRPr="00990A8E" w:rsidRDefault="00A12F0F" w:rsidP="00D422A0">
            <w:pPr>
              <w:spacing w:after="0" w:line="240" w:lineRule="auto"/>
              <w:jc w:val="center"/>
              <w:rPr>
                <w:color w:val="000000"/>
                <w:sz w:val="22"/>
                <w:szCs w:val="22"/>
                <w:lang w:bidi="ar-SA"/>
              </w:rPr>
            </w:pPr>
            <w:r w:rsidRPr="00990A8E">
              <w:rPr>
                <w:color w:val="000000"/>
                <w:sz w:val="22"/>
                <w:szCs w:val="22"/>
              </w:rPr>
              <w:t>0.256</w:t>
            </w:r>
          </w:p>
        </w:tc>
      </w:tr>
      <w:tr w:rsidR="00A12F0F" w:rsidRPr="001E5771" w14:paraId="0131CBF6" w14:textId="253A39C4" w:rsidTr="005D739A">
        <w:trPr>
          <w:trHeight w:val="288"/>
        </w:trPr>
        <w:tc>
          <w:tcPr>
            <w:tcW w:w="2250" w:type="dxa"/>
            <w:tcBorders>
              <w:top w:val="nil"/>
              <w:left w:val="nil"/>
              <w:bottom w:val="nil"/>
              <w:right w:val="nil"/>
            </w:tcBorders>
            <w:vAlign w:val="bottom"/>
          </w:tcPr>
          <w:p w14:paraId="2AE215E5"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Kentucky</w:t>
            </w:r>
          </w:p>
        </w:tc>
        <w:tc>
          <w:tcPr>
            <w:tcW w:w="1800" w:type="dxa"/>
            <w:tcBorders>
              <w:top w:val="nil"/>
              <w:left w:val="nil"/>
              <w:bottom w:val="nil"/>
              <w:right w:val="nil"/>
            </w:tcBorders>
            <w:shd w:val="clear" w:color="auto" w:fill="auto"/>
            <w:noWrap/>
            <w:vAlign w:val="bottom"/>
          </w:tcPr>
          <w:p w14:paraId="3E6ECAC2" w14:textId="62F0B48B" w:rsidR="00A12F0F" w:rsidRPr="00990A8E" w:rsidRDefault="00A12F0F" w:rsidP="00D422A0">
            <w:pPr>
              <w:spacing w:after="0" w:line="240" w:lineRule="auto"/>
              <w:jc w:val="center"/>
              <w:rPr>
                <w:color w:val="000000"/>
                <w:sz w:val="22"/>
                <w:szCs w:val="22"/>
                <w:lang w:bidi="ar-SA"/>
              </w:rPr>
            </w:pPr>
            <w:r w:rsidRPr="00990A8E">
              <w:rPr>
                <w:color w:val="000000"/>
                <w:sz w:val="22"/>
                <w:szCs w:val="22"/>
              </w:rPr>
              <w:t>33.0%</w:t>
            </w:r>
          </w:p>
        </w:tc>
        <w:tc>
          <w:tcPr>
            <w:tcW w:w="1530" w:type="dxa"/>
            <w:tcBorders>
              <w:top w:val="nil"/>
              <w:left w:val="nil"/>
              <w:bottom w:val="nil"/>
              <w:right w:val="nil"/>
            </w:tcBorders>
            <w:shd w:val="clear" w:color="auto" w:fill="auto"/>
            <w:noWrap/>
            <w:vAlign w:val="bottom"/>
          </w:tcPr>
          <w:p w14:paraId="3B6542C7" w14:textId="220EBBC4" w:rsidR="00A12F0F" w:rsidRPr="00990A8E" w:rsidRDefault="00A12F0F" w:rsidP="00D422A0">
            <w:pPr>
              <w:spacing w:after="0" w:line="240" w:lineRule="auto"/>
              <w:jc w:val="center"/>
              <w:rPr>
                <w:color w:val="000000"/>
                <w:sz w:val="22"/>
                <w:szCs w:val="22"/>
                <w:lang w:bidi="ar-SA"/>
              </w:rPr>
            </w:pPr>
            <w:r w:rsidRPr="00990A8E">
              <w:rPr>
                <w:color w:val="000000"/>
                <w:sz w:val="22"/>
                <w:szCs w:val="22"/>
              </w:rPr>
              <w:t>55.1%</w:t>
            </w:r>
          </w:p>
        </w:tc>
        <w:tc>
          <w:tcPr>
            <w:tcW w:w="1988" w:type="dxa"/>
            <w:tcBorders>
              <w:top w:val="nil"/>
              <w:left w:val="nil"/>
              <w:bottom w:val="nil"/>
              <w:right w:val="nil"/>
            </w:tcBorders>
            <w:shd w:val="clear" w:color="auto" w:fill="auto"/>
            <w:noWrap/>
            <w:vAlign w:val="bottom"/>
          </w:tcPr>
          <w:p w14:paraId="36BF9F04" w14:textId="1050DC3D" w:rsidR="00A12F0F" w:rsidRPr="00990A8E" w:rsidRDefault="00A12F0F" w:rsidP="00D422A0">
            <w:pPr>
              <w:spacing w:after="0" w:line="240" w:lineRule="auto"/>
              <w:jc w:val="center"/>
              <w:rPr>
                <w:color w:val="000000"/>
                <w:sz w:val="22"/>
                <w:szCs w:val="22"/>
                <w:lang w:bidi="ar-SA"/>
              </w:rPr>
            </w:pPr>
            <w:r w:rsidRPr="00990A8E">
              <w:rPr>
                <w:color w:val="000000"/>
                <w:sz w:val="22"/>
                <w:szCs w:val="22"/>
              </w:rPr>
              <w:t>40.9%</w:t>
            </w:r>
          </w:p>
        </w:tc>
        <w:tc>
          <w:tcPr>
            <w:tcW w:w="1571" w:type="dxa"/>
            <w:tcBorders>
              <w:top w:val="nil"/>
              <w:left w:val="nil"/>
              <w:bottom w:val="nil"/>
              <w:right w:val="nil"/>
            </w:tcBorders>
            <w:shd w:val="clear" w:color="auto" w:fill="auto"/>
            <w:noWrap/>
            <w:vAlign w:val="bottom"/>
          </w:tcPr>
          <w:p w14:paraId="7044244F" w14:textId="13A346E3" w:rsidR="00A12F0F" w:rsidRPr="00990A8E" w:rsidRDefault="00A12F0F" w:rsidP="00D422A0">
            <w:pPr>
              <w:spacing w:after="0" w:line="240" w:lineRule="auto"/>
              <w:jc w:val="center"/>
              <w:rPr>
                <w:color w:val="000000"/>
                <w:sz w:val="22"/>
                <w:szCs w:val="22"/>
                <w:lang w:bidi="ar-SA"/>
              </w:rPr>
            </w:pPr>
            <w:r w:rsidRPr="00990A8E">
              <w:rPr>
                <w:color w:val="000000"/>
                <w:sz w:val="22"/>
                <w:szCs w:val="22"/>
              </w:rPr>
              <w:t>0.162</w:t>
            </w:r>
          </w:p>
        </w:tc>
      </w:tr>
      <w:tr w:rsidR="00A12F0F" w:rsidRPr="001E5771" w14:paraId="6112D817" w14:textId="79178B27" w:rsidTr="005D739A">
        <w:trPr>
          <w:trHeight w:val="288"/>
        </w:trPr>
        <w:tc>
          <w:tcPr>
            <w:tcW w:w="2250" w:type="dxa"/>
            <w:tcBorders>
              <w:top w:val="nil"/>
              <w:left w:val="nil"/>
              <w:bottom w:val="nil"/>
              <w:right w:val="nil"/>
            </w:tcBorders>
            <w:vAlign w:val="bottom"/>
          </w:tcPr>
          <w:p w14:paraId="6E6A4726"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Louisiana</w:t>
            </w:r>
          </w:p>
        </w:tc>
        <w:tc>
          <w:tcPr>
            <w:tcW w:w="1800" w:type="dxa"/>
            <w:tcBorders>
              <w:top w:val="nil"/>
              <w:left w:val="nil"/>
              <w:bottom w:val="nil"/>
              <w:right w:val="nil"/>
            </w:tcBorders>
            <w:shd w:val="clear" w:color="auto" w:fill="auto"/>
            <w:noWrap/>
            <w:vAlign w:val="bottom"/>
          </w:tcPr>
          <w:p w14:paraId="7E387224" w14:textId="474B290A" w:rsidR="00A12F0F" w:rsidRPr="00990A8E" w:rsidRDefault="00A12F0F" w:rsidP="00D422A0">
            <w:pPr>
              <w:spacing w:after="0" w:line="240" w:lineRule="auto"/>
              <w:jc w:val="center"/>
              <w:rPr>
                <w:color w:val="000000"/>
                <w:sz w:val="22"/>
                <w:szCs w:val="22"/>
                <w:lang w:bidi="ar-SA"/>
              </w:rPr>
            </w:pPr>
            <w:r w:rsidRPr="00990A8E">
              <w:rPr>
                <w:color w:val="000000"/>
                <w:sz w:val="22"/>
                <w:szCs w:val="22"/>
              </w:rPr>
              <w:t>28.6%</w:t>
            </w:r>
          </w:p>
        </w:tc>
        <w:tc>
          <w:tcPr>
            <w:tcW w:w="1530" w:type="dxa"/>
            <w:tcBorders>
              <w:top w:val="nil"/>
              <w:left w:val="nil"/>
              <w:bottom w:val="nil"/>
              <w:right w:val="nil"/>
            </w:tcBorders>
            <w:shd w:val="clear" w:color="auto" w:fill="auto"/>
            <w:noWrap/>
            <w:vAlign w:val="bottom"/>
          </w:tcPr>
          <w:p w14:paraId="567FC5B0" w14:textId="2A461456" w:rsidR="00A12F0F" w:rsidRPr="00990A8E" w:rsidRDefault="00A12F0F" w:rsidP="00D422A0">
            <w:pPr>
              <w:spacing w:after="0" w:line="240" w:lineRule="auto"/>
              <w:jc w:val="center"/>
              <w:rPr>
                <w:color w:val="000000"/>
                <w:sz w:val="22"/>
                <w:szCs w:val="22"/>
                <w:lang w:bidi="ar-SA"/>
              </w:rPr>
            </w:pPr>
            <w:r w:rsidRPr="00990A8E">
              <w:rPr>
                <w:color w:val="000000"/>
                <w:sz w:val="22"/>
                <w:szCs w:val="22"/>
              </w:rPr>
              <w:t>44.8%</w:t>
            </w:r>
          </w:p>
        </w:tc>
        <w:tc>
          <w:tcPr>
            <w:tcW w:w="1988" w:type="dxa"/>
            <w:tcBorders>
              <w:top w:val="nil"/>
              <w:left w:val="nil"/>
              <w:bottom w:val="nil"/>
              <w:right w:val="nil"/>
            </w:tcBorders>
            <w:shd w:val="clear" w:color="auto" w:fill="auto"/>
            <w:noWrap/>
            <w:vAlign w:val="bottom"/>
          </w:tcPr>
          <w:p w14:paraId="7ECFDF74" w14:textId="091DB999" w:rsidR="00A12F0F" w:rsidRPr="00990A8E" w:rsidRDefault="00A12F0F" w:rsidP="00D422A0">
            <w:pPr>
              <w:spacing w:after="0" w:line="240" w:lineRule="auto"/>
              <w:jc w:val="center"/>
              <w:rPr>
                <w:color w:val="000000"/>
                <w:sz w:val="22"/>
                <w:szCs w:val="22"/>
                <w:lang w:bidi="ar-SA"/>
              </w:rPr>
            </w:pPr>
            <w:r w:rsidRPr="00990A8E">
              <w:rPr>
                <w:color w:val="000000"/>
                <w:sz w:val="22"/>
                <w:szCs w:val="22"/>
              </w:rPr>
              <w:t>38.8%</w:t>
            </w:r>
          </w:p>
        </w:tc>
        <w:tc>
          <w:tcPr>
            <w:tcW w:w="1571" w:type="dxa"/>
            <w:tcBorders>
              <w:top w:val="nil"/>
              <w:left w:val="nil"/>
              <w:bottom w:val="nil"/>
              <w:right w:val="nil"/>
            </w:tcBorders>
            <w:shd w:val="clear" w:color="auto" w:fill="auto"/>
            <w:noWrap/>
            <w:vAlign w:val="bottom"/>
          </w:tcPr>
          <w:p w14:paraId="07BC6246" w14:textId="79E3244A" w:rsidR="00A12F0F" w:rsidRPr="00990A8E" w:rsidRDefault="00A12F0F" w:rsidP="00D422A0">
            <w:pPr>
              <w:spacing w:after="0" w:line="240" w:lineRule="auto"/>
              <w:jc w:val="center"/>
              <w:rPr>
                <w:color w:val="000000"/>
                <w:sz w:val="22"/>
                <w:szCs w:val="22"/>
                <w:lang w:bidi="ar-SA"/>
              </w:rPr>
            </w:pPr>
            <w:r w:rsidRPr="00990A8E">
              <w:rPr>
                <w:color w:val="000000"/>
                <w:sz w:val="22"/>
                <w:szCs w:val="22"/>
              </w:rPr>
              <w:t>0.206</w:t>
            </w:r>
          </w:p>
        </w:tc>
      </w:tr>
      <w:tr w:rsidR="00A12F0F" w:rsidRPr="001E5771" w14:paraId="54517416" w14:textId="64220BA8" w:rsidTr="005D739A">
        <w:trPr>
          <w:trHeight w:val="288"/>
        </w:trPr>
        <w:tc>
          <w:tcPr>
            <w:tcW w:w="2250" w:type="dxa"/>
            <w:tcBorders>
              <w:top w:val="nil"/>
              <w:left w:val="nil"/>
              <w:bottom w:val="nil"/>
              <w:right w:val="nil"/>
            </w:tcBorders>
            <w:vAlign w:val="bottom"/>
          </w:tcPr>
          <w:p w14:paraId="2AF8E131"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Maine</w:t>
            </w:r>
          </w:p>
        </w:tc>
        <w:tc>
          <w:tcPr>
            <w:tcW w:w="1800" w:type="dxa"/>
            <w:tcBorders>
              <w:top w:val="nil"/>
              <w:left w:val="nil"/>
              <w:bottom w:val="nil"/>
              <w:right w:val="nil"/>
            </w:tcBorders>
            <w:shd w:val="clear" w:color="auto" w:fill="auto"/>
            <w:noWrap/>
            <w:vAlign w:val="bottom"/>
          </w:tcPr>
          <w:p w14:paraId="28E3F1CA" w14:textId="297237BB" w:rsidR="00A12F0F" w:rsidRPr="00990A8E" w:rsidRDefault="00A12F0F" w:rsidP="00D422A0">
            <w:pPr>
              <w:spacing w:after="0" w:line="240" w:lineRule="auto"/>
              <w:jc w:val="center"/>
              <w:rPr>
                <w:color w:val="000000"/>
                <w:sz w:val="22"/>
                <w:szCs w:val="22"/>
                <w:lang w:bidi="ar-SA"/>
              </w:rPr>
            </w:pPr>
            <w:r w:rsidRPr="00990A8E">
              <w:rPr>
                <w:color w:val="000000"/>
                <w:sz w:val="22"/>
                <w:szCs w:val="22"/>
              </w:rPr>
              <w:t>81.0%</w:t>
            </w:r>
          </w:p>
        </w:tc>
        <w:tc>
          <w:tcPr>
            <w:tcW w:w="1530" w:type="dxa"/>
            <w:tcBorders>
              <w:top w:val="nil"/>
              <w:left w:val="nil"/>
              <w:bottom w:val="nil"/>
              <w:right w:val="nil"/>
            </w:tcBorders>
            <w:shd w:val="clear" w:color="auto" w:fill="auto"/>
            <w:noWrap/>
            <w:vAlign w:val="bottom"/>
          </w:tcPr>
          <w:p w14:paraId="4BBF95D1" w14:textId="5D8701AE" w:rsidR="00A12F0F" w:rsidRPr="00990A8E" w:rsidRDefault="00A12F0F" w:rsidP="00D422A0">
            <w:pPr>
              <w:spacing w:after="0" w:line="240" w:lineRule="auto"/>
              <w:jc w:val="center"/>
              <w:rPr>
                <w:color w:val="000000"/>
                <w:sz w:val="22"/>
                <w:szCs w:val="22"/>
                <w:lang w:bidi="ar-SA"/>
              </w:rPr>
            </w:pPr>
            <w:r w:rsidRPr="00990A8E">
              <w:rPr>
                <w:color w:val="000000"/>
                <w:sz w:val="22"/>
                <w:szCs w:val="22"/>
              </w:rPr>
              <w:t>99.1%</w:t>
            </w:r>
          </w:p>
        </w:tc>
        <w:tc>
          <w:tcPr>
            <w:tcW w:w="1988" w:type="dxa"/>
            <w:tcBorders>
              <w:top w:val="nil"/>
              <w:left w:val="nil"/>
              <w:bottom w:val="nil"/>
              <w:right w:val="nil"/>
            </w:tcBorders>
            <w:shd w:val="clear" w:color="auto" w:fill="auto"/>
            <w:noWrap/>
            <w:vAlign w:val="bottom"/>
          </w:tcPr>
          <w:p w14:paraId="0FE35F0D" w14:textId="5465E737" w:rsidR="00A12F0F" w:rsidRPr="00990A8E" w:rsidRDefault="00A12F0F" w:rsidP="00D422A0">
            <w:pPr>
              <w:spacing w:after="0" w:line="240" w:lineRule="auto"/>
              <w:jc w:val="center"/>
              <w:rPr>
                <w:color w:val="000000"/>
                <w:sz w:val="22"/>
                <w:szCs w:val="22"/>
                <w:lang w:bidi="ar-SA"/>
              </w:rPr>
            </w:pPr>
            <w:r w:rsidRPr="00990A8E">
              <w:rPr>
                <w:color w:val="000000"/>
                <w:sz w:val="22"/>
                <w:szCs w:val="22"/>
              </w:rPr>
              <w:t>31.9%</w:t>
            </w:r>
          </w:p>
        </w:tc>
        <w:tc>
          <w:tcPr>
            <w:tcW w:w="1571" w:type="dxa"/>
            <w:tcBorders>
              <w:top w:val="nil"/>
              <w:left w:val="nil"/>
              <w:bottom w:val="nil"/>
              <w:right w:val="nil"/>
            </w:tcBorders>
            <w:shd w:val="clear" w:color="auto" w:fill="auto"/>
            <w:noWrap/>
            <w:vAlign w:val="bottom"/>
          </w:tcPr>
          <w:p w14:paraId="20C22D52" w14:textId="19F42312" w:rsidR="00A12F0F" w:rsidRPr="00990A8E" w:rsidRDefault="00A12F0F" w:rsidP="00D422A0">
            <w:pPr>
              <w:spacing w:after="0" w:line="240" w:lineRule="auto"/>
              <w:jc w:val="center"/>
              <w:rPr>
                <w:color w:val="000000"/>
                <w:sz w:val="22"/>
                <w:szCs w:val="22"/>
                <w:lang w:bidi="ar-SA"/>
              </w:rPr>
            </w:pPr>
            <w:r w:rsidRPr="00990A8E">
              <w:rPr>
                <w:color w:val="000000"/>
                <w:sz w:val="22"/>
                <w:szCs w:val="22"/>
              </w:rPr>
              <w:t>0.661</w:t>
            </w:r>
          </w:p>
        </w:tc>
      </w:tr>
      <w:tr w:rsidR="00A12F0F" w:rsidRPr="001E5771" w14:paraId="5975523B" w14:textId="17033C6A" w:rsidTr="005D739A">
        <w:trPr>
          <w:trHeight w:val="288"/>
        </w:trPr>
        <w:tc>
          <w:tcPr>
            <w:tcW w:w="2250" w:type="dxa"/>
            <w:tcBorders>
              <w:top w:val="nil"/>
              <w:left w:val="nil"/>
              <w:bottom w:val="nil"/>
              <w:right w:val="nil"/>
            </w:tcBorders>
            <w:vAlign w:val="bottom"/>
          </w:tcPr>
          <w:p w14:paraId="53DF4CE7"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Maryland</w:t>
            </w:r>
          </w:p>
        </w:tc>
        <w:tc>
          <w:tcPr>
            <w:tcW w:w="1800" w:type="dxa"/>
            <w:tcBorders>
              <w:top w:val="nil"/>
              <w:left w:val="nil"/>
              <w:bottom w:val="nil"/>
              <w:right w:val="nil"/>
            </w:tcBorders>
            <w:shd w:val="clear" w:color="auto" w:fill="auto"/>
            <w:noWrap/>
            <w:vAlign w:val="bottom"/>
          </w:tcPr>
          <w:p w14:paraId="38961CC0" w14:textId="1DD0C545" w:rsidR="00A12F0F" w:rsidRPr="00990A8E" w:rsidRDefault="00A12F0F" w:rsidP="00D422A0">
            <w:pPr>
              <w:spacing w:after="0" w:line="240" w:lineRule="auto"/>
              <w:jc w:val="center"/>
              <w:rPr>
                <w:color w:val="000000"/>
                <w:sz w:val="22"/>
                <w:szCs w:val="22"/>
                <w:lang w:bidi="ar-SA"/>
              </w:rPr>
            </w:pPr>
            <w:r w:rsidRPr="00990A8E">
              <w:rPr>
                <w:color w:val="000000"/>
                <w:sz w:val="22"/>
                <w:szCs w:val="22"/>
              </w:rPr>
              <w:t>43.2%</w:t>
            </w:r>
          </w:p>
        </w:tc>
        <w:tc>
          <w:tcPr>
            <w:tcW w:w="1530" w:type="dxa"/>
            <w:tcBorders>
              <w:top w:val="nil"/>
              <w:left w:val="nil"/>
              <w:bottom w:val="nil"/>
              <w:right w:val="nil"/>
            </w:tcBorders>
            <w:shd w:val="clear" w:color="auto" w:fill="auto"/>
            <w:noWrap/>
            <w:vAlign w:val="bottom"/>
          </w:tcPr>
          <w:p w14:paraId="71D9BBA0" w14:textId="1F585345" w:rsidR="00A12F0F" w:rsidRPr="00990A8E" w:rsidRDefault="00A12F0F" w:rsidP="00D422A0">
            <w:pPr>
              <w:spacing w:after="0" w:line="240" w:lineRule="auto"/>
              <w:jc w:val="center"/>
              <w:rPr>
                <w:color w:val="000000"/>
                <w:sz w:val="22"/>
                <w:szCs w:val="22"/>
                <w:lang w:bidi="ar-SA"/>
              </w:rPr>
            </w:pPr>
            <w:r w:rsidRPr="00990A8E">
              <w:rPr>
                <w:color w:val="000000"/>
                <w:sz w:val="22"/>
                <w:szCs w:val="22"/>
              </w:rPr>
              <w:t>55.7%</w:t>
            </w:r>
          </w:p>
        </w:tc>
        <w:tc>
          <w:tcPr>
            <w:tcW w:w="1988" w:type="dxa"/>
            <w:tcBorders>
              <w:top w:val="nil"/>
              <w:left w:val="nil"/>
              <w:bottom w:val="nil"/>
              <w:right w:val="nil"/>
            </w:tcBorders>
            <w:shd w:val="clear" w:color="auto" w:fill="auto"/>
            <w:noWrap/>
            <w:vAlign w:val="bottom"/>
          </w:tcPr>
          <w:p w14:paraId="48FFED13" w14:textId="64641181" w:rsidR="00A12F0F" w:rsidRPr="00990A8E" w:rsidRDefault="00A12F0F" w:rsidP="00D422A0">
            <w:pPr>
              <w:spacing w:after="0" w:line="240" w:lineRule="auto"/>
              <w:jc w:val="center"/>
              <w:rPr>
                <w:color w:val="000000"/>
                <w:sz w:val="22"/>
                <w:szCs w:val="22"/>
                <w:lang w:bidi="ar-SA"/>
              </w:rPr>
            </w:pPr>
            <w:r w:rsidRPr="00990A8E">
              <w:rPr>
                <w:color w:val="000000"/>
                <w:sz w:val="22"/>
                <w:szCs w:val="22"/>
              </w:rPr>
              <w:t>32.5%</w:t>
            </w:r>
          </w:p>
        </w:tc>
        <w:tc>
          <w:tcPr>
            <w:tcW w:w="1571" w:type="dxa"/>
            <w:tcBorders>
              <w:top w:val="nil"/>
              <w:left w:val="nil"/>
              <w:bottom w:val="nil"/>
              <w:right w:val="nil"/>
            </w:tcBorders>
            <w:shd w:val="clear" w:color="auto" w:fill="auto"/>
            <w:noWrap/>
            <w:vAlign w:val="bottom"/>
          </w:tcPr>
          <w:p w14:paraId="1D36C6CC" w14:textId="45F22A80" w:rsidR="00A12F0F" w:rsidRPr="00990A8E" w:rsidRDefault="00A12F0F" w:rsidP="00D422A0">
            <w:pPr>
              <w:spacing w:after="0" w:line="240" w:lineRule="auto"/>
              <w:jc w:val="center"/>
              <w:rPr>
                <w:color w:val="000000"/>
                <w:sz w:val="22"/>
                <w:szCs w:val="22"/>
                <w:lang w:bidi="ar-SA"/>
              </w:rPr>
            </w:pPr>
            <w:r w:rsidRPr="00990A8E">
              <w:rPr>
                <w:color w:val="000000"/>
                <w:sz w:val="22"/>
                <w:szCs w:val="22"/>
              </w:rPr>
              <w:t>0.264</w:t>
            </w:r>
          </w:p>
        </w:tc>
      </w:tr>
      <w:tr w:rsidR="00A12F0F" w:rsidRPr="001E5771" w14:paraId="1B43F112" w14:textId="6BE1EE35" w:rsidTr="005D739A">
        <w:trPr>
          <w:trHeight w:val="288"/>
        </w:trPr>
        <w:tc>
          <w:tcPr>
            <w:tcW w:w="2250" w:type="dxa"/>
            <w:tcBorders>
              <w:top w:val="nil"/>
              <w:left w:val="nil"/>
              <w:bottom w:val="nil"/>
              <w:right w:val="nil"/>
            </w:tcBorders>
            <w:vAlign w:val="bottom"/>
          </w:tcPr>
          <w:p w14:paraId="04E07E46"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Massachusetts</w:t>
            </w:r>
          </w:p>
        </w:tc>
        <w:tc>
          <w:tcPr>
            <w:tcW w:w="1800" w:type="dxa"/>
            <w:tcBorders>
              <w:top w:val="nil"/>
              <w:left w:val="nil"/>
              <w:bottom w:val="nil"/>
              <w:right w:val="nil"/>
            </w:tcBorders>
            <w:shd w:val="clear" w:color="auto" w:fill="auto"/>
            <w:noWrap/>
            <w:vAlign w:val="bottom"/>
          </w:tcPr>
          <w:p w14:paraId="3358F8EE" w14:textId="6D2CB4B7" w:rsidR="00A12F0F" w:rsidRPr="00990A8E" w:rsidRDefault="00A12F0F" w:rsidP="00D422A0">
            <w:pPr>
              <w:spacing w:after="0" w:line="240" w:lineRule="auto"/>
              <w:jc w:val="center"/>
              <w:rPr>
                <w:color w:val="000000"/>
                <w:sz w:val="22"/>
                <w:szCs w:val="22"/>
                <w:lang w:bidi="ar-SA"/>
              </w:rPr>
            </w:pPr>
            <w:r w:rsidRPr="00990A8E">
              <w:rPr>
                <w:color w:val="000000"/>
                <w:sz w:val="22"/>
                <w:szCs w:val="22"/>
              </w:rPr>
              <w:t>77.3%</w:t>
            </w:r>
          </w:p>
        </w:tc>
        <w:tc>
          <w:tcPr>
            <w:tcW w:w="1530" w:type="dxa"/>
            <w:tcBorders>
              <w:top w:val="nil"/>
              <w:left w:val="nil"/>
              <w:bottom w:val="nil"/>
              <w:right w:val="nil"/>
            </w:tcBorders>
            <w:shd w:val="clear" w:color="auto" w:fill="auto"/>
            <w:noWrap/>
            <w:vAlign w:val="bottom"/>
          </w:tcPr>
          <w:p w14:paraId="77529075" w14:textId="1A7F367D" w:rsidR="00A12F0F" w:rsidRPr="00990A8E" w:rsidRDefault="00A12F0F" w:rsidP="00D422A0">
            <w:pPr>
              <w:spacing w:after="0" w:line="240" w:lineRule="auto"/>
              <w:jc w:val="center"/>
              <w:rPr>
                <w:color w:val="000000"/>
                <w:sz w:val="22"/>
                <w:szCs w:val="22"/>
                <w:lang w:bidi="ar-SA"/>
              </w:rPr>
            </w:pPr>
            <w:r w:rsidRPr="00990A8E">
              <w:rPr>
                <w:color w:val="000000"/>
                <w:sz w:val="22"/>
                <w:szCs w:val="22"/>
              </w:rPr>
              <w:t>96.0%</w:t>
            </w:r>
          </w:p>
        </w:tc>
        <w:tc>
          <w:tcPr>
            <w:tcW w:w="1988" w:type="dxa"/>
            <w:tcBorders>
              <w:top w:val="nil"/>
              <w:left w:val="nil"/>
              <w:bottom w:val="nil"/>
              <w:right w:val="nil"/>
            </w:tcBorders>
            <w:shd w:val="clear" w:color="auto" w:fill="auto"/>
            <w:noWrap/>
            <w:vAlign w:val="bottom"/>
          </w:tcPr>
          <w:p w14:paraId="357CDC14" w14:textId="6E006A9C" w:rsidR="00A12F0F" w:rsidRPr="00990A8E" w:rsidRDefault="00A12F0F" w:rsidP="00D422A0">
            <w:pPr>
              <w:spacing w:after="0" w:line="240" w:lineRule="auto"/>
              <w:jc w:val="center"/>
              <w:rPr>
                <w:color w:val="000000"/>
                <w:sz w:val="22"/>
                <w:szCs w:val="22"/>
                <w:lang w:bidi="ar-SA"/>
              </w:rPr>
            </w:pPr>
            <w:r w:rsidRPr="00990A8E">
              <w:rPr>
                <w:color w:val="000000"/>
                <w:sz w:val="22"/>
                <w:szCs w:val="22"/>
              </w:rPr>
              <w:t>32.2%</w:t>
            </w:r>
          </w:p>
        </w:tc>
        <w:tc>
          <w:tcPr>
            <w:tcW w:w="1571" w:type="dxa"/>
            <w:tcBorders>
              <w:top w:val="nil"/>
              <w:left w:val="nil"/>
              <w:bottom w:val="nil"/>
              <w:right w:val="nil"/>
            </w:tcBorders>
            <w:shd w:val="clear" w:color="auto" w:fill="auto"/>
            <w:noWrap/>
            <w:vAlign w:val="bottom"/>
          </w:tcPr>
          <w:p w14:paraId="1213C39C" w14:textId="76555CD8" w:rsidR="00A12F0F" w:rsidRPr="00990A8E" w:rsidRDefault="00A12F0F" w:rsidP="00D422A0">
            <w:pPr>
              <w:spacing w:after="0" w:line="240" w:lineRule="auto"/>
              <w:jc w:val="center"/>
              <w:rPr>
                <w:color w:val="000000"/>
                <w:sz w:val="22"/>
                <w:szCs w:val="22"/>
                <w:lang w:bidi="ar-SA"/>
              </w:rPr>
            </w:pPr>
            <w:r w:rsidRPr="00990A8E">
              <w:rPr>
                <w:color w:val="000000"/>
                <w:sz w:val="22"/>
                <w:szCs w:val="22"/>
              </w:rPr>
              <w:t>0.605</w:t>
            </w:r>
          </w:p>
        </w:tc>
      </w:tr>
      <w:tr w:rsidR="00A12F0F" w:rsidRPr="001E5771" w14:paraId="72A92B28" w14:textId="1EA59BC1" w:rsidTr="005D739A">
        <w:trPr>
          <w:trHeight w:val="288"/>
        </w:trPr>
        <w:tc>
          <w:tcPr>
            <w:tcW w:w="2250" w:type="dxa"/>
            <w:tcBorders>
              <w:top w:val="nil"/>
              <w:left w:val="nil"/>
              <w:bottom w:val="nil"/>
              <w:right w:val="nil"/>
            </w:tcBorders>
            <w:vAlign w:val="bottom"/>
          </w:tcPr>
          <w:p w14:paraId="1883F843"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Michigan</w:t>
            </w:r>
          </w:p>
        </w:tc>
        <w:tc>
          <w:tcPr>
            <w:tcW w:w="1800" w:type="dxa"/>
            <w:tcBorders>
              <w:top w:val="nil"/>
              <w:left w:val="nil"/>
              <w:bottom w:val="nil"/>
              <w:right w:val="nil"/>
            </w:tcBorders>
            <w:shd w:val="clear" w:color="auto" w:fill="auto"/>
            <w:noWrap/>
            <w:vAlign w:val="bottom"/>
          </w:tcPr>
          <w:p w14:paraId="19D7E913" w14:textId="671DC9B6" w:rsidR="00A12F0F" w:rsidRPr="00990A8E" w:rsidRDefault="00A12F0F" w:rsidP="00D422A0">
            <w:pPr>
              <w:spacing w:after="0" w:line="240" w:lineRule="auto"/>
              <w:jc w:val="center"/>
              <w:rPr>
                <w:color w:val="000000"/>
                <w:sz w:val="22"/>
                <w:szCs w:val="22"/>
                <w:lang w:bidi="ar-SA"/>
              </w:rPr>
            </w:pPr>
            <w:r w:rsidRPr="00990A8E">
              <w:rPr>
                <w:color w:val="000000"/>
                <w:sz w:val="22"/>
                <w:szCs w:val="22"/>
              </w:rPr>
              <w:t>55.0%</w:t>
            </w:r>
          </w:p>
        </w:tc>
        <w:tc>
          <w:tcPr>
            <w:tcW w:w="1530" w:type="dxa"/>
            <w:tcBorders>
              <w:top w:val="nil"/>
              <w:left w:val="nil"/>
              <w:bottom w:val="nil"/>
              <w:right w:val="nil"/>
            </w:tcBorders>
            <w:shd w:val="clear" w:color="auto" w:fill="auto"/>
            <w:noWrap/>
            <w:vAlign w:val="bottom"/>
          </w:tcPr>
          <w:p w14:paraId="0B15435D" w14:textId="1D5A2AA3" w:rsidR="00A12F0F" w:rsidRPr="00990A8E" w:rsidRDefault="00A12F0F" w:rsidP="00D422A0">
            <w:pPr>
              <w:spacing w:after="0" w:line="240" w:lineRule="auto"/>
              <w:jc w:val="center"/>
              <w:rPr>
                <w:color w:val="000000"/>
                <w:sz w:val="22"/>
                <w:szCs w:val="22"/>
                <w:lang w:bidi="ar-SA"/>
              </w:rPr>
            </w:pPr>
            <w:r w:rsidRPr="00990A8E">
              <w:rPr>
                <w:color w:val="000000"/>
                <w:sz w:val="22"/>
                <w:szCs w:val="22"/>
              </w:rPr>
              <w:t>92.1%</w:t>
            </w:r>
          </w:p>
        </w:tc>
        <w:tc>
          <w:tcPr>
            <w:tcW w:w="1988" w:type="dxa"/>
            <w:tcBorders>
              <w:top w:val="nil"/>
              <w:left w:val="nil"/>
              <w:bottom w:val="nil"/>
              <w:right w:val="nil"/>
            </w:tcBorders>
            <w:shd w:val="clear" w:color="auto" w:fill="auto"/>
            <w:noWrap/>
            <w:vAlign w:val="bottom"/>
          </w:tcPr>
          <w:p w14:paraId="49C608DF" w14:textId="2106E054" w:rsidR="00A12F0F" w:rsidRPr="00990A8E" w:rsidRDefault="00A12F0F" w:rsidP="00D422A0">
            <w:pPr>
              <w:spacing w:after="0" w:line="240" w:lineRule="auto"/>
              <w:jc w:val="center"/>
              <w:rPr>
                <w:color w:val="000000"/>
                <w:sz w:val="22"/>
                <w:szCs w:val="22"/>
                <w:lang w:bidi="ar-SA"/>
              </w:rPr>
            </w:pPr>
            <w:r w:rsidRPr="00990A8E">
              <w:rPr>
                <w:color w:val="000000"/>
                <w:sz w:val="22"/>
                <w:szCs w:val="22"/>
              </w:rPr>
              <w:t>48.3%</w:t>
            </w:r>
          </w:p>
        </w:tc>
        <w:tc>
          <w:tcPr>
            <w:tcW w:w="1571" w:type="dxa"/>
            <w:tcBorders>
              <w:top w:val="nil"/>
              <w:left w:val="nil"/>
              <w:bottom w:val="nil"/>
              <w:right w:val="nil"/>
            </w:tcBorders>
            <w:shd w:val="clear" w:color="auto" w:fill="auto"/>
            <w:noWrap/>
            <w:vAlign w:val="bottom"/>
          </w:tcPr>
          <w:p w14:paraId="4D4F34CB" w14:textId="43D7BD55" w:rsidR="00A12F0F" w:rsidRPr="00990A8E" w:rsidRDefault="00A12F0F" w:rsidP="00D422A0">
            <w:pPr>
              <w:spacing w:after="0" w:line="240" w:lineRule="auto"/>
              <w:jc w:val="center"/>
              <w:rPr>
                <w:color w:val="000000"/>
                <w:sz w:val="22"/>
                <w:szCs w:val="22"/>
                <w:lang w:bidi="ar-SA"/>
              </w:rPr>
            </w:pPr>
            <w:r w:rsidRPr="00990A8E">
              <w:rPr>
                <w:color w:val="000000"/>
                <w:sz w:val="22"/>
                <w:szCs w:val="22"/>
              </w:rPr>
              <w:t>0.330</w:t>
            </w:r>
          </w:p>
        </w:tc>
      </w:tr>
      <w:tr w:rsidR="00A12F0F" w:rsidRPr="001E5771" w14:paraId="12649282" w14:textId="24458F7F" w:rsidTr="005D739A">
        <w:trPr>
          <w:trHeight w:val="288"/>
        </w:trPr>
        <w:tc>
          <w:tcPr>
            <w:tcW w:w="2250" w:type="dxa"/>
            <w:tcBorders>
              <w:top w:val="nil"/>
              <w:left w:val="nil"/>
              <w:bottom w:val="nil"/>
              <w:right w:val="nil"/>
            </w:tcBorders>
            <w:vAlign w:val="bottom"/>
          </w:tcPr>
          <w:p w14:paraId="5EE98E72"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Minnesota</w:t>
            </w:r>
          </w:p>
        </w:tc>
        <w:tc>
          <w:tcPr>
            <w:tcW w:w="1800" w:type="dxa"/>
            <w:tcBorders>
              <w:top w:val="nil"/>
              <w:left w:val="nil"/>
              <w:bottom w:val="nil"/>
              <w:right w:val="nil"/>
            </w:tcBorders>
            <w:shd w:val="clear" w:color="auto" w:fill="auto"/>
            <w:noWrap/>
            <w:vAlign w:val="bottom"/>
          </w:tcPr>
          <w:p w14:paraId="410AA16D" w14:textId="7CD0476B" w:rsidR="00A12F0F" w:rsidRPr="00990A8E" w:rsidRDefault="00A12F0F" w:rsidP="00D422A0">
            <w:pPr>
              <w:spacing w:after="0" w:line="240" w:lineRule="auto"/>
              <w:jc w:val="center"/>
              <w:rPr>
                <w:color w:val="000000"/>
                <w:sz w:val="22"/>
                <w:szCs w:val="22"/>
                <w:lang w:bidi="ar-SA"/>
              </w:rPr>
            </w:pPr>
            <w:r w:rsidRPr="00990A8E">
              <w:rPr>
                <w:color w:val="000000"/>
                <w:sz w:val="22"/>
                <w:szCs w:val="22"/>
              </w:rPr>
              <w:t>52.9%</w:t>
            </w:r>
          </w:p>
        </w:tc>
        <w:tc>
          <w:tcPr>
            <w:tcW w:w="1530" w:type="dxa"/>
            <w:tcBorders>
              <w:top w:val="nil"/>
              <w:left w:val="nil"/>
              <w:bottom w:val="nil"/>
              <w:right w:val="nil"/>
            </w:tcBorders>
            <w:shd w:val="clear" w:color="auto" w:fill="auto"/>
            <w:noWrap/>
            <w:vAlign w:val="bottom"/>
          </w:tcPr>
          <w:p w14:paraId="4FDFAFA8" w14:textId="27225ECC" w:rsidR="00A12F0F" w:rsidRPr="00990A8E" w:rsidRDefault="00A12F0F" w:rsidP="00D422A0">
            <w:pPr>
              <w:spacing w:after="0" w:line="240" w:lineRule="auto"/>
              <w:jc w:val="center"/>
              <w:rPr>
                <w:color w:val="000000"/>
                <w:sz w:val="22"/>
                <w:szCs w:val="22"/>
                <w:lang w:bidi="ar-SA"/>
              </w:rPr>
            </w:pPr>
            <w:r w:rsidRPr="00990A8E">
              <w:rPr>
                <w:color w:val="000000"/>
                <w:sz w:val="22"/>
                <w:szCs w:val="22"/>
              </w:rPr>
              <w:t>93.4%</w:t>
            </w:r>
          </w:p>
        </w:tc>
        <w:tc>
          <w:tcPr>
            <w:tcW w:w="1988" w:type="dxa"/>
            <w:tcBorders>
              <w:top w:val="nil"/>
              <w:left w:val="nil"/>
              <w:bottom w:val="nil"/>
              <w:right w:val="nil"/>
            </w:tcBorders>
            <w:shd w:val="clear" w:color="auto" w:fill="auto"/>
            <w:noWrap/>
            <w:vAlign w:val="bottom"/>
          </w:tcPr>
          <w:p w14:paraId="5362B0CC" w14:textId="1FD8C185" w:rsidR="00A12F0F" w:rsidRPr="00990A8E" w:rsidRDefault="00A12F0F" w:rsidP="00D422A0">
            <w:pPr>
              <w:spacing w:after="0" w:line="240" w:lineRule="auto"/>
              <w:jc w:val="center"/>
              <w:rPr>
                <w:color w:val="000000"/>
                <w:sz w:val="22"/>
                <w:szCs w:val="22"/>
                <w:lang w:bidi="ar-SA"/>
              </w:rPr>
            </w:pPr>
            <w:r w:rsidRPr="00990A8E">
              <w:rPr>
                <w:color w:val="000000"/>
                <w:sz w:val="22"/>
                <w:szCs w:val="22"/>
              </w:rPr>
              <w:t>45.5%</w:t>
            </w:r>
          </w:p>
        </w:tc>
        <w:tc>
          <w:tcPr>
            <w:tcW w:w="1571" w:type="dxa"/>
            <w:tcBorders>
              <w:top w:val="nil"/>
              <w:left w:val="nil"/>
              <w:bottom w:val="nil"/>
              <w:right w:val="nil"/>
            </w:tcBorders>
            <w:shd w:val="clear" w:color="auto" w:fill="auto"/>
            <w:noWrap/>
            <w:vAlign w:val="bottom"/>
          </w:tcPr>
          <w:p w14:paraId="0C256A1D" w14:textId="46875140" w:rsidR="00A12F0F" w:rsidRPr="00990A8E" w:rsidRDefault="00A12F0F" w:rsidP="00D422A0">
            <w:pPr>
              <w:spacing w:after="0" w:line="240" w:lineRule="auto"/>
              <w:jc w:val="center"/>
              <w:rPr>
                <w:color w:val="000000"/>
                <w:sz w:val="22"/>
                <w:szCs w:val="22"/>
                <w:lang w:bidi="ar-SA"/>
              </w:rPr>
            </w:pPr>
            <w:r w:rsidRPr="00990A8E">
              <w:rPr>
                <w:color w:val="000000"/>
                <w:sz w:val="22"/>
                <w:szCs w:val="22"/>
              </w:rPr>
              <w:t>0.303</w:t>
            </w:r>
          </w:p>
        </w:tc>
      </w:tr>
      <w:tr w:rsidR="00A12F0F" w:rsidRPr="001E5771" w14:paraId="2F735FCF" w14:textId="352705F8" w:rsidTr="005D739A">
        <w:trPr>
          <w:trHeight w:val="288"/>
        </w:trPr>
        <w:tc>
          <w:tcPr>
            <w:tcW w:w="2250" w:type="dxa"/>
            <w:tcBorders>
              <w:top w:val="nil"/>
              <w:left w:val="nil"/>
              <w:bottom w:val="nil"/>
              <w:right w:val="nil"/>
            </w:tcBorders>
            <w:vAlign w:val="bottom"/>
          </w:tcPr>
          <w:p w14:paraId="37555301"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Mississippi</w:t>
            </w:r>
          </w:p>
        </w:tc>
        <w:tc>
          <w:tcPr>
            <w:tcW w:w="1800" w:type="dxa"/>
            <w:tcBorders>
              <w:top w:val="nil"/>
              <w:left w:val="nil"/>
              <w:bottom w:val="nil"/>
              <w:right w:val="nil"/>
            </w:tcBorders>
            <w:shd w:val="clear" w:color="auto" w:fill="auto"/>
            <w:noWrap/>
            <w:vAlign w:val="bottom"/>
          </w:tcPr>
          <w:p w14:paraId="5F5E15AB" w14:textId="5D50E12F" w:rsidR="00A12F0F" w:rsidRPr="00990A8E" w:rsidRDefault="00A12F0F" w:rsidP="00D422A0">
            <w:pPr>
              <w:spacing w:after="0" w:line="240" w:lineRule="auto"/>
              <w:jc w:val="center"/>
              <w:rPr>
                <w:color w:val="000000"/>
                <w:sz w:val="22"/>
                <w:szCs w:val="22"/>
                <w:lang w:bidi="ar-SA"/>
              </w:rPr>
            </w:pPr>
            <w:r w:rsidRPr="00990A8E">
              <w:rPr>
                <w:color w:val="000000"/>
                <w:sz w:val="22"/>
                <w:szCs w:val="22"/>
              </w:rPr>
              <w:t>39.0%</w:t>
            </w:r>
          </w:p>
        </w:tc>
        <w:tc>
          <w:tcPr>
            <w:tcW w:w="1530" w:type="dxa"/>
            <w:tcBorders>
              <w:top w:val="nil"/>
              <w:left w:val="nil"/>
              <w:bottom w:val="nil"/>
              <w:right w:val="nil"/>
            </w:tcBorders>
            <w:shd w:val="clear" w:color="auto" w:fill="auto"/>
            <w:noWrap/>
            <w:vAlign w:val="bottom"/>
          </w:tcPr>
          <w:p w14:paraId="377225D3" w14:textId="6C9B78B2" w:rsidR="00A12F0F" w:rsidRPr="00990A8E" w:rsidRDefault="00A12F0F" w:rsidP="00D422A0">
            <w:pPr>
              <w:spacing w:after="0" w:line="240" w:lineRule="auto"/>
              <w:jc w:val="center"/>
              <w:rPr>
                <w:color w:val="000000"/>
                <w:sz w:val="22"/>
                <w:szCs w:val="22"/>
                <w:lang w:bidi="ar-SA"/>
              </w:rPr>
            </w:pPr>
            <w:r w:rsidRPr="00990A8E">
              <w:rPr>
                <w:color w:val="000000"/>
                <w:sz w:val="22"/>
                <w:szCs w:val="22"/>
              </w:rPr>
              <w:t>93.1%</w:t>
            </w:r>
          </w:p>
        </w:tc>
        <w:tc>
          <w:tcPr>
            <w:tcW w:w="1988" w:type="dxa"/>
            <w:tcBorders>
              <w:top w:val="nil"/>
              <w:left w:val="nil"/>
              <w:bottom w:val="nil"/>
              <w:right w:val="nil"/>
            </w:tcBorders>
            <w:shd w:val="clear" w:color="auto" w:fill="auto"/>
            <w:noWrap/>
            <w:vAlign w:val="bottom"/>
          </w:tcPr>
          <w:p w14:paraId="3121EE4A" w14:textId="5984DE56" w:rsidR="00A12F0F" w:rsidRPr="00990A8E" w:rsidRDefault="00A12F0F" w:rsidP="00D422A0">
            <w:pPr>
              <w:spacing w:after="0" w:line="240" w:lineRule="auto"/>
              <w:jc w:val="center"/>
              <w:rPr>
                <w:color w:val="000000"/>
                <w:sz w:val="22"/>
                <w:szCs w:val="22"/>
                <w:lang w:bidi="ar-SA"/>
              </w:rPr>
            </w:pPr>
            <w:r w:rsidRPr="00990A8E">
              <w:rPr>
                <w:color w:val="000000"/>
                <w:sz w:val="22"/>
                <w:szCs w:val="22"/>
              </w:rPr>
              <w:t>41.2%</w:t>
            </w:r>
          </w:p>
        </w:tc>
        <w:tc>
          <w:tcPr>
            <w:tcW w:w="1571" w:type="dxa"/>
            <w:tcBorders>
              <w:top w:val="nil"/>
              <w:left w:val="nil"/>
              <w:bottom w:val="nil"/>
              <w:right w:val="nil"/>
            </w:tcBorders>
            <w:shd w:val="clear" w:color="auto" w:fill="auto"/>
            <w:noWrap/>
            <w:vAlign w:val="bottom"/>
          </w:tcPr>
          <w:p w14:paraId="7DBF502A" w14:textId="5044E941" w:rsidR="00A12F0F" w:rsidRPr="00990A8E" w:rsidRDefault="00A12F0F" w:rsidP="00D422A0">
            <w:pPr>
              <w:spacing w:after="0" w:line="240" w:lineRule="auto"/>
              <w:jc w:val="center"/>
              <w:rPr>
                <w:color w:val="000000"/>
                <w:sz w:val="22"/>
                <w:szCs w:val="22"/>
                <w:lang w:bidi="ar-SA"/>
              </w:rPr>
            </w:pPr>
            <w:r w:rsidRPr="00990A8E">
              <w:rPr>
                <w:color w:val="000000"/>
                <w:sz w:val="22"/>
                <w:szCs w:val="22"/>
              </w:rPr>
              <w:t>0.292</w:t>
            </w:r>
          </w:p>
        </w:tc>
      </w:tr>
      <w:tr w:rsidR="00A12F0F" w:rsidRPr="001E5771" w14:paraId="3FD46260" w14:textId="2EFEFC8A" w:rsidTr="005D739A">
        <w:trPr>
          <w:trHeight w:val="288"/>
        </w:trPr>
        <w:tc>
          <w:tcPr>
            <w:tcW w:w="2250" w:type="dxa"/>
            <w:tcBorders>
              <w:top w:val="nil"/>
              <w:left w:val="nil"/>
              <w:bottom w:val="nil"/>
              <w:right w:val="nil"/>
            </w:tcBorders>
            <w:vAlign w:val="bottom"/>
          </w:tcPr>
          <w:p w14:paraId="782F481C"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Missouri</w:t>
            </w:r>
          </w:p>
        </w:tc>
        <w:tc>
          <w:tcPr>
            <w:tcW w:w="1800" w:type="dxa"/>
            <w:tcBorders>
              <w:top w:val="nil"/>
              <w:left w:val="nil"/>
              <w:bottom w:val="nil"/>
              <w:right w:val="nil"/>
            </w:tcBorders>
            <w:shd w:val="clear" w:color="auto" w:fill="auto"/>
            <w:noWrap/>
            <w:vAlign w:val="bottom"/>
          </w:tcPr>
          <w:p w14:paraId="48EE580D" w14:textId="02DBB819" w:rsidR="00A12F0F" w:rsidRPr="00990A8E" w:rsidRDefault="00A12F0F" w:rsidP="00D422A0">
            <w:pPr>
              <w:spacing w:after="0" w:line="240" w:lineRule="auto"/>
              <w:jc w:val="center"/>
              <w:rPr>
                <w:color w:val="000000"/>
                <w:sz w:val="22"/>
                <w:szCs w:val="22"/>
                <w:lang w:bidi="ar-SA"/>
              </w:rPr>
            </w:pPr>
            <w:r w:rsidRPr="00990A8E">
              <w:rPr>
                <w:color w:val="000000"/>
                <w:sz w:val="22"/>
                <w:szCs w:val="22"/>
              </w:rPr>
              <w:t>38.6%</w:t>
            </w:r>
          </w:p>
        </w:tc>
        <w:tc>
          <w:tcPr>
            <w:tcW w:w="1530" w:type="dxa"/>
            <w:tcBorders>
              <w:top w:val="nil"/>
              <w:left w:val="nil"/>
              <w:bottom w:val="nil"/>
              <w:right w:val="nil"/>
            </w:tcBorders>
            <w:shd w:val="clear" w:color="auto" w:fill="auto"/>
            <w:noWrap/>
            <w:vAlign w:val="bottom"/>
          </w:tcPr>
          <w:p w14:paraId="7AB4CA8D" w14:textId="23723489" w:rsidR="00A12F0F" w:rsidRPr="00990A8E" w:rsidRDefault="00A12F0F" w:rsidP="00D422A0">
            <w:pPr>
              <w:spacing w:after="0" w:line="240" w:lineRule="auto"/>
              <w:jc w:val="center"/>
              <w:rPr>
                <w:color w:val="000000"/>
                <w:sz w:val="22"/>
                <w:szCs w:val="22"/>
                <w:lang w:bidi="ar-SA"/>
              </w:rPr>
            </w:pPr>
            <w:r w:rsidRPr="00990A8E">
              <w:rPr>
                <w:color w:val="000000"/>
                <w:sz w:val="22"/>
                <w:szCs w:val="22"/>
              </w:rPr>
              <w:t>57.2%</w:t>
            </w:r>
          </w:p>
        </w:tc>
        <w:tc>
          <w:tcPr>
            <w:tcW w:w="1988" w:type="dxa"/>
            <w:tcBorders>
              <w:top w:val="nil"/>
              <w:left w:val="nil"/>
              <w:bottom w:val="nil"/>
              <w:right w:val="nil"/>
            </w:tcBorders>
            <w:shd w:val="clear" w:color="auto" w:fill="auto"/>
            <w:noWrap/>
            <w:vAlign w:val="bottom"/>
          </w:tcPr>
          <w:p w14:paraId="04CB8FA4" w14:textId="59526CF8" w:rsidR="00A12F0F" w:rsidRPr="00990A8E" w:rsidRDefault="00A12F0F" w:rsidP="00D422A0">
            <w:pPr>
              <w:spacing w:after="0" w:line="240" w:lineRule="auto"/>
              <w:jc w:val="center"/>
              <w:rPr>
                <w:color w:val="000000"/>
                <w:sz w:val="22"/>
                <w:szCs w:val="22"/>
                <w:lang w:bidi="ar-SA"/>
              </w:rPr>
            </w:pPr>
            <w:r w:rsidRPr="00990A8E">
              <w:rPr>
                <w:color w:val="000000"/>
                <w:sz w:val="22"/>
                <w:szCs w:val="22"/>
              </w:rPr>
              <w:t>33.1%</w:t>
            </w:r>
          </w:p>
        </w:tc>
        <w:tc>
          <w:tcPr>
            <w:tcW w:w="1571" w:type="dxa"/>
            <w:tcBorders>
              <w:top w:val="nil"/>
              <w:left w:val="nil"/>
              <w:bottom w:val="nil"/>
              <w:right w:val="nil"/>
            </w:tcBorders>
            <w:shd w:val="clear" w:color="auto" w:fill="auto"/>
            <w:noWrap/>
            <w:vAlign w:val="bottom"/>
          </w:tcPr>
          <w:p w14:paraId="10524958" w14:textId="7EB536C1" w:rsidR="00A12F0F" w:rsidRPr="00990A8E" w:rsidRDefault="00A12F0F" w:rsidP="00D422A0">
            <w:pPr>
              <w:spacing w:after="0" w:line="240" w:lineRule="auto"/>
              <w:jc w:val="center"/>
              <w:rPr>
                <w:color w:val="000000"/>
                <w:sz w:val="22"/>
                <w:szCs w:val="22"/>
                <w:lang w:bidi="ar-SA"/>
              </w:rPr>
            </w:pPr>
            <w:r w:rsidRPr="00990A8E">
              <w:rPr>
                <w:color w:val="000000"/>
                <w:sz w:val="22"/>
                <w:szCs w:val="22"/>
              </w:rPr>
              <w:t>0.195</w:t>
            </w:r>
          </w:p>
        </w:tc>
      </w:tr>
      <w:tr w:rsidR="00A12F0F" w:rsidRPr="001E5771" w14:paraId="26170EDF" w14:textId="19093BE2" w:rsidTr="005D739A">
        <w:trPr>
          <w:trHeight w:val="288"/>
        </w:trPr>
        <w:tc>
          <w:tcPr>
            <w:tcW w:w="2250" w:type="dxa"/>
            <w:tcBorders>
              <w:top w:val="nil"/>
              <w:left w:val="nil"/>
              <w:bottom w:val="nil"/>
              <w:right w:val="nil"/>
            </w:tcBorders>
            <w:vAlign w:val="bottom"/>
          </w:tcPr>
          <w:p w14:paraId="51CED98F"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lastRenderedPageBreak/>
              <w:t>Montana</w:t>
            </w:r>
          </w:p>
        </w:tc>
        <w:tc>
          <w:tcPr>
            <w:tcW w:w="1800" w:type="dxa"/>
            <w:tcBorders>
              <w:top w:val="nil"/>
              <w:left w:val="nil"/>
              <w:bottom w:val="nil"/>
              <w:right w:val="nil"/>
            </w:tcBorders>
            <w:shd w:val="clear" w:color="auto" w:fill="auto"/>
            <w:noWrap/>
            <w:vAlign w:val="bottom"/>
          </w:tcPr>
          <w:p w14:paraId="077D373E" w14:textId="42323966" w:rsidR="00A12F0F" w:rsidRPr="00990A8E" w:rsidRDefault="00A12F0F" w:rsidP="00D422A0">
            <w:pPr>
              <w:spacing w:after="0" w:line="240" w:lineRule="auto"/>
              <w:jc w:val="center"/>
              <w:rPr>
                <w:color w:val="000000"/>
                <w:sz w:val="22"/>
                <w:szCs w:val="22"/>
                <w:lang w:bidi="ar-SA"/>
              </w:rPr>
            </w:pPr>
            <w:r w:rsidRPr="00990A8E">
              <w:rPr>
                <w:color w:val="000000"/>
                <w:sz w:val="22"/>
                <w:szCs w:val="22"/>
              </w:rPr>
              <w:t>60.9%</w:t>
            </w:r>
          </w:p>
        </w:tc>
        <w:tc>
          <w:tcPr>
            <w:tcW w:w="1530" w:type="dxa"/>
            <w:tcBorders>
              <w:top w:val="nil"/>
              <w:left w:val="nil"/>
              <w:bottom w:val="nil"/>
              <w:right w:val="nil"/>
            </w:tcBorders>
            <w:shd w:val="clear" w:color="auto" w:fill="auto"/>
            <w:noWrap/>
            <w:vAlign w:val="bottom"/>
          </w:tcPr>
          <w:p w14:paraId="69BCF567" w14:textId="6F562696" w:rsidR="00A12F0F" w:rsidRPr="00990A8E" w:rsidRDefault="00A12F0F" w:rsidP="00D422A0">
            <w:pPr>
              <w:spacing w:after="0" w:line="240" w:lineRule="auto"/>
              <w:jc w:val="center"/>
              <w:rPr>
                <w:color w:val="000000"/>
                <w:sz w:val="22"/>
                <w:szCs w:val="22"/>
                <w:lang w:bidi="ar-SA"/>
              </w:rPr>
            </w:pPr>
            <w:r w:rsidRPr="00990A8E">
              <w:rPr>
                <w:color w:val="000000"/>
                <w:sz w:val="22"/>
                <w:szCs w:val="22"/>
              </w:rPr>
              <w:t>97.2%</w:t>
            </w:r>
          </w:p>
        </w:tc>
        <w:tc>
          <w:tcPr>
            <w:tcW w:w="1988" w:type="dxa"/>
            <w:tcBorders>
              <w:top w:val="nil"/>
              <w:left w:val="nil"/>
              <w:bottom w:val="nil"/>
              <w:right w:val="nil"/>
            </w:tcBorders>
            <w:shd w:val="clear" w:color="auto" w:fill="auto"/>
            <w:noWrap/>
            <w:vAlign w:val="bottom"/>
          </w:tcPr>
          <w:p w14:paraId="111F4CE2" w14:textId="4A2B5D3B" w:rsidR="00A12F0F" w:rsidRPr="00990A8E" w:rsidRDefault="00A12F0F" w:rsidP="00D422A0">
            <w:pPr>
              <w:spacing w:after="0" w:line="240" w:lineRule="auto"/>
              <w:jc w:val="center"/>
              <w:rPr>
                <w:color w:val="000000"/>
                <w:sz w:val="22"/>
                <w:szCs w:val="22"/>
                <w:lang w:bidi="ar-SA"/>
              </w:rPr>
            </w:pPr>
            <w:r w:rsidRPr="00990A8E">
              <w:rPr>
                <w:color w:val="000000"/>
                <w:sz w:val="22"/>
                <w:szCs w:val="22"/>
              </w:rPr>
              <w:t>43.0%</w:t>
            </w:r>
          </w:p>
        </w:tc>
        <w:tc>
          <w:tcPr>
            <w:tcW w:w="1571" w:type="dxa"/>
            <w:tcBorders>
              <w:top w:val="nil"/>
              <w:left w:val="nil"/>
              <w:bottom w:val="nil"/>
              <w:right w:val="nil"/>
            </w:tcBorders>
            <w:shd w:val="clear" w:color="auto" w:fill="auto"/>
            <w:noWrap/>
            <w:vAlign w:val="bottom"/>
          </w:tcPr>
          <w:p w14:paraId="78D5331E" w14:textId="090289A5" w:rsidR="00A12F0F" w:rsidRPr="00990A8E" w:rsidRDefault="00A12F0F" w:rsidP="00D422A0">
            <w:pPr>
              <w:spacing w:after="0" w:line="240" w:lineRule="auto"/>
              <w:jc w:val="center"/>
              <w:rPr>
                <w:color w:val="000000"/>
                <w:sz w:val="22"/>
                <w:szCs w:val="22"/>
                <w:lang w:bidi="ar-SA"/>
              </w:rPr>
            </w:pPr>
            <w:r w:rsidRPr="00990A8E">
              <w:rPr>
                <w:color w:val="000000"/>
                <w:sz w:val="22"/>
                <w:szCs w:val="22"/>
              </w:rPr>
              <w:t>0.388</w:t>
            </w:r>
          </w:p>
        </w:tc>
      </w:tr>
      <w:tr w:rsidR="00A12F0F" w:rsidRPr="001E5771" w14:paraId="3D0592DB" w14:textId="65A0BA0F" w:rsidTr="005D739A">
        <w:trPr>
          <w:trHeight w:val="288"/>
        </w:trPr>
        <w:tc>
          <w:tcPr>
            <w:tcW w:w="2250" w:type="dxa"/>
            <w:tcBorders>
              <w:top w:val="nil"/>
              <w:left w:val="nil"/>
              <w:bottom w:val="nil"/>
              <w:right w:val="nil"/>
            </w:tcBorders>
            <w:vAlign w:val="bottom"/>
          </w:tcPr>
          <w:p w14:paraId="5DA235FC"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Nebraska</w:t>
            </w:r>
          </w:p>
        </w:tc>
        <w:tc>
          <w:tcPr>
            <w:tcW w:w="1800" w:type="dxa"/>
            <w:tcBorders>
              <w:top w:val="nil"/>
              <w:left w:val="nil"/>
              <w:bottom w:val="nil"/>
              <w:right w:val="nil"/>
            </w:tcBorders>
            <w:shd w:val="clear" w:color="auto" w:fill="auto"/>
            <w:noWrap/>
            <w:vAlign w:val="bottom"/>
          </w:tcPr>
          <w:p w14:paraId="32FDEE7F" w14:textId="1BD0DF3E" w:rsidR="00A12F0F" w:rsidRPr="00990A8E" w:rsidRDefault="00A12F0F" w:rsidP="00D422A0">
            <w:pPr>
              <w:spacing w:after="0" w:line="240" w:lineRule="auto"/>
              <w:jc w:val="center"/>
              <w:rPr>
                <w:color w:val="000000"/>
                <w:sz w:val="22"/>
                <w:szCs w:val="22"/>
                <w:lang w:bidi="ar-SA"/>
              </w:rPr>
            </w:pPr>
            <w:r w:rsidRPr="00990A8E">
              <w:rPr>
                <w:color w:val="000000"/>
                <w:sz w:val="22"/>
                <w:szCs w:val="22"/>
              </w:rPr>
              <w:t>54.3%</w:t>
            </w:r>
          </w:p>
        </w:tc>
        <w:tc>
          <w:tcPr>
            <w:tcW w:w="1530" w:type="dxa"/>
            <w:tcBorders>
              <w:top w:val="nil"/>
              <w:left w:val="nil"/>
              <w:bottom w:val="nil"/>
              <w:right w:val="nil"/>
            </w:tcBorders>
            <w:shd w:val="clear" w:color="auto" w:fill="auto"/>
            <w:noWrap/>
            <w:vAlign w:val="bottom"/>
          </w:tcPr>
          <w:p w14:paraId="52B351D5" w14:textId="571338E2" w:rsidR="00A12F0F" w:rsidRPr="00990A8E" w:rsidRDefault="00A12F0F" w:rsidP="00D422A0">
            <w:pPr>
              <w:spacing w:after="0" w:line="240" w:lineRule="auto"/>
              <w:jc w:val="center"/>
              <w:rPr>
                <w:color w:val="000000"/>
                <w:sz w:val="22"/>
                <w:szCs w:val="22"/>
                <w:lang w:bidi="ar-SA"/>
              </w:rPr>
            </w:pPr>
            <w:r w:rsidRPr="00990A8E">
              <w:rPr>
                <w:color w:val="000000"/>
                <w:sz w:val="22"/>
                <w:szCs w:val="22"/>
              </w:rPr>
              <w:t>77.4%</w:t>
            </w:r>
          </w:p>
        </w:tc>
        <w:tc>
          <w:tcPr>
            <w:tcW w:w="1988" w:type="dxa"/>
            <w:tcBorders>
              <w:top w:val="nil"/>
              <w:left w:val="nil"/>
              <w:bottom w:val="nil"/>
              <w:right w:val="nil"/>
            </w:tcBorders>
            <w:shd w:val="clear" w:color="auto" w:fill="auto"/>
            <w:noWrap/>
            <w:vAlign w:val="bottom"/>
          </w:tcPr>
          <w:p w14:paraId="44572E19" w14:textId="7CA472ED" w:rsidR="00A12F0F" w:rsidRPr="00990A8E" w:rsidRDefault="00A12F0F" w:rsidP="00D422A0">
            <w:pPr>
              <w:spacing w:after="0" w:line="240" w:lineRule="auto"/>
              <w:jc w:val="center"/>
              <w:rPr>
                <w:color w:val="000000"/>
                <w:sz w:val="22"/>
                <w:szCs w:val="22"/>
                <w:lang w:bidi="ar-SA"/>
              </w:rPr>
            </w:pPr>
            <w:r w:rsidRPr="00990A8E">
              <w:rPr>
                <w:color w:val="000000"/>
                <w:sz w:val="22"/>
                <w:szCs w:val="22"/>
              </w:rPr>
              <w:t>30.5%</w:t>
            </w:r>
          </w:p>
        </w:tc>
        <w:tc>
          <w:tcPr>
            <w:tcW w:w="1571" w:type="dxa"/>
            <w:tcBorders>
              <w:top w:val="nil"/>
              <w:left w:val="nil"/>
              <w:bottom w:val="nil"/>
              <w:right w:val="nil"/>
            </w:tcBorders>
            <w:shd w:val="clear" w:color="auto" w:fill="auto"/>
            <w:noWrap/>
            <w:vAlign w:val="bottom"/>
          </w:tcPr>
          <w:p w14:paraId="5F904720" w14:textId="41673869" w:rsidR="00A12F0F" w:rsidRPr="00990A8E" w:rsidRDefault="00A12F0F" w:rsidP="00D422A0">
            <w:pPr>
              <w:spacing w:after="0" w:line="240" w:lineRule="auto"/>
              <w:jc w:val="center"/>
              <w:rPr>
                <w:color w:val="000000"/>
                <w:sz w:val="22"/>
                <w:szCs w:val="22"/>
                <w:lang w:bidi="ar-SA"/>
              </w:rPr>
            </w:pPr>
            <w:r w:rsidRPr="00990A8E">
              <w:rPr>
                <w:color w:val="000000"/>
                <w:sz w:val="22"/>
                <w:szCs w:val="22"/>
              </w:rPr>
              <w:t>0.319</w:t>
            </w:r>
          </w:p>
        </w:tc>
      </w:tr>
      <w:tr w:rsidR="00A12F0F" w:rsidRPr="001E5771" w14:paraId="7CC8FA93" w14:textId="6D3A6916" w:rsidTr="005D739A">
        <w:trPr>
          <w:trHeight w:val="288"/>
        </w:trPr>
        <w:tc>
          <w:tcPr>
            <w:tcW w:w="2250" w:type="dxa"/>
            <w:tcBorders>
              <w:top w:val="nil"/>
              <w:left w:val="nil"/>
              <w:bottom w:val="nil"/>
              <w:right w:val="nil"/>
            </w:tcBorders>
            <w:vAlign w:val="bottom"/>
          </w:tcPr>
          <w:p w14:paraId="19DFBB8B"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Nevada</w:t>
            </w:r>
          </w:p>
        </w:tc>
        <w:tc>
          <w:tcPr>
            <w:tcW w:w="1800" w:type="dxa"/>
            <w:tcBorders>
              <w:top w:val="nil"/>
              <w:left w:val="nil"/>
              <w:bottom w:val="nil"/>
              <w:right w:val="nil"/>
            </w:tcBorders>
            <w:shd w:val="clear" w:color="auto" w:fill="auto"/>
            <w:noWrap/>
            <w:vAlign w:val="bottom"/>
          </w:tcPr>
          <w:p w14:paraId="372A911F" w14:textId="37110831" w:rsidR="00A12F0F" w:rsidRPr="00990A8E" w:rsidRDefault="00A12F0F" w:rsidP="00D422A0">
            <w:pPr>
              <w:spacing w:after="0" w:line="240" w:lineRule="auto"/>
              <w:jc w:val="center"/>
              <w:rPr>
                <w:color w:val="000000"/>
                <w:sz w:val="22"/>
                <w:szCs w:val="22"/>
                <w:lang w:bidi="ar-SA"/>
              </w:rPr>
            </w:pPr>
            <w:r w:rsidRPr="00990A8E">
              <w:rPr>
                <w:color w:val="000000"/>
                <w:sz w:val="22"/>
                <w:szCs w:val="22"/>
              </w:rPr>
              <w:t>39.3%</w:t>
            </w:r>
          </w:p>
        </w:tc>
        <w:tc>
          <w:tcPr>
            <w:tcW w:w="1530" w:type="dxa"/>
            <w:tcBorders>
              <w:top w:val="nil"/>
              <w:left w:val="nil"/>
              <w:bottom w:val="nil"/>
              <w:right w:val="nil"/>
            </w:tcBorders>
            <w:shd w:val="clear" w:color="auto" w:fill="auto"/>
            <w:noWrap/>
            <w:vAlign w:val="bottom"/>
          </w:tcPr>
          <w:p w14:paraId="770E32FE" w14:textId="177A21A0" w:rsidR="00A12F0F" w:rsidRPr="00990A8E" w:rsidRDefault="00A12F0F" w:rsidP="00D422A0">
            <w:pPr>
              <w:spacing w:after="0" w:line="240" w:lineRule="auto"/>
              <w:jc w:val="center"/>
              <w:rPr>
                <w:color w:val="000000"/>
                <w:sz w:val="22"/>
                <w:szCs w:val="22"/>
                <w:lang w:bidi="ar-SA"/>
              </w:rPr>
            </w:pPr>
            <w:r w:rsidRPr="00990A8E">
              <w:rPr>
                <w:color w:val="000000"/>
                <w:sz w:val="22"/>
                <w:szCs w:val="22"/>
              </w:rPr>
              <w:t>68.1%</w:t>
            </w:r>
          </w:p>
        </w:tc>
        <w:tc>
          <w:tcPr>
            <w:tcW w:w="1988" w:type="dxa"/>
            <w:tcBorders>
              <w:top w:val="nil"/>
              <w:left w:val="nil"/>
              <w:bottom w:val="nil"/>
              <w:right w:val="nil"/>
            </w:tcBorders>
            <w:shd w:val="clear" w:color="auto" w:fill="auto"/>
            <w:noWrap/>
            <w:vAlign w:val="bottom"/>
          </w:tcPr>
          <w:p w14:paraId="76C72737" w14:textId="4BD9EDC6" w:rsidR="00A12F0F" w:rsidRPr="00990A8E" w:rsidRDefault="00A12F0F" w:rsidP="00D422A0">
            <w:pPr>
              <w:spacing w:after="0" w:line="240" w:lineRule="auto"/>
              <w:jc w:val="center"/>
              <w:rPr>
                <w:color w:val="000000"/>
                <w:sz w:val="22"/>
                <w:szCs w:val="22"/>
                <w:lang w:bidi="ar-SA"/>
              </w:rPr>
            </w:pPr>
            <w:r w:rsidRPr="00990A8E">
              <w:rPr>
                <w:color w:val="000000"/>
                <w:sz w:val="22"/>
                <w:szCs w:val="22"/>
              </w:rPr>
              <w:t>42.7%</w:t>
            </w:r>
          </w:p>
        </w:tc>
        <w:tc>
          <w:tcPr>
            <w:tcW w:w="1571" w:type="dxa"/>
            <w:tcBorders>
              <w:top w:val="nil"/>
              <w:left w:val="nil"/>
              <w:bottom w:val="nil"/>
              <w:right w:val="nil"/>
            </w:tcBorders>
            <w:shd w:val="clear" w:color="auto" w:fill="auto"/>
            <w:noWrap/>
            <w:vAlign w:val="bottom"/>
          </w:tcPr>
          <w:p w14:paraId="51386D61" w14:textId="2FEBFA33" w:rsidR="00A12F0F" w:rsidRPr="00990A8E" w:rsidRDefault="00A12F0F" w:rsidP="00D422A0">
            <w:pPr>
              <w:spacing w:after="0" w:line="240" w:lineRule="auto"/>
              <w:jc w:val="center"/>
              <w:rPr>
                <w:color w:val="000000"/>
                <w:sz w:val="22"/>
                <w:szCs w:val="22"/>
                <w:lang w:bidi="ar-SA"/>
              </w:rPr>
            </w:pPr>
            <w:r w:rsidRPr="00990A8E">
              <w:rPr>
                <w:color w:val="000000"/>
                <w:sz w:val="22"/>
                <w:szCs w:val="22"/>
              </w:rPr>
              <w:t>0.190</w:t>
            </w:r>
          </w:p>
        </w:tc>
      </w:tr>
      <w:tr w:rsidR="00A12F0F" w:rsidRPr="001E5771" w14:paraId="7E4A91D8" w14:textId="1541B5FC" w:rsidTr="005D739A">
        <w:trPr>
          <w:trHeight w:val="288"/>
        </w:trPr>
        <w:tc>
          <w:tcPr>
            <w:tcW w:w="2250" w:type="dxa"/>
            <w:tcBorders>
              <w:top w:val="nil"/>
              <w:left w:val="nil"/>
              <w:bottom w:val="nil"/>
              <w:right w:val="nil"/>
            </w:tcBorders>
            <w:vAlign w:val="bottom"/>
          </w:tcPr>
          <w:p w14:paraId="4541DF86"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New Hampshire</w:t>
            </w:r>
          </w:p>
        </w:tc>
        <w:tc>
          <w:tcPr>
            <w:tcW w:w="1800" w:type="dxa"/>
            <w:tcBorders>
              <w:top w:val="nil"/>
              <w:left w:val="nil"/>
              <w:bottom w:val="nil"/>
              <w:right w:val="nil"/>
            </w:tcBorders>
            <w:shd w:val="clear" w:color="auto" w:fill="auto"/>
            <w:noWrap/>
            <w:vAlign w:val="bottom"/>
          </w:tcPr>
          <w:p w14:paraId="0B28F6EB" w14:textId="23742242" w:rsidR="00A12F0F" w:rsidRPr="00990A8E" w:rsidRDefault="00A12F0F" w:rsidP="00D422A0">
            <w:pPr>
              <w:spacing w:after="0" w:line="240" w:lineRule="auto"/>
              <w:jc w:val="center"/>
              <w:rPr>
                <w:color w:val="000000"/>
                <w:sz w:val="22"/>
                <w:szCs w:val="22"/>
                <w:lang w:bidi="ar-SA"/>
              </w:rPr>
            </w:pPr>
            <w:r w:rsidRPr="00990A8E">
              <w:rPr>
                <w:color w:val="000000"/>
                <w:sz w:val="22"/>
                <w:szCs w:val="22"/>
              </w:rPr>
              <w:t>85.2%</w:t>
            </w:r>
          </w:p>
        </w:tc>
        <w:tc>
          <w:tcPr>
            <w:tcW w:w="1530" w:type="dxa"/>
            <w:tcBorders>
              <w:top w:val="nil"/>
              <w:left w:val="nil"/>
              <w:bottom w:val="nil"/>
              <w:right w:val="nil"/>
            </w:tcBorders>
            <w:shd w:val="clear" w:color="auto" w:fill="auto"/>
            <w:noWrap/>
            <w:vAlign w:val="bottom"/>
          </w:tcPr>
          <w:p w14:paraId="3D9543AD" w14:textId="4368C3B4" w:rsidR="00A12F0F" w:rsidRPr="00990A8E" w:rsidRDefault="00A12F0F" w:rsidP="00D422A0">
            <w:pPr>
              <w:spacing w:after="0" w:line="240" w:lineRule="auto"/>
              <w:jc w:val="center"/>
              <w:rPr>
                <w:color w:val="000000"/>
                <w:sz w:val="22"/>
                <w:szCs w:val="22"/>
                <w:lang w:bidi="ar-SA"/>
              </w:rPr>
            </w:pPr>
            <w:r w:rsidRPr="00990A8E">
              <w:rPr>
                <w:color w:val="000000"/>
                <w:sz w:val="22"/>
                <w:szCs w:val="22"/>
              </w:rPr>
              <w:t>99.0%</w:t>
            </w:r>
          </w:p>
        </w:tc>
        <w:tc>
          <w:tcPr>
            <w:tcW w:w="1988" w:type="dxa"/>
            <w:tcBorders>
              <w:top w:val="nil"/>
              <w:left w:val="nil"/>
              <w:bottom w:val="nil"/>
              <w:right w:val="nil"/>
            </w:tcBorders>
            <w:shd w:val="clear" w:color="auto" w:fill="auto"/>
            <w:noWrap/>
            <w:vAlign w:val="bottom"/>
          </w:tcPr>
          <w:p w14:paraId="2252276E" w14:textId="0283B28E" w:rsidR="00A12F0F" w:rsidRPr="00990A8E" w:rsidRDefault="00A12F0F" w:rsidP="00D422A0">
            <w:pPr>
              <w:spacing w:after="0" w:line="240" w:lineRule="auto"/>
              <w:jc w:val="center"/>
              <w:rPr>
                <w:color w:val="000000"/>
                <w:sz w:val="22"/>
                <w:szCs w:val="22"/>
                <w:lang w:bidi="ar-SA"/>
              </w:rPr>
            </w:pPr>
            <w:r w:rsidRPr="00990A8E">
              <w:rPr>
                <w:color w:val="000000"/>
                <w:sz w:val="22"/>
                <w:szCs w:val="22"/>
              </w:rPr>
              <w:t>30.1%</w:t>
            </w:r>
          </w:p>
        </w:tc>
        <w:tc>
          <w:tcPr>
            <w:tcW w:w="1571" w:type="dxa"/>
            <w:tcBorders>
              <w:top w:val="nil"/>
              <w:left w:val="nil"/>
              <w:bottom w:val="nil"/>
              <w:right w:val="nil"/>
            </w:tcBorders>
            <w:shd w:val="clear" w:color="auto" w:fill="auto"/>
            <w:noWrap/>
            <w:vAlign w:val="bottom"/>
          </w:tcPr>
          <w:p w14:paraId="44BF69CC" w14:textId="0AEA3924" w:rsidR="00A12F0F" w:rsidRPr="00990A8E" w:rsidRDefault="00A12F0F" w:rsidP="00D422A0">
            <w:pPr>
              <w:spacing w:after="0" w:line="240" w:lineRule="auto"/>
              <w:jc w:val="center"/>
              <w:rPr>
                <w:color w:val="000000"/>
                <w:sz w:val="22"/>
                <w:szCs w:val="22"/>
                <w:lang w:bidi="ar-SA"/>
              </w:rPr>
            </w:pPr>
            <w:r w:rsidRPr="00990A8E">
              <w:rPr>
                <w:color w:val="000000"/>
                <w:sz w:val="22"/>
                <w:szCs w:val="22"/>
              </w:rPr>
              <w:t>0.729</w:t>
            </w:r>
          </w:p>
        </w:tc>
      </w:tr>
      <w:tr w:rsidR="00A12F0F" w:rsidRPr="001E5771" w14:paraId="5B5A5091" w14:textId="39F9FC32" w:rsidTr="005D739A">
        <w:trPr>
          <w:trHeight w:val="288"/>
        </w:trPr>
        <w:tc>
          <w:tcPr>
            <w:tcW w:w="2250" w:type="dxa"/>
            <w:tcBorders>
              <w:top w:val="nil"/>
              <w:left w:val="nil"/>
              <w:bottom w:val="nil"/>
              <w:right w:val="nil"/>
            </w:tcBorders>
            <w:vAlign w:val="bottom"/>
          </w:tcPr>
          <w:p w14:paraId="0DCA0A67"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New Jersey</w:t>
            </w:r>
          </w:p>
        </w:tc>
        <w:tc>
          <w:tcPr>
            <w:tcW w:w="1800" w:type="dxa"/>
            <w:tcBorders>
              <w:top w:val="nil"/>
              <w:left w:val="nil"/>
              <w:bottom w:val="nil"/>
              <w:right w:val="nil"/>
            </w:tcBorders>
            <w:shd w:val="clear" w:color="auto" w:fill="auto"/>
            <w:noWrap/>
            <w:vAlign w:val="bottom"/>
          </w:tcPr>
          <w:p w14:paraId="1AFDB982" w14:textId="39530B61" w:rsidR="00A12F0F" w:rsidRPr="00990A8E" w:rsidRDefault="00A12F0F" w:rsidP="00D422A0">
            <w:pPr>
              <w:spacing w:after="0" w:line="240" w:lineRule="auto"/>
              <w:jc w:val="center"/>
              <w:rPr>
                <w:color w:val="000000"/>
                <w:sz w:val="22"/>
                <w:szCs w:val="22"/>
                <w:lang w:bidi="ar-SA"/>
              </w:rPr>
            </w:pPr>
            <w:r w:rsidRPr="00990A8E">
              <w:rPr>
                <w:color w:val="000000"/>
                <w:sz w:val="22"/>
                <w:szCs w:val="22"/>
              </w:rPr>
              <w:t>80.5%</w:t>
            </w:r>
          </w:p>
        </w:tc>
        <w:tc>
          <w:tcPr>
            <w:tcW w:w="1530" w:type="dxa"/>
            <w:tcBorders>
              <w:top w:val="nil"/>
              <w:left w:val="nil"/>
              <w:bottom w:val="nil"/>
              <w:right w:val="nil"/>
            </w:tcBorders>
            <w:shd w:val="clear" w:color="auto" w:fill="auto"/>
            <w:noWrap/>
            <w:vAlign w:val="bottom"/>
          </w:tcPr>
          <w:p w14:paraId="12C26A86" w14:textId="25289C4C" w:rsidR="00A12F0F" w:rsidRPr="00990A8E" w:rsidRDefault="00A12F0F" w:rsidP="00D422A0">
            <w:pPr>
              <w:spacing w:after="0" w:line="240" w:lineRule="auto"/>
              <w:jc w:val="center"/>
              <w:rPr>
                <w:color w:val="000000"/>
                <w:sz w:val="22"/>
                <w:szCs w:val="22"/>
                <w:lang w:bidi="ar-SA"/>
              </w:rPr>
            </w:pPr>
            <w:r w:rsidRPr="00990A8E">
              <w:rPr>
                <w:color w:val="000000"/>
                <w:sz w:val="22"/>
                <w:szCs w:val="22"/>
              </w:rPr>
              <w:t>98.1%</w:t>
            </w:r>
          </w:p>
        </w:tc>
        <w:tc>
          <w:tcPr>
            <w:tcW w:w="1988" w:type="dxa"/>
            <w:tcBorders>
              <w:top w:val="nil"/>
              <w:left w:val="nil"/>
              <w:bottom w:val="nil"/>
              <w:right w:val="nil"/>
            </w:tcBorders>
            <w:shd w:val="clear" w:color="auto" w:fill="auto"/>
            <w:noWrap/>
            <w:vAlign w:val="bottom"/>
          </w:tcPr>
          <w:p w14:paraId="477D564B" w14:textId="11659B19" w:rsidR="00A12F0F" w:rsidRPr="00990A8E" w:rsidRDefault="00A12F0F" w:rsidP="00D422A0">
            <w:pPr>
              <w:spacing w:after="0" w:line="240" w:lineRule="auto"/>
              <w:jc w:val="center"/>
              <w:rPr>
                <w:color w:val="000000"/>
                <w:sz w:val="22"/>
                <w:szCs w:val="22"/>
                <w:lang w:bidi="ar-SA"/>
              </w:rPr>
            </w:pPr>
            <w:r w:rsidRPr="00990A8E">
              <w:rPr>
                <w:color w:val="000000"/>
                <w:sz w:val="22"/>
                <w:szCs w:val="22"/>
              </w:rPr>
              <w:t>28.3%</w:t>
            </w:r>
          </w:p>
        </w:tc>
        <w:tc>
          <w:tcPr>
            <w:tcW w:w="1571" w:type="dxa"/>
            <w:tcBorders>
              <w:top w:val="nil"/>
              <w:left w:val="nil"/>
              <w:bottom w:val="nil"/>
              <w:right w:val="nil"/>
            </w:tcBorders>
            <w:shd w:val="clear" w:color="auto" w:fill="auto"/>
            <w:noWrap/>
            <w:vAlign w:val="bottom"/>
          </w:tcPr>
          <w:p w14:paraId="2E645D41" w14:textId="569EDFE9" w:rsidR="00A12F0F" w:rsidRPr="00990A8E" w:rsidRDefault="00A12F0F" w:rsidP="00D422A0">
            <w:pPr>
              <w:spacing w:after="0" w:line="240" w:lineRule="auto"/>
              <w:jc w:val="center"/>
              <w:rPr>
                <w:color w:val="000000"/>
                <w:sz w:val="22"/>
                <w:szCs w:val="22"/>
                <w:lang w:bidi="ar-SA"/>
              </w:rPr>
            </w:pPr>
            <w:r w:rsidRPr="00990A8E">
              <w:rPr>
                <w:color w:val="000000"/>
                <w:sz w:val="22"/>
                <w:szCs w:val="22"/>
              </w:rPr>
              <w:t>0.654</w:t>
            </w:r>
          </w:p>
        </w:tc>
      </w:tr>
      <w:tr w:rsidR="00A12F0F" w:rsidRPr="001E5771" w14:paraId="251C72B4" w14:textId="0CDFA28B" w:rsidTr="005D739A">
        <w:trPr>
          <w:trHeight w:val="288"/>
        </w:trPr>
        <w:tc>
          <w:tcPr>
            <w:tcW w:w="2250" w:type="dxa"/>
            <w:tcBorders>
              <w:top w:val="nil"/>
              <w:left w:val="nil"/>
              <w:bottom w:val="nil"/>
              <w:right w:val="nil"/>
            </w:tcBorders>
            <w:vAlign w:val="bottom"/>
          </w:tcPr>
          <w:p w14:paraId="32D1AF3B"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New Mexico</w:t>
            </w:r>
          </w:p>
        </w:tc>
        <w:tc>
          <w:tcPr>
            <w:tcW w:w="1800" w:type="dxa"/>
            <w:tcBorders>
              <w:top w:val="nil"/>
              <w:left w:val="nil"/>
              <w:bottom w:val="nil"/>
              <w:right w:val="nil"/>
            </w:tcBorders>
            <w:shd w:val="clear" w:color="auto" w:fill="auto"/>
            <w:noWrap/>
            <w:vAlign w:val="bottom"/>
          </w:tcPr>
          <w:p w14:paraId="313C3B22" w14:textId="41E85411" w:rsidR="00A12F0F" w:rsidRPr="00990A8E" w:rsidRDefault="00A12F0F" w:rsidP="00D422A0">
            <w:pPr>
              <w:spacing w:after="0" w:line="240" w:lineRule="auto"/>
              <w:jc w:val="center"/>
              <w:rPr>
                <w:color w:val="000000"/>
                <w:sz w:val="22"/>
                <w:szCs w:val="22"/>
                <w:lang w:bidi="ar-SA"/>
              </w:rPr>
            </w:pPr>
            <w:r w:rsidRPr="00990A8E">
              <w:rPr>
                <w:color w:val="000000"/>
                <w:sz w:val="22"/>
                <w:szCs w:val="22"/>
              </w:rPr>
              <w:t>37.4%</w:t>
            </w:r>
          </w:p>
        </w:tc>
        <w:tc>
          <w:tcPr>
            <w:tcW w:w="1530" w:type="dxa"/>
            <w:tcBorders>
              <w:top w:val="nil"/>
              <w:left w:val="nil"/>
              <w:bottom w:val="nil"/>
              <w:right w:val="nil"/>
            </w:tcBorders>
            <w:shd w:val="clear" w:color="auto" w:fill="auto"/>
            <w:noWrap/>
            <w:vAlign w:val="bottom"/>
          </w:tcPr>
          <w:p w14:paraId="6EB552E0" w14:textId="2200C32A" w:rsidR="00A12F0F" w:rsidRPr="00990A8E" w:rsidRDefault="00A12F0F" w:rsidP="00D422A0">
            <w:pPr>
              <w:spacing w:after="0" w:line="240" w:lineRule="auto"/>
              <w:jc w:val="center"/>
              <w:rPr>
                <w:color w:val="000000"/>
                <w:sz w:val="22"/>
                <w:szCs w:val="22"/>
                <w:lang w:bidi="ar-SA"/>
              </w:rPr>
            </w:pPr>
            <w:r w:rsidRPr="00990A8E">
              <w:rPr>
                <w:color w:val="000000"/>
                <w:sz w:val="22"/>
                <w:szCs w:val="22"/>
              </w:rPr>
              <w:t>55.1%</w:t>
            </w:r>
          </w:p>
        </w:tc>
        <w:tc>
          <w:tcPr>
            <w:tcW w:w="1988" w:type="dxa"/>
            <w:tcBorders>
              <w:top w:val="nil"/>
              <w:left w:val="nil"/>
              <w:bottom w:val="nil"/>
              <w:right w:val="nil"/>
            </w:tcBorders>
            <w:shd w:val="clear" w:color="auto" w:fill="auto"/>
            <w:noWrap/>
            <w:vAlign w:val="bottom"/>
          </w:tcPr>
          <w:p w14:paraId="3D395F2D" w14:textId="01FBD9B1" w:rsidR="00A12F0F" w:rsidRPr="00990A8E" w:rsidRDefault="00A12F0F" w:rsidP="00D422A0">
            <w:pPr>
              <w:spacing w:after="0" w:line="240" w:lineRule="auto"/>
              <w:jc w:val="center"/>
              <w:rPr>
                <w:color w:val="000000"/>
                <w:sz w:val="22"/>
                <w:szCs w:val="22"/>
                <w:lang w:bidi="ar-SA"/>
              </w:rPr>
            </w:pPr>
            <w:r w:rsidRPr="00990A8E">
              <w:rPr>
                <w:color w:val="000000"/>
                <w:sz w:val="22"/>
                <w:szCs w:val="22"/>
              </w:rPr>
              <w:t>53.0%</w:t>
            </w:r>
          </w:p>
        </w:tc>
        <w:tc>
          <w:tcPr>
            <w:tcW w:w="1571" w:type="dxa"/>
            <w:tcBorders>
              <w:top w:val="nil"/>
              <w:left w:val="nil"/>
              <w:bottom w:val="nil"/>
              <w:right w:val="nil"/>
            </w:tcBorders>
            <w:shd w:val="clear" w:color="auto" w:fill="auto"/>
            <w:noWrap/>
            <w:vAlign w:val="bottom"/>
          </w:tcPr>
          <w:p w14:paraId="5D05084E" w14:textId="2800D293" w:rsidR="00A12F0F" w:rsidRPr="00990A8E" w:rsidRDefault="00A12F0F" w:rsidP="00D422A0">
            <w:pPr>
              <w:spacing w:after="0" w:line="240" w:lineRule="auto"/>
              <w:jc w:val="center"/>
              <w:rPr>
                <w:color w:val="000000"/>
                <w:sz w:val="22"/>
                <w:szCs w:val="22"/>
                <w:lang w:bidi="ar-SA"/>
              </w:rPr>
            </w:pPr>
            <w:r w:rsidRPr="00990A8E">
              <w:rPr>
                <w:color w:val="000000"/>
                <w:sz w:val="22"/>
                <w:szCs w:val="22"/>
              </w:rPr>
              <w:t>0.222</w:t>
            </w:r>
          </w:p>
        </w:tc>
      </w:tr>
      <w:tr w:rsidR="00A12F0F" w:rsidRPr="001E5771" w14:paraId="7350FFB8" w14:textId="02C2F458" w:rsidTr="005D739A">
        <w:trPr>
          <w:trHeight w:val="288"/>
        </w:trPr>
        <w:tc>
          <w:tcPr>
            <w:tcW w:w="2250" w:type="dxa"/>
            <w:tcBorders>
              <w:top w:val="nil"/>
              <w:left w:val="nil"/>
              <w:bottom w:val="nil"/>
              <w:right w:val="nil"/>
            </w:tcBorders>
            <w:vAlign w:val="bottom"/>
          </w:tcPr>
          <w:p w14:paraId="4F69191D"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New York</w:t>
            </w:r>
          </w:p>
        </w:tc>
        <w:tc>
          <w:tcPr>
            <w:tcW w:w="1800" w:type="dxa"/>
            <w:tcBorders>
              <w:top w:val="nil"/>
              <w:left w:val="nil"/>
              <w:bottom w:val="nil"/>
              <w:right w:val="nil"/>
            </w:tcBorders>
            <w:shd w:val="clear" w:color="auto" w:fill="auto"/>
            <w:noWrap/>
            <w:vAlign w:val="bottom"/>
          </w:tcPr>
          <w:p w14:paraId="0DF55072" w14:textId="08EDE320" w:rsidR="00A12F0F" w:rsidRPr="00990A8E" w:rsidRDefault="00A12F0F" w:rsidP="00D422A0">
            <w:pPr>
              <w:spacing w:after="0" w:line="240" w:lineRule="auto"/>
              <w:jc w:val="center"/>
              <w:rPr>
                <w:color w:val="000000"/>
                <w:sz w:val="22"/>
                <w:szCs w:val="22"/>
                <w:lang w:bidi="ar-SA"/>
              </w:rPr>
            </w:pPr>
            <w:r w:rsidRPr="00990A8E">
              <w:rPr>
                <w:color w:val="000000"/>
                <w:sz w:val="22"/>
                <w:szCs w:val="22"/>
              </w:rPr>
              <w:t>45.8%</w:t>
            </w:r>
          </w:p>
        </w:tc>
        <w:tc>
          <w:tcPr>
            <w:tcW w:w="1530" w:type="dxa"/>
            <w:tcBorders>
              <w:top w:val="nil"/>
              <w:left w:val="nil"/>
              <w:bottom w:val="nil"/>
              <w:right w:val="nil"/>
            </w:tcBorders>
            <w:shd w:val="clear" w:color="auto" w:fill="auto"/>
            <w:noWrap/>
            <w:vAlign w:val="bottom"/>
          </w:tcPr>
          <w:p w14:paraId="171BCFE7" w14:textId="124BD48A" w:rsidR="00A12F0F" w:rsidRPr="00990A8E" w:rsidRDefault="00A12F0F" w:rsidP="00D422A0">
            <w:pPr>
              <w:spacing w:after="0" w:line="240" w:lineRule="auto"/>
              <w:jc w:val="center"/>
              <w:rPr>
                <w:color w:val="000000"/>
                <w:sz w:val="22"/>
                <w:szCs w:val="22"/>
                <w:lang w:bidi="ar-SA"/>
              </w:rPr>
            </w:pPr>
            <w:r w:rsidRPr="00990A8E">
              <w:rPr>
                <w:color w:val="000000"/>
                <w:sz w:val="22"/>
                <w:szCs w:val="22"/>
              </w:rPr>
              <w:t>58.8%</w:t>
            </w:r>
          </w:p>
        </w:tc>
        <w:tc>
          <w:tcPr>
            <w:tcW w:w="1988" w:type="dxa"/>
            <w:tcBorders>
              <w:top w:val="nil"/>
              <w:left w:val="nil"/>
              <w:bottom w:val="nil"/>
              <w:right w:val="nil"/>
            </w:tcBorders>
            <w:shd w:val="clear" w:color="auto" w:fill="auto"/>
            <w:noWrap/>
            <w:vAlign w:val="bottom"/>
          </w:tcPr>
          <w:p w14:paraId="21038405" w14:textId="35DB09FB" w:rsidR="00A12F0F" w:rsidRPr="00990A8E" w:rsidRDefault="00A12F0F" w:rsidP="00D422A0">
            <w:pPr>
              <w:spacing w:after="0" w:line="240" w:lineRule="auto"/>
              <w:jc w:val="center"/>
              <w:rPr>
                <w:color w:val="000000"/>
                <w:sz w:val="22"/>
                <w:szCs w:val="22"/>
                <w:lang w:bidi="ar-SA"/>
              </w:rPr>
            </w:pPr>
            <w:r w:rsidRPr="00990A8E">
              <w:rPr>
                <w:color w:val="000000"/>
                <w:sz w:val="22"/>
                <w:szCs w:val="22"/>
              </w:rPr>
              <w:t>34.4%</w:t>
            </w:r>
          </w:p>
        </w:tc>
        <w:tc>
          <w:tcPr>
            <w:tcW w:w="1571" w:type="dxa"/>
            <w:tcBorders>
              <w:top w:val="nil"/>
              <w:left w:val="nil"/>
              <w:bottom w:val="nil"/>
              <w:right w:val="nil"/>
            </w:tcBorders>
            <w:shd w:val="clear" w:color="auto" w:fill="auto"/>
            <w:noWrap/>
            <w:vAlign w:val="bottom"/>
          </w:tcPr>
          <w:p w14:paraId="1EEC8903" w14:textId="429B1E94" w:rsidR="00A12F0F" w:rsidRPr="00990A8E" w:rsidRDefault="00A12F0F" w:rsidP="00D422A0">
            <w:pPr>
              <w:spacing w:after="0" w:line="240" w:lineRule="auto"/>
              <w:jc w:val="center"/>
              <w:rPr>
                <w:color w:val="000000"/>
                <w:sz w:val="22"/>
                <w:szCs w:val="22"/>
                <w:lang w:bidi="ar-SA"/>
              </w:rPr>
            </w:pPr>
            <w:r w:rsidRPr="00990A8E">
              <w:rPr>
                <w:color w:val="000000"/>
                <w:sz w:val="22"/>
                <w:szCs w:val="22"/>
              </w:rPr>
              <w:t>0.245</w:t>
            </w:r>
          </w:p>
        </w:tc>
      </w:tr>
      <w:tr w:rsidR="00A12F0F" w:rsidRPr="001E5771" w14:paraId="77E39A52" w14:textId="6E2E0BF3" w:rsidTr="005D739A">
        <w:trPr>
          <w:trHeight w:val="288"/>
        </w:trPr>
        <w:tc>
          <w:tcPr>
            <w:tcW w:w="2250" w:type="dxa"/>
            <w:tcBorders>
              <w:top w:val="nil"/>
              <w:left w:val="nil"/>
              <w:bottom w:val="nil"/>
              <w:right w:val="nil"/>
            </w:tcBorders>
            <w:vAlign w:val="bottom"/>
          </w:tcPr>
          <w:p w14:paraId="056F2890"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North Carolina</w:t>
            </w:r>
          </w:p>
        </w:tc>
        <w:tc>
          <w:tcPr>
            <w:tcW w:w="1800" w:type="dxa"/>
            <w:tcBorders>
              <w:top w:val="nil"/>
              <w:left w:val="nil"/>
              <w:bottom w:val="nil"/>
              <w:right w:val="nil"/>
            </w:tcBorders>
            <w:shd w:val="clear" w:color="auto" w:fill="auto"/>
            <w:noWrap/>
            <w:vAlign w:val="bottom"/>
          </w:tcPr>
          <w:p w14:paraId="1473D363" w14:textId="292EF906" w:rsidR="00A12F0F" w:rsidRPr="00990A8E" w:rsidRDefault="00A12F0F" w:rsidP="00D422A0">
            <w:pPr>
              <w:spacing w:after="0" w:line="240" w:lineRule="auto"/>
              <w:jc w:val="center"/>
              <w:rPr>
                <w:color w:val="000000"/>
                <w:sz w:val="22"/>
                <w:szCs w:val="22"/>
                <w:lang w:bidi="ar-SA"/>
              </w:rPr>
            </w:pPr>
            <w:r w:rsidRPr="00990A8E">
              <w:rPr>
                <w:color w:val="000000"/>
                <w:sz w:val="22"/>
                <w:szCs w:val="22"/>
              </w:rPr>
              <w:t>46.6%</w:t>
            </w:r>
          </w:p>
        </w:tc>
        <w:tc>
          <w:tcPr>
            <w:tcW w:w="1530" w:type="dxa"/>
            <w:tcBorders>
              <w:top w:val="nil"/>
              <w:left w:val="nil"/>
              <w:bottom w:val="nil"/>
              <w:right w:val="nil"/>
            </w:tcBorders>
            <w:shd w:val="clear" w:color="auto" w:fill="auto"/>
            <w:noWrap/>
            <w:vAlign w:val="bottom"/>
          </w:tcPr>
          <w:p w14:paraId="3A8143D9" w14:textId="0225610B" w:rsidR="00A12F0F" w:rsidRPr="00990A8E" w:rsidRDefault="00A12F0F" w:rsidP="00D422A0">
            <w:pPr>
              <w:spacing w:after="0" w:line="240" w:lineRule="auto"/>
              <w:jc w:val="center"/>
              <w:rPr>
                <w:color w:val="000000"/>
                <w:sz w:val="22"/>
                <w:szCs w:val="22"/>
                <w:lang w:bidi="ar-SA"/>
              </w:rPr>
            </w:pPr>
            <w:r w:rsidRPr="00990A8E">
              <w:rPr>
                <w:color w:val="000000"/>
                <w:sz w:val="22"/>
                <w:szCs w:val="22"/>
              </w:rPr>
              <w:t>75.8%</w:t>
            </w:r>
          </w:p>
        </w:tc>
        <w:tc>
          <w:tcPr>
            <w:tcW w:w="1988" w:type="dxa"/>
            <w:tcBorders>
              <w:top w:val="nil"/>
              <w:left w:val="nil"/>
              <w:bottom w:val="nil"/>
              <w:right w:val="nil"/>
            </w:tcBorders>
            <w:shd w:val="clear" w:color="auto" w:fill="auto"/>
            <w:noWrap/>
            <w:vAlign w:val="bottom"/>
          </w:tcPr>
          <w:p w14:paraId="0C14AF3B" w14:textId="2F1AC23F" w:rsidR="00A12F0F" w:rsidRPr="00990A8E" w:rsidRDefault="00A12F0F" w:rsidP="00D422A0">
            <w:pPr>
              <w:spacing w:after="0" w:line="240" w:lineRule="auto"/>
              <w:jc w:val="center"/>
              <w:rPr>
                <w:color w:val="000000"/>
                <w:sz w:val="22"/>
                <w:szCs w:val="22"/>
                <w:lang w:bidi="ar-SA"/>
              </w:rPr>
            </w:pPr>
            <w:r w:rsidRPr="00990A8E">
              <w:rPr>
                <w:color w:val="000000"/>
                <w:sz w:val="22"/>
                <w:szCs w:val="22"/>
              </w:rPr>
              <w:t>41.8%</w:t>
            </w:r>
          </w:p>
        </w:tc>
        <w:tc>
          <w:tcPr>
            <w:tcW w:w="1571" w:type="dxa"/>
            <w:tcBorders>
              <w:top w:val="nil"/>
              <w:left w:val="nil"/>
              <w:bottom w:val="nil"/>
              <w:right w:val="nil"/>
            </w:tcBorders>
            <w:shd w:val="clear" w:color="auto" w:fill="auto"/>
            <w:noWrap/>
            <w:vAlign w:val="bottom"/>
          </w:tcPr>
          <w:p w14:paraId="10932448" w14:textId="53F0F10D" w:rsidR="00A12F0F" w:rsidRPr="00990A8E" w:rsidRDefault="00A12F0F" w:rsidP="00D422A0">
            <w:pPr>
              <w:spacing w:after="0" w:line="240" w:lineRule="auto"/>
              <w:jc w:val="center"/>
              <w:rPr>
                <w:color w:val="000000"/>
                <w:sz w:val="22"/>
                <w:szCs w:val="22"/>
                <w:lang w:bidi="ar-SA"/>
              </w:rPr>
            </w:pPr>
            <w:r w:rsidRPr="00990A8E">
              <w:rPr>
                <w:color w:val="000000"/>
                <w:sz w:val="22"/>
                <w:szCs w:val="22"/>
              </w:rPr>
              <w:t>0.262</w:t>
            </w:r>
          </w:p>
        </w:tc>
      </w:tr>
      <w:tr w:rsidR="00A12F0F" w:rsidRPr="001E5771" w14:paraId="5E7EF1EC" w14:textId="077E64B6" w:rsidTr="005D739A">
        <w:trPr>
          <w:trHeight w:val="288"/>
        </w:trPr>
        <w:tc>
          <w:tcPr>
            <w:tcW w:w="2250" w:type="dxa"/>
            <w:tcBorders>
              <w:top w:val="nil"/>
              <w:left w:val="nil"/>
              <w:bottom w:val="nil"/>
              <w:right w:val="nil"/>
            </w:tcBorders>
            <w:vAlign w:val="bottom"/>
          </w:tcPr>
          <w:p w14:paraId="71A43685"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North Dakota</w:t>
            </w:r>
          </w:p>
        </w:tc>
        <w:tc>
          <w:tcPr>
            <w:tcW w:w="1800" w:type="dxa"/>
            <w:tcBorders>
              <w:top w:val="nil"/>
              <w:left w:val="nil"/>
              <w:bottom w:val="nil"/>
              <w:right w:val="nil"/>
            </w:tcBorders>
            <w:shd w:val="clear" w:color="auto" w:fill="auto"/>
            <w:noWrap/>
            <w:vAlign w:val="bottom"/>
          </w:tcPr>
          <w:p w14:paraId="43CC7A89" w14:textId="0A143014" w:rsidR="00A12F0F" w:rsidRPr="00990A8E" w:rsidRDefault="00A12F0F" w:rsidP="00D422A0">
            <w:pPr>
              <w:spacing w:after="0" w:line="240" w:lineRule="auto"/>
              <w:jc w:val="center"/>
              <w:rPr>
                <w:color w:val="000000"/>
                <w:sz w:val="22"/>
                <w:szCs w:val="22"/>
                <w:lang w:bidi="ar-SA"/>
              </w:rPr>
            </w:pPr>
            <w:r w:rsidRPr="00990A8E">
              <w:rPr>
                <w:color w:val="000000"/>
                <w:sz w:val="22"/>
                <w:szCs w:val="22"/>
              </w:rPr>
              <w:t>47.2%</w:t>
            </w:r>
          </w:p>
        </w:tc>
        <w:tc>
          <w:tcPr>
            <w:tcW w:w="1530" w:type="dxa"/>
            <w:tcBorders>
              <w:top w:val="nil"/>
              <w:left w:val="nil"/>
              <w:bottom w:val="nil"/>
              <w:right w:val="nil"/>
            </w:tcBorders>
            <w:shd w:val="clear" w:color="auto" w:fill="auto"/>
            <w:noWrap/>
            <w:vAlign w:val="bottom"/>
          </w:tcPr>
          <w:p w14:paraId="1685BB1B" w14:textId="6F088B3B" w:rsidR="00A12F0F" w:rsidRPr="00990A8E" w:rsidRDefault="00A12F0F" w:rsidP="00D422A0">
            <w:pPr>
              <w:spacing w:after="0" w:line="240" w:lineRule="auto"/>
              <w:jc w:val="center"/>
              <w:rPr>
                <w:color w:val="000000"/>
                <w:sz w:val="22"/>
                <w:szCs w:val="22"/>
                <w:lang w:bidi="ar-SA"/>
              </w:rPr>
            </w:pPr>
            <w:r w:rsidRPr="00990A8E">
              <w:rPr>
                <w:color w:val="000000"/>
                <w:sz w:val="22"/>
                <w:szCs w:val="22"/>
              </w:rPr>
              <w:t>76.6%</w:t>
            </w:r>
          </w:p>
        </w:tc>
        <w:tc>
          <w:tcPr>
            <w:tcW w:w="1988" w:type="dxa"/>
            <w:tcBorders>
              <w:top w:val="nil"/>
              <w:left w:val="nil"/>
              <w:bottom w:val="nil"/>
              <w:right w:val="nil"/>
            </w:tcBorders>
            <w:shd w:val="clear" w:color="auto" w:fill="auto"/>
            <w:noWrap/>
            <w:vAlign w:val="bottom"/>
          </w:tcPr>
          <w:p w14:paraId="2367AC6A" w14:textId="309AB01F" w:rsidR="00A12F0F" w:rsidRPr="00990A8E" w:rsidRDefault="00A12F0F" w:rsidP="00D422A0">
            <w:pPr>
              <w:spacing w:after="0" w:line="240" w:lineRule="auto"/>
              <w:jc w:val="center"/>
              <w:rPr>
                <w:color w:val="000000"/>
                <w:sz w:val="22"/>
                <w:szCs w:val="22"/>
                <w:lang w:bidi="ar-SA"/>
              </w:rPr>
            </w:pPr>
            <w:r w:rsidRPr="00990A8E">
              <w:rPr>
                <w:color w:val="000000"/>
                <w:sz w:val="22"/>
                <w:szCs w:val="22"/>
              </w:rPr>
              <w:t>48.0%</w:t>
            </w:r>
          </w:p>
        </w:tc>
        <w:tc>
          <w:tcPr>
            <w:tcW w:w="1571" w:type="dxa"/>
            <w:tcBorders>
              <w:top w:val="nil"/>
              <w:left w:val="nil"/>
              <w:bottom w:val="nil"/>
              <w:right w:val="nil"/>
            </w:tcBorders>
            <w:shd w:val="clear" w:color="auto" w:fill="auto"/>
            <w:noWrap/>
            <w:vAlign w:val="bottom"/>
          </w:tcPr>
          <w:p w14:paraId="5B4E1B6C" w14:textId="5D5C5F08" w:rsidR="00A12F0F" w:rsidRPr="00990A8E" w:rsidRDefault="00A12F0F" w:rsidP="00D422A0">
            <w:pPr>
              <w:spacing w:after="0" w:line="240" w:lineRule="auto"/>
              <w:jc w:val="center"/>
              <w:rPr>
                <w:color w:val="000000"/>
                <w:sz w:val="22"/>
                <w:szCs w:val="22"/>
                <w:lang w:bidi="ar-SA"/>
              </w:rPr>
            </w:pPr>
            <w:r w:rsidRPr="00990A8E">
              <w:rPr>
                <w:color w:val="000000"/>
                <w:sz w:val="22"/>
                <w:szCs w:val="22"/>
              </w:rPr>
              <w:t>0.256</w:t>
            </w:r>
          </w:p>
        </w:tc>
      </w:tr>
      <w:tr w:rsidR="00A12F0F" w:rsidRPr="001E5771" w14:paraId="3A9B8764" w14:textId="378CBC6C" w:rsidTr="005D739A">
        <w:trPr>
          <w:trHeight w:val="288"/>
        </w:trPr>
        <w:tc>
          <w:tcPr>
            <w:tcW w:w="2250" w:type="dxa"/>
            <w:tcBorders>
              <w:top w:val="nil"/>
              <w:left w:val="nil"/>
              <w:bottom w:val="nil"/>
              <w:right w:val="nil"/>
            </w:tcBorders>
            <w:vAlign w:val="bottom"/>
          </w:tcPr>
          <w:p w14:paraId="4713D5F5"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Ohio</w:t>
            </w:r>
          </w:p>
        </w:tc>
        <w:tc>
          <w:tcPr>
            <w:tcW w:w="1800" w:type="dxa"/>
            <w:tcBorders>
              <w:top w:val="nil"/>
              <w:left w:val="nil"/>
              <w:bottom w:val="nil"/>
              <w:right w:val="nil"/>
            </w:tcBorders>
            <w:shd w:val="clear" w:color="auto" w:fill="auto"/>
            <w:noWrap/>
            <w:vAlign w:val="bottom"/>
          </w:tcPr>
          <w:p w14:paraId="5F03EF12" w14:textId="43851B06" w:rsidR="00A12F0F" w:rsidRPr="00990A8E" w:rsidRDefault="00A12F0F" w:rsidP="00D422A0">
            <w:pPr>
              <w:spacing w:after="0" w:line="240" w:lineRule="auto"/>
              <w:jc w:val="center"/>
              <w:rPr>
                <w:color w:val="000000"/>
                <w:sz w:val="22"/>
                <w:szCs w:val="22"/>
                <w:lang w:bidi="ar-SA"/>
              </w:rPr>
            </w:pPr>
            <w:r w:rsidRPr="00990A8E">
              <w:rPr>
                <w:color w:val="000000"/>
                <w:sz w:val="22"/>
                <w:szCs w:val="22"/>
              </w:rPr>
              <w:t>45.4%</w:t>
            </w:r>
          </w:p>
        </w:tc>
        <w:tc>
          <w:tcPr>
            <w:tcW w:w="1530" w:type="dxa"/>
            <w:tcBorders>
              <w:top w:val="nil"/>
              <w:left w:val="nil"/>
              <w:bottom w:val="nil"/>
              <w:right w:val="nil"/>
            </w:tcBorders>
            <w:shd w:val="clear" w:color="auto" w:fill="auto"/>
            <w:noWrap/>
            <w:vAlign w:val="bottom"/>
          </w:tcPr>
          <w:p w14:paraId="34F761ED" w14:textId="35D24508" w:rsidR="00A12F0F" w:rsidRPr="00990A8E" w:rsidRDefault="00A12F0F" w:rsidP="00D422A0">
            <w:pPr>
              <w:spacing w:after="0" w:line="240" w:lineRule="auto"/>
              <w:jc w:val="center"/>
              <w:rPr>
                <w:color w:val="000000"/>
                <w:sz w:val="22"/>
                <w:szCs w:val="22"/>
                <w:lang w:bidi="ar-SA"/>
              </w:rPr>
            </w:pPr>
            <w:r w:rsidRPr="00990A8E">
              <w:rPr>
                <w:color w:val="000000"/>
                <w:sz w:val="22"/>
                <w:szCs w:val="22"/>
              </w:rPr>
              <w:t>65.2%</w:t>
            </w:r>
          </w:p>
        </w:tc>
        <w:tc>
          <w:tcPr>
            <w:tcW w:w="1988" w:type="dxa"/>
            <w:tcBorders>
              <w:top w:val="nil"/>
              <w:left w:val="nil"/>
              <w:bottom w:val="nil"/>
              <w:right w:val="nil"/>
            </w:tcBorders>
            <w:shd w:val="clear" w:color="auto" w:fill="auto"/>
            <w:noWrap/>
            <w:vAlign w:val="bottom"/>
          </w:tcPr>
          <w:p w14:paraId="11749984" w14:textId="396368CF" w:rsidR="00A12F0F" w:rsidRPr="00990A8E" w:rsidRDefault="00A12F0F" w:rsidP="00D422A0">
            <w:pPr>
              <w:spacing w:after="0" w:line="240" w:lineRule="auto"/>
              <w:jc w:val="center"/>
              <w:rPr>
                <w:color w:val="000000"/>
                <w:sz w:val="22"/>
                <w:szCs w:val="22"/>
                <w:lang w:bidi="ar-SA"/>
              </w:rPr>
            </w:pPr>
            <w:r w:rsidRPr="00990A8E">
              <w:rPr>
                <w:color w:val="000000"/>
                <w:sz w:val="22"/>
                <w:szCs w:val="22"/>
              </w:rPr>
              <w:t>38.5%</w:t>
            </w:r>
          </w:p>
        </w:tc>
        <w:tc>
          <w:tcPr>
            <w:tcW w:w="1571" w:type="dxa"/>
            <w:tcBorders>
              <w:top w:val="nil"/>
              <w:left w:val="nil"/>
              <w:bottom w:val="nil"/>
              <w:right w:val="nil"/>
            </w:tcBorders>
            <w:shd w:val="clear" w:color="auto" w:fill="auto"/>
            <w:noWrap/>
            <w:vAlign w:val="bottom"/>
          </w:tcPr>
          <w:p w14:paraId="41321D51" w14:textId="3BB6918B" w:rsidR="00A12F0F" w:rsidRPr="00990A8E" w:rsidRDefault="00A12F0F" w:rsidP="00D422A0">
            <w:pPr>
              <w:spacing w:after="0" w:line="240" w:lineRule="auto"/>
              <w:jc w:val="center"/>
              <w:rPr>
                <w:color w:val="000000"/>
                <w:sz w:val="22"/>
                <w:szCs w:val="22"/>
                <w:lang w:bidi="ar-SA"/>
              </w:rPr>
            </w:pPr>
            <w:r w:rsidRPr="00990A8E">
              <w:rPr>
                <w:color w:val="000000"/>
                <w:sz w:val="22"/>
                <w:szCs w:val="22"/>
              </w:rPr>
              <w:t>0.247</w:t>
            </w:r>
          </w:p>
        </w:tc>
      </w:tr>
      <w:tr w:rsidR="00A12F0F" w:rsidRPr="001E5771" w14:paraId="69A5A733" w14:textId="0D23813B" w:rsidTr="005D739A">
        <w:trPr>
          <w:trHeight w:val="288"/>
        </w:trPr>
        <w:tc>
          <w:tcPr>
            <w:tcW w:w="2250" w:type="dxa"/>
            <w:tcBorders>
              <w:top w:val="nil"/>
              <w:left w:val="nil"/>
              <w:bottom w:val="nil"/>
              <w:right w:val="nil"/>
            </w:tcBorders>
            <w:vAlign w:val="bottom"/>
          </w:tcPr>
          <w:p w14:paraId="7BA5CE6F"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Oklahoma</w:t>
            </w:r>
          </w:p>
        </w:tc>
        <w:tc>
          <w:tcPr>
            <w:tcW w:w="1800" w:type="dxa"/>
            <w:tcBorders>
              <w:top w:val="nil"/>
              <w:left w:val="nil"/>
              <w:bottom w:val="nil"/>
              <w:right w:val="nil"/>
            </w:tcBorders>
            <w:shd w:val="clear" w:color="auto" w:fill="auto"/>
            <w:noWrap/>
            <w:vAlign w:val="bottom"/>
          </w:tcPr>
          <w:p w14:paraId="22ED60A0" w14:textId="646A9204" w:rsidR="00A12F0F" w:rsidRPr="00990A8E" w:rsidRDefault="00A12F0F" w:rsidP="00D422A0">
            <w:pPr>
              <w:spacing w:after="0" w:line="240" w:lineRule="auto"/>
              <w:jc w:val="center"/>
              <w:rPr>
                <w:color w:val="000000"/>
                <w:sz w:val="22"/>
                <w:szCs w:val="22"/>
                <w:lang w:bidi="ar-SA"/>
              </w:rPr>
            </w:pPr>
            <w:r w:rsidRPr="00990A8E">
              <w:rPr>
                <w:color w:val="000000"/>
                <w:sz w:val="22"/>
                <w:szCs w:val="22"/>
              </w:rPr>
              <w:t>30.4%</w:t>
            </w:r>
          </w:p>
        </w:tc>
        <w:tc>
          <w:tcPr>
            <w:tcW w:w="1530" w:type="dxa"/>
            <w:tcBorders>
              <w:top w:val="nil"/>
              <w:left w:val="nil"/>
              <w:bottom w:val="nil"/>
              <w:right w:val="nil"/>
            </w:tcBorders>
            <w:shd w:val="clear" w:color="auto" w:fill="auto"/>
            <w:noWrap/>
            <w:vAlign w:val="bottom"/>
          </w:tcPr>
          <w:p w14:paraId="07A0ADF9" w14:textId="5EAF125B" w:rsidR="00A12F0F" w:rsidRPr="00990A8E" w:rsidRDefault="00A12F0F" w:rsidP="00D422A0">
            <w:pPr>
              <w:spacing w:after="0" w:line="240" w:lineRule="auto"/>
              <w:jc w:val="center"/>
              <w:rPr>
                <w:color w:val="000000"/>
                <w:sz w:val="22"/>
                <w:szCs w:val="22"/>
                <w:lang w:bidi="ar-SA"/>
              </w:rPr>
            </w:pPr>
            <w:r w:rsidRPr="00990A8E">
              <w:rPr>
                <w:color w:val="000000"/>
                <w:sz w:val="22"/>
                <w:szCs w:val="22"/>
              </w:rPr>
              <w:t>51.1%</w:t>
            </w:r>
          </w:p>
        </w:tc>
        <w:tc>
          <w:tcPr>
            <w:tcW w:w="1988" w:type="dxa"/>
            <w:tcBorders>
              <w:top w:val="nil"/>
              <w:left w:val="nil"/>
              <w:bottom w:val="nil"/>
              <w:right w:val="nil"/>
            </w:tcBorders>
            <w:shd w:val="clear" w:color="auto" w:fill="auto"/>
            <w:noWrap/>
            <w:vAlign w:val="bottom"/>
          </w:tcPr>
          <w:p w14:paraId="3A3EE6C0" w14:textId="35B894FB" w:rsidR="00A12F0F" w:rsidRPr="00990A8E" w:rsidRDefault="00A12F0F" w:rsidP="00D422A0">
            <w:pPr>
              <w:spacing w:after="0" w:line="240" w:lineRule="auto"/>
              <w:jc w:val="center"/>
              <w:rPr>
                <w:color w:val="000000"/>
                <w:sz w:val="22"/>
                <w:szCs w:val="22"/>
                <w:lang w:bidi="ar-SA"/>
              </w:rPr>
            </w:pPr>
            <w:r w:rsidRPr="00990A8E">
              <w:rPr>
                <w:color w:val="000000"/>
                <w:sz w:val="22"/>
                <w:szCs w:val="22"/>
              </w:rPr>
              <w:t>35.4%</w:t>
            </w:r>
          </w:p>
        </w:tc>
        <w:tc>
          <w:tcPr>
            <w:tcW w:w="1571" w:type="dxa"/>
            <w:tcBorders>
              <w:top w:val="nil"/>
              <w:left w:val="nil"/>
              <w:bottom w:val="nil"/>
              <w:right w:val="nil"/>
            </w:tcBorders>
            <w:shd w:val="clear" w:color="auto" w:fill="auto"/>
            <w:noWrap/>
            <w:vAlign w:val="bottom"/>
          </w:tcPr>
          <w:p w14:paraId="1A271D8F" w14:textId="65FA60F4" w:rsidR="00A12F0F" w:rsidRPr="00990A8E" w:rsidRDefault="00A12F0F" w:rsidP="00D422A0">
            <w:pPr>
              <w:spacing w:after="0" w:line="240" w:lineRule="auto"/>
              <w:jc w:val="center"/>
              <w:rPr>
                <w:color w:val="000000"/>
                <w:sz w:val="22"/>
                <w:szCs w:val="22"/>
                <w:lang w:bidi="ar-SA"/>
              </w:rPr>
            </w:pPr>
            <w:r w:rsidRPr="00990A8E">
              <w:rPr>
                <w:color w:val="000000"/>
                <w:sz w:val="22"/>
                <w:szCs w:val="22"/>
              </w:rPr>
              <w:t>0.188</w:t>
            </w:r>
          </w:p>
        </w:tc>
      </w:tr>
      <w:tr w:rsidR="00A12F0F" w:rsidRPr="001E5771" w14:paraId="519DF63F" w14:textId="6CE0CD31" w:rsidTr="005D739A">
        <w:trPr>
          <w:trHeight w:val="288"/>
        </w:trPr>
        <w:tc>
          <w:tcPr>
            <w:tcW w:w="2250" w:type="dxa"/>
            <w:tcBorders>
              <w:top w:val="nil"/>
              <w:left w:val="nil"/>
              <w:bottom w:val="nil"/>
              <w:right w:val="nil"/>
            </w:tcBorders>
            <w:vAlign w:val="bottom"/>
          </w:tcPr>
          <w:p w14:paraId="130C4ED5"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Oregon</w:t>
            </w:r>
          </w:p>
        </w:tc>
        <w:tc>
          <w:tcPr>
            <w:tcW w:w="1800" w:type="dxa"/>
            <w:tcBorders>
              <w:top w:val="nil"/>
              <w:left w:val="nil"/>
              <w:bottom w:val="nil"/>
              <w:right w:val="nil"/>
            </w:tcBorders>
            <w:shd w:val="clear" w:color="auto" w:fill="auto"/>
            <w:noWrap/>
            <w:vAlign w:val="bottom"/>
          </w:tcPr>
          <w:p w14:paraId="5A390C28" w14:textId="67707F50" w:rsidR="00A12F0F" w:rsidRPr="00990A8E" w:rsidRDefault="00A12F0F" w:rsidP="00D422A0">
            <w:pPr>
              <w:spacing w:after="0" w:line="240" w:lineRule="auto"/>
              <w:jc w:val="center"/>
              <w:rPr>
                <w:color w:val="000000"/>
                <w:sz w:val="22"/>
                <w:szCs w:val="22"/>
                <w:lang w:bidi="ar-SA"/>
              </w:rPr>
            </w:pPr>
            <w:r w:rsidRPr="00990A8E">
              <w:rPr>
                <w:color w:val="000000"/>
                <w:sz w:val="22"/>
                <w:szCs w:val="22"/>
              </w:rPr>
              <w:t>55.8%</w:t>
            </w:r>
          </w:p>
        </w:tc>
        <w:tc>
          <w:tcPr>
            <w:tcW w:w="1530" w:type="dxa"/>
            <w:tcBorders>
              <w:top w:val="nil"/>
              <w:left w:val="nil"/>
              <w:bottom w:val="nil"/>
              <w:right w:val="nil"/>
            </w:tcBorders>
            <w:shd w:val="clear" w:color="auto" w:fill="auto"/>
            <w:noWrap/>
            <w:vAlign w:val="bottom"/>
          </w:tcPr>
          <w:p w14:paraId="59943F02" w14:textId="7D600DB6" w:rsidR="00A12F0F" w:rsidRPr="00990A8E" w:rsidRDefault="00A12F0F" w:rsidP="00D422A0">
            <w:pPr>
              <w:spacing w:after="0" w:line="240" w:lineRule="auto"/>
              <w:jc w:val="center"/>
              <w:rPr>
                <w:color w:val="000000"/>
                <w:sz w:val="22"/>
                <w:szCs w:val="22"/>
                <w:lang w:bidi="ar-SA"/>
              </w:rPr>
            </w:pPr>
            <w:r w:rsidRPr="00990A8E">
              <w:rPr>
                <w:color w:val="000000"/>
                <w:sz w:val="22"/>
                <w:szCs w:val="22"/>
              </w:rPr>
              <w:t>85.6%</w:t>
            </w:r>
          </w:p>
        </w:tc>
        <w:tc>
          <w:tcPr>
            <w:tcW w:w="1988" w:type="dxa"/>
            <w:tcBorders>
              <w:top w:val="nil"/>
              <w:left w:val="nil"/>
              <w:bottom w:val="nil"/>
              <w:right w:val="nil"/>
            </w:tcBorders>
            <w:shd w:val="clear" w:color="auto" w:fill="auto"/>
            <w:noWrap/>
            <w:vAlign w:val="bottom"/>
          </w:tcPr>
          <w:p w14:paraId="27421FD2" w14:textId="05383B7A" w:rsidR="00A12F0F" w:rsidRPr="00990A8E" w:rsidRDefault="00A12F0F" w:rsidP="00D422A0">
            <w:pPr>
              <w:spacing w:after="0" w:line="240" w:lineRule="auto"/>
              <w:jc w:val="center"/>
              <w:rPr>
                <w:color w:val="000000"/>
                <w:sz w:val="22"/>
                <w:szCs w:val="22"/>
                <w:lang w:bidi="ar-SA"/>
              </w:rPr>
            </w:pPr>
            <w:r w:rsidRPr="00990A8E">
              <w:rPr>
                <w:color w:val="000000"/>
                <w:sz w:val="22"/>
                <w:szCs w:val="22"/>
              </w:rPr>
              <w:t>41.6%</w:t>
            </w:r>
          </w:p>
        </w:tc>
        <w:tc>
          <w:tcPr>
            <w:tcW w:w="1571" w:type="dxa"/>
            <w:tcBorders>
              <w:top w:val="nil"/>
              <w:left w:val="nil"/>
              <w:bottom w:val="nil"/>
              <w:right w:val="nil"/>
            </w:tcBorders>
            <w:shd w:val="clear" w:color="auto" w:fill="auto"/>
            <w:noWrap/>
            <w:vAlign w:val="bottom"/>
          </w:tcPr>
          <w:p w14:paraId="2ECB8AF0" w14:textId="51665A37" w:rsidR="00A12F0F" w:rsidRPr="00990A8E" w:rsidRDefault="00A12F0F" w:rsidP="00D422A0">
            <w:pPr>
              <w:spacing w:after="0" w:line="240" w:lineRule="auto"/>
              <w:jc w:val="center"/>
              <w:rPr>
                <w:color w:val="000000"/>
                <w:sz w:val="22"/>
                <w:szCs w:val="22"/>
                <w:lang w:bidi="ar-SA"/>
              </w:rPr>
            </w:pPr>
            <w:r w:rsidRPr="00990A8E">
              <w:rPr>
                <w:color w:val="000000"/>
                <w:sz w:val="22"/>
                <w:szCs w:val="22"/>
              </w:rPr>
              <w:t>0.337</w:t>
            </w:r>
          </w:p>
        </w:tc>
      </w:tr>
      <w:tr w:rsidR="00A12F0F" w:rsidRPr="001E5771" w14:paraId="0046D703" w14:textId="5944942F" w:rsidTr="005D739A">
        <w:trPr>
          <w:trHeight w:val="288"/>
        </w:trPr>
        <w:tc>
          <w:tcPr>
            <w:tcW w:w="2250" w:type="dxa"/>
            <w:tcBorders>
              <w:top w:val="nil"/>
              <w:left w:val="nil"/>
              <w:bottom w:val="nil"/>
              <w:right w:val="nil"/>
            </w:tcBorders>
            <w:vAlign w:val="bottom"/>
          </w:tcPr>
          <w:p w14:paraId="33FCBFA8"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Pennsylvania</w:t>
            </w:r>
          </w:p>
        </w:tc>
        <w:tc>
          <w:tcPr>
            <w:tcW w:w="1800" w:type="dxa"/>
            <w:tcBorders>
              <w:top w:val="nil"/>
              <w:left w:val="nil"/>
              <w:bottom w:val="nil"/>
              <w:right w:val="nil"/>
            </w:tcBorders>
            <w:shd w:val="clear" w:color="auto" w:fill="auto"/>
            <w:noWrap/>
            <w:vAlign w:val="bottom"/>
          </w:tcPr>
          <w:p w14:paraId="025151AC" w14:textId="61D1146D" w:rsidR="00A12F0F" w:rsidRPr="00990A8E" w:rsidRDefault="00A12F0F" w:rsidP="00D422A0">
            <w:pPr>
              <w:spacing w:after="0" w:line="240" w:lineRule="auto"/>
              <w:jc w:val="center"/>
              <w:rPr>
                <w:color w:val="000000"/>
                <w:sz w:val="22"/>
                <w:szCs w:val="22"/>
                <w:lang w:bidi="ar-SA"/>
              </w:rPr>
            </w:pPr>
            <w:r w:rsidRPr="00990A8E">
              <w:rPr>
                <w:color w:val="000000"/>
                <w:sz w:val="22"/>
                <w:szCs w:val="22"/>
              </w:rPr>
              <w:t>56.3%</w:t>
            </w:r>
          </w:p>
        </w:tc>
        <w:tc>
          <w:tcPr>
            <w:tcW w:w="1530" w:type="dxa"/>
            <w:tcBorders>
              <w:top w:val="nil"/>
              <w:left w:val="nil"/>
              <w:bottom w:val="nil"/>
              <w:right w:val="nil"/>
            </w:tcBorders>
            <w:shd w:val="clear" w:color="auto" w:fill="auto"/>
            <w:noWrap/>
            <w:vAlign w:val="bottom"/>
          </w:tcPr>
          <w:p w14:paraId="04B6EB76" w14:textId="68FB0B75" w:rsidR="00A12F0F" w:rsidRPr="00990A8E" w:rsidRDefault="00A12F0F" w:rsidP="00D422A0">
            <w:pPr>
              <w:spacing w:after="0" w:line="240" w:lineRule="auto"/>
              <w:jc w:val="center"/>
              <w:rPr>
                <w:color w:val="000000"/>
                <w:sz w:val="22"/>
                <w:szCs w:val="22"/>
                <w:lang w:bidi="ar-SA"/>
              </w:rPr>
            </w:pPr>
            <w:r w:rsidRPr="00990A8E">
              <w:rPr>
                <w:color w:val="000000"/>
                <w:sz w:val="22"/>
                <w:szCs w:val="22"/>
              </w:rPr>
              <w:t>70.8%</w:t>
            </w:r>
          </w:p>
        </w:tc>
        <w:tc>
          <w:tcPr>
            <w:tcW w:w="1988" w:type="dxa"/>
            <w:tcBorders>
              <w:top w:val="nil"/>
              <w:left w:val="nil"/>
              <w:bottom w:val="nil"/>
              <w:right w:val="nil"/>
            </w:tcBorders>
            <w:shd w:val="clear" w:color="auto" w:fill="auto"/>
            <w:noWrap/>
            <w:vAlign w:val="bottom"/>
          </w:tcPr>
          <w:p w14:paraId="7873B547" w14:textId="594E6613" w:rsidR="00A12F0F" w:rsidRPr="00990A8E" w:rsidRDefault="00A12F0F" w:rsidP="00D422A0">
            <w:pPr>
              <w:spacing w:after="0" w:line="240" w:lineRule="auto"/>
              <w:jc w:val="center"/>
              <w:rPr>
                <w:color w:val="000000"/>
                <w:sz w:val="22"/>
                <w:szCs w:val="22"/>
                <w:lang w:bidi="ar-SA"/>
              </w:rPr>
            </w:pPr>
            <w:r w:rsidRPr="00990A8E">
              <w:rPr>
                <w:color w:val="000000"/>
                <w:sz w:val="22"/>
                <w:szCs w:val="22"/>
              </w:rPr>
              <w:t>40.0%</w:t>
            </w:r>
          </w:p>
        </w:tc>
        <w:tc>
          <w:tcPr>
            <w:tcW w:w="1571" w:type="dxa"/>
            <w:tcBorders>
              <w:top w:val="nil"/>
              <w:left w:val="nil"/>
              <w:bottom w:val="nil"/>
              <w:right w:val="nil"/>
            </w:tcBorders>
            <w:shd w:val="clear" w:color="auto" w:fill="auto"/>
            <w:noWrap/>
            <w:vAlign w:val="bottom"/>
          </w:tcPr>
          <w:p w14:paraId="09FE6A76" w14:textId="5E9FC732" w:rsidR="00A12F0F" w:rsidRPr="00990A8E" w:rsidRDefault="00A12F0F" w:rsidP="00D422A0">
            <w:pPr>
              <w:spacing w:after="0" w:line="240" w:lineRule="auto"/>
              <w:jc w:val="center"/>
              <w:rPr>
                <w:color w:val="000000"/>
                <w:sz w:val="22"/>
                <w:szCs w:val="22"/>
                <w:lang w:bidi="ar-SA"/>
              </w:rPr>
            </w:pPr>
            <w:r w:rsidRPr="00990A8E">
              <w:rPr>
                <w:color w:val="000000"/>
                <w:sz w:val="22"/>
                <w:szCs w:val="22"/>
              </w:rPr>
              <w:t>0.347</w:t>
            </w:r>
          </w:p>
        </w:tc>
      </w:tr>
      <w:tr w:rsidR="00A12F0F" w:rsidRPr="001E5771" w14:paraId="72CD6046" w14:textId="0AED78B5" w:rsidTr="005D739A">
        <w:trPr>
          <w:trHeight w:val="288"/>
        </w:trPr>
        <w:tc>
          <w:tcPr>
            <w:tcW w:w="2250" w:type="dxa"/>
            <w:tcBorders>
              <w:top w:val="nil"/>
              <w:left w:val="nil"/>
              <w:bottom w:val="nil"/>
              <w:right w:val="nil"/>
            </w:tcBorders>
            <w:vAlign w:val="bottom"/>
          </w:tcPr>
          <w:p w14:paraId="38B32CA9"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Rhode Island</w:t>
            </w:r>
          </w:p>
        </w:tc>
        <w:tc>
          <w:tcPr>
            <w:tcW w:w="1800" w:type="dxa"/>
            <w:tcBorders>
              <w:top w:val="nil"/>
              <w:left w:val="nil"/>
              <w:bottom w:val="nil"/>
              <w:right w:val="nil"/>
            </w:tcBorders>
            <w:shd w:val="clear" w:color="auto" w:fill="auto"/>
            <w:noWrap/>
            <w:vAlign w:val="bottom"/>
          </w:tcPr>
          <w:p w14:paraId="4CC52D6E" w14:textId="2D0976CF" w:rsidR="00A12F0F" w:rsidRPr="00990A8E" w:rsidRDefault="00A12F0F" w:rsidP="00D422A0">
            <w:pPr>
              <w:spacing w:after="0" w:line="240" w:lineRule="auto"/>
              <w:jc w:val="center"/>
              <w:rPr>
                <w:color w:val="000000"/>
                <w:sz w:val="22"/>
                <w:szCs w:val="22"/>
                <w:lang w:bidi="ar-SA"/>
              </w:rPr>
            </w:pPr>
            <w:r w:rsidRPr="00990A8E">
              <w:rPr>
                <w:color w:val="000000"/>
                <w:sz w:val="22"/>
                <w:szCs w:val="22"/>
              </w:rPr>
              <w:t>81.8%</w:t>
            </w:r>
          </w:p>
        </w:tc>
        <w:tc>
          <w:tcPr>
            <w:tcW w:w="1530" w:type="dxa"/>
            <w:tcBorders>
              <w:top w:val="nil"/>
              <w:left w:val="nil"/>
              <w:bottom w:val="nil"/>
              <w:right w:val="nil"/>
            </w:tcBorders>
            <w:shd w:val="clear" w:color="auto" w:fill="auto"/>
            <w:noWrap/>
            <w:vAlign w:val="bottom"/>
          </w:tcPr>
          <w:p w14:paraId="436CBB9D" w14:textId="01F36997" w:rsidR="00A12F0F" w:rsidRPr="00990A8E" w:rsidRDefault="00A12F0F" w:rsidP="00D422A0">
            <w:pPr>
              <w:spacing w:after="0" w:line="240" w:lineRule="auto"/>
              <w:jc w:val="center"/>
              <w:rPr>
                <w:color w:val="000000"/>
                <w:sz w:val="22"/>
                <w:szCs w:val="22"/>
                <w:lang w:bidi="ar-SA"/>
              </w:rPr>
            </w:pPr>
            <w:r w:rsidRPr="00990A8E">
              <w:rPr>
                <w:color w:val="000000"/>
                <w:sz w:val="22"/>
                <w:szCs w:val="22"/>
              </w:rPr>
              <w:t>97.8%</w:t>
            </w:r>
          </w:p>
        </w:tc>
        <w:tc>
          <w:tcPr>
            <w:tcW w:w="1988" w:type="dxa"/>
            <w:tcBorders>
              <w:top w:val="nil"/>
              <w:left w:val="nil"/>
              <w:bottom w:val="nil"/>
              <w:right w:val="nil"/>
            </w:tcBorders>
            <w:shd w:val="clear" w:color="auto" w:fill="auto"/>
            <w:noWrap/>
            <w:vAlign w:val="bottom"/>
          </w:tcPr>
          <w:p w14:paraId="3D664A08" w14:textId="2FAECDEE" w:rsidR="00A12F0F" w:rsidRPr="00990A8E" w:rsidRDefault="00A12F0F" w:rsidP="00D422A0">
            <w:pPr>
              <w:spacing w:after="0" w:line="240" w:lineRule="auto"/>
              <w:jc w:val="center"/>
              <w:rPr>
                <w:color w:val="000000"/>
                <w:sz w:val="22"/>
                <w:szCs w:val="22"/>
                <w:lang w:bidi="ar-SA"/>
              </w:rPr>
            </w:pPr>
            <w:r w:rsidRPr="00990A8E">
              <w:rPr>
                <w:color w:val="000000"/>
                <w:sz w:val="22"/>
                <w:szCs w:val="22"/>
              </w:rPr>
              <w:t>26.7%</w:t>
            </w:r>
          </w:p>
        </w:tc>
        <w:tc>
          <w:tcPr>
            <w:tcW w:w="1571" w:type="dxa"/>
            <w:tcBorders>
              <w:top w:val="nil"/>
              <w:left w:val="nil"/>
              <w:bottom w:val="nil"/>
              <w:right w:val="nil"/>
            </w:tcBorders>
            <w:shd w:val="clear" w:color="auto" w:fill="auto"/>
            <w:noWrap/>
            <w:vAlign w:val="bottom"/>
          </w:tcPr>
          <w:p w14:paraId="1832E023" w14:textId="32A9B37D" w:rsidR="00A12F0F" w:rsidRPr="00990A8E" w:rsidRDefault="00A12F0F" w:rsidP="00D422A0">
            <w:pPr>
              <w:spacing w:after="0" w:line="240" w:lineRule="auto"/>
              <w:jc w:val="center"/>
              <w:rPr>
                <w:color w:val="000000"/>
                <w:sz w:val="22"/>
                <w:szCs w:val="22"/>
                <w:lang w:bidi="ar-SA"/>
              </w:rPr>
            </w:pPr>
            <w:r w:rsidRPr="00990A8E">
              <w:rPr>
                <w:color w:val="000000"/>
                <w:sz w:val="22"/>
                <w:szCs w:val="22"/>
              </w:rPr>
              <w:t>0.676</w:t>
            </w:r>
          </w:p>
        </w:tc>
      </w:tr>
      <w:tr w:rsidR="00A12F0F" w:rsidRPr="001E5771" w14:paraId="649E8AAD" w14:textId="503DE45B" w:rsidTr="005D739A">
        <w:trPr>
          <w:trHeight w:val="288"/>
        </w:trPr>
        <w:tc>
          <w:tcPr>
            <w:tcW w:w="2250" w:type="dxa"/>
            <w:tcBorders>
              <w:top w:val="nil"/>
              <w:left w:val="nil"/>
              <w:bottom w:val="nil"/>
              <w:right w:val="nil"/>
            </w:tcBorders>
            <w:vAlign w:val="bottom"/>
          </w:tcPr>
          <w:p w14:paraId="4BF35B29"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South Carolina</w:t>
            </w:r>
          </w:p>
        </w:tc>
        <w:tc>
          <w:tcPr>
            <w:tcW w:w="1800" w:type="dxa"/>
            <w:tcBorders>
              <w:top w:val="nil"/>
              <w:left w:val="nil"/>
              <w:bottom w:val="nil"/>
              <w:right w:val="nil"/>
            </w:tcBorders>
            <w:shd w:val="clear" w:color="auto" w:fill="auto"/>
            <w:noWrap/>
            <w:vAlign w:val="bottom"/>
          </w:tcPr>
          <w:p w14:paraId="51FD05F1" w14:textId="5F1FBB8A" w:rsidR="00A12F0F" w:rsidRPr="00990A8E" w:rsidRDefault="00A12F0F" w:rsidP="00D422A0">
            <w:pPr>
              <w:spacing w:after="0" w:line="240" w:lineRule="auto"/>
              <w:jc w:val="center"/>
              <w:rPr>
                <w:color w:val="000000"/>
                <w:sz w:val="22"/>
                <w:szCs w:val="22"/>
                <w:lang w:bidi="ar-SA"/>
              </w:rPr>
            </w:pPr>
            <w:r w:rsidRPr="00990A8E">
              <w:rPr>
                <w:color w:val="000000"/>
                <w:sz w:val="22"/>
                <w:szCs w:val="22"/>
              </w:rPr>
              <w:t>53.0%</w:t>
            </w:r>
          </w:p>
        </w:tc>
        <w:tc>
          <w:tcPr>
            <w:tcW w:w="1530" w:type="dxa"/>
            <w:tcBorders>
              <w:top w:val="nil"/>
              <w:left w:val="nil"/>
              <w:bottom w:val="nil"/>
              <w:right w:val="nil"/>
            </w:tcBorders>
            <w:shd w:val="clear" w:color="auto" w:fill="auto"/>
            <w:noWrap/>
            <w:vAlign w:val="bottom"/>
          </w:tcPr>
          <w:p w14:paraId="72D9C46A" w14:textId="72267069" w:rsidR="00A12F0F" w:rsidRPr="00990A8E" w:rsidRDefault="00A12F0F" w:rsidP="00D422A0">
            <w:pPr>
              <w:spacing w:after="0" w:line="240" w:lineRule="auto"/>
              <w:jc w:val="center"/>
              <w:rPr>
                <w:color w:val="000000"/>
                <w:sz w:val="22"/>
                <w:szCs w:val="22"/>
                <w:lang w:bidi="ar-SA"/>
              </w:rPr>
            </w:pPr>
            <w:r w:rsidRPr="00990A8E">
              <w:rPr>
                <w:color w:val="000000"/>
                <w:sz w:val="22"/>
                <w:szCs w:val="22"/>
              </w:rPr>
              <w:t>77.8%</w:t>
            </w:r>
          </w:p>
        </w:tc>
        <w:tc>
          <w:tcPr>
            <w:tcW w:w="1988" w:type="dxa"/>
            <w:tcBorders>
              <w:top w:val="nil"/>
              <w:left w:val="nil"/>
              <w:bottom w:val="nil"/>
              <w:right w:val="nil"/>
            </w:tcBorders>
            <w:shd w:val="clear" w:color="auto" w:fill="auto"/>
            <w:noWrap/>
            <w:vAlign w:val="bottom"/>
          </w:tcPr>
          <w:p w14:paraId="27511CDB" w14:textId="601EF3EF" w:rsidR="00A12F0F" w:rsidRPr="00990A8E" w:rsidRDefault="00A12F0F" w:rsidP="00D422A0">
            <w:pPr>
              <w:spacing w:after="0" w:line="240" w:lineRule="auto"/>
              <w:jc w:val="center"/>
              <w:rPr>
                <w:color w:val="000000"/>
                <w:sz w:val="22"/>
                <w:szCs w:val="22"/>
                <w:lang w:bidi="ar-SA"/>
              </w:rPr>
            </w:pPr>
            <w:r w:rsidRPr="00990A8E">
              <w:rPr>
                <w:color w:val="000000"/>
                <w:sz w:val="22"/>
                <w:szCs w:val="22"/>
              </w:rPr>
              <w:t>35.3%</w:t>
            </w:r>
          </w:p>
        </w:tc>
        <w:tc>
          <w:tcPr>
            <w:tcW w:w="1571" w:type="dxa"/>
            <w:tcBorders>
              <w:top w:val="nil"/>
              <w:left w:val="nil"/>
              <w:bottom w:val="nil"/>
              <w:right w:val="nil"/>
            </w:tcBorders>
            <w:shd w:val="clear" w:color="auto" w:fill="auto"/>
            <w:noWrap/>
            <w:vAlign w:val="bottom"/>
          </w:tcPr>
          <w:p w14:paraId="6DCCCB42" w14:textId="33579296" w:rsidR="00A12F0F" w:rsidRPr="00990A8E" w:rsidRDefault="00A12F0F" w:rsidP="00D422A0">
            <w:pPr>
              <w:spacing w:after="0" w:line="240" w:lineRule="auto"/>
              <w:jc w:val="center"/>
              <w:rPr>
                <w:color w:val="000000"/>
                <w:sz w:val="22"/>
                <w:szCs w:val="22"/>
                <w:lang w:bidi="ar-SA"/>
              </w:rPr>
            </w:pPr>
            <w:r w:rsidRPr="00990A8E">
              <w:rPr>
                <w:color w:val="000000"/>
                <w:sz w:val="22"/>
                <w:szCs w:val="22"/>
              </w:rPr>
              <w:t>0.304</w:t>
            </w:r>
          </w:p>
        </w:tc>
      </w:tr>
      <w:tr w:rsidR="00A12F0F" w:rsidRPr="001E5771" w14:paraId="1B4AE54F" w14:textId="2F6781A2" w:rsidTr="005D739A">
        <w:trPr>
          <w:trHeight w:val="288"/>
        </w:trPr>
        <w:tc>
          <w:tcPr>
            <w:tcW w:w="2250" w:type="dxa"/>
            <w:tcBorders>
              <w:top w:val="nil"/>
              <w:left w:val="nil"/>
              <w:bottom w:val="nil"/>
              <w:right w:val="nil"/>
            </w:tcBorders>
            <w:vAlign w:val="bottom"/>
          </w:tcPr>
          <w:p w14:paraId="313AF7AC"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South Dakota</w:t>
            </w:r>
          </w:p>
        </w:tc>
        <w:tc>
          <w:tcPr>
            <w:tcW w:w="1800" w:type="dxa"/>
            <w:tcBorders>
              <w:top w:val="nil"/>
              <w:left w:val="nil"/>
              <w:bottom w:val="nil"/>
              <w:right w:val="nil"/>
            </w:tcBorders>
            <w:shd w:val="clear" w:color="auto" w:fill="auto"/>
            <w:noWrap/>
            <w:vAlign w:val="bottom"/>
          </w:tcPr>
          <w:p w14:paraId="3E3C5FBF" w14:textId="5F6A7CE4" w:rsidR="00A12F0F" w:rsidRPr="00990A8E" w:rsidRDefault="00A12F0F" w:rsidP="00D422A0">
            <w:pPr>
              <w:spacing w:after="0" w:line="240" w:lineRule="auto"/>
              <w:jc w:val="center"/>
              <w:rPr>
                <w:color w:val="000000"/>
                <w:sz w:val="22"/>
                <w:szCs w:val="22"/>
                <w:lang w:bidi="ar-SA"/>
              </w:rPr>
            </w:pPr>
            <w:r w:rsidRPr="00990A8E">
              <w:rPr>
                <w:color w:val="000000"/>
                <w:sz w:val="22"/>
                <w:szCs w:val="22"/>
              </w:rPr>
              <w:t>52.2%</w:t>
            </w:r>
          </w:p>
        </w:tc>
        <w:tc>
          <w:tcPr>
            <w:tcW w:w="1530" w:type="dxa"/>
            <w:tcBorders>
              <w:top w:val="nil"/>
              <w:left w:val="nil"/>
              <w:bottom w:val="nil"/>
              <w:right w:val="nil"/>
            </w:tcBorders>
            <w:shd w:val="clear" w:color="auto" w:fill="auto"/>
            <w:noWrap/>
            <w:vAlign w:val="bottom"/>
          </w:tcPr>
          <w:p w14:paraId="2D31E932" w14:textId="47B372F1" w:rsidR="00A12F0F" w:rsidRPr="00990A8E" w:rsidRDefault="00A12F0F" w:rsidP="00D422A0">
            <w:pPr>
              <w:spacing w:after="0" w:line="240" w:lineRule="auto"/>
              <w:jc w:val="center"/>
              <w:rPr>
                <w:color w:val="000000"/>
                <w:sz w:val="22"/>
                <w:szCs w:val="22"/>
                <w:lang w:bidi="ar-SA"/>
              </w:rPr>
            </w:pPr>
            <w:r w:rsidRPr="00990A8E">
              <w:rPr>
                <w:color w:val="000000"/>
                <w:sz w:val="22"/>
                <w:szCs w:val="22"/>
              </w:rPr>
              <w:t>73.0%</w:t>
            </w:r>
          </w:p>
        </w:tc>
        <w:tc>
          <w:tcPr>
            <w:tcW w:w="1988" w:type="dxa"/>
            <w:tcBorders>
              <w:top w:val="nil"/>
              <w:left w:val="nil"/>
              <w:bottom w:val="nil"/>
              <w:right w:val="nil"/>
            </w:tcBorders>
            <w:shd w:val="clear" w:color="auto" w:fill="auto"/>
            <w:noWrap/>
            <w:vAlign w:val="bottom"/>
          </w:tcPr>
          <w:p w14:paraId="6ECBEF97" w14:textId="1E80F4D0" w:rsidR="00A12F0F" w:rsidRPr="00990A8E" w:rsidRDefault="00A12F0F" w:rsidP="00D422A0">
            <w:pPr>
              <w:spacing w:after="0" w:line="240" w:lineRule="auto"/>
              <w:jc w:val="center"/>
              <w:rPr>
                <w:color w:val="000000"/>
                <w:sz w:val="22"/>
                <w:szCs w:val="22"/>
                <w:lang w:bidi="ar-SA"/>
              </w:rPr>
            </w:pPr>
            <w:r w:rsidRPr="00990A8E">
              <w:rPr>
                <w:color w:val="000000"/>
                <w:sz w:val="22"/>
                <w:szCs w:val="22"/>
              </w:rPr>
              <w:t>31.1%</w:t>
            </w:r>
          </w:p>
        </w:tc>
        <w:tc>
          <w:tcPr>
            <w:tcW w:w="1571" w:type="dxa"/>
            <w:tcBorders>
              <w:top w:val="nil"/>
              <w:left w:val="nil"/>
              <w:bottom w:val="nil"/>
              <w:right w:val="nil"/>
            </w:tcBorders>
            <w:shd w:val="clear" w:color="auto" w:fill="auto"/>
            <w:noWrap/>
            <w:vAlign w:val="bottom"/>
          </w:tcPr>
          <w:p w14:paraId="20B35830" w14:textId="419F459B" w:rsidR="00A12F0F" w:rsidRPr="00990A8E" w:rsidRDefault="00A12F0F" w:rsidP="00D422A0">
            <w:pPr>
              <w:spacing w:after="0" w:line="240" w:lineRule="auto"/>
              <w:jc w:val="center"/>
              <w:rPr>
                <w:color w:val="000000"/>
                <w:sz w:val="22"/>
                <w:szCs w:val="22"/>
                <w:lang w:bidi="ar-SA"/>
              </w:rPr>
            </w:pPr>
            <w:r w:rsidRPr="00990A8E">
              <w:rPr>
                <w:color w:val="000000"/>
                <w:sz w:val="22"/>
                <w:szCs w:val="22"/>
              </w:rPr>
              <w:t>0.309</w:t>
            </w:r>
          </w:p>
        </w:tc>
      </w:tr>
      <w:tr w:rsidR="00A12F0F" w:rsidRPr="001E5771" w14:paraId="4046CC8C" w14:textId="5BBD02C8" w:rsidTr="005D739A">
        <w:trPr>
          <w:trHeight w:val="288"/>
        </w:trPr>
        <w:tc>
          <w:tcPr>
            <w:tcW w:w="2250" w:type="dxa"/>
            <w:tcBorders>
              <w:top w:val="nil"/>
              <w:left w:val="nil"/>
              <w:bottom w:val="nil"/>
              <w:right w:val="nil"/>
            </w:tcBorders>
            <w:vAlign w:val="bottom"/>
          </w:tcPr>
          <w:p w14:paraId="234BC032"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Tennessee</w:t>
            </w:r>
          </w:p>
        </w:tc>
        <w:tc>
          <w:tcPr>
            <w:tcW w:w="1800" w:type="dxa"/>
            <w:tcBorders>
              <w:top w:val="nil"/>
              <w:left w:val="nil"/>
              <w:bottom w:val="nil"/>
              <w:right w:val="nil"/>
            </w:tcBorders>
            <w:shd w:val="clear" w:color="auto" w:fill="auto"/>
            <w:noWrap/>
            <w:vAlign w:val="bottom"/>
          </w:tcPr>
          <w:p w14:paraId="2C19165B" w14:textId="134615EA" w:rsidR="00A12F0F" w:rsidRPr="00990A8E" w:rsidRDefault="00A12F0F" w:rsidP="00D422A0">
            <w:pPr>
              <w:spacing w:after="0" w:line="240" w:lineRule="auto"/>
              <w:jc w:val="center"/>
              <w:rPr>
                <w:color w:val="000000"/>
                <w:sz w:val="22"/>
                <w:szCs w:val="22"/>
                <w:lang w:bidi="ar-SA"/>
              </w:rPr>
            </w:pPr>
            <w:r w:rsidRPr="00990A8E">
              <w:rPr>
                <w:color w:val="000000"/>
                <w:sz w:val="22"/>
                <w:szCs w:val="22"/>
              </w:rPr>
              <w:t>37.0%</w:t>
            </w:r>
          </w:p>
        </w:tc>
        <w:tc>
          <w:tcPr>
            <w:tcW w:w="1530" w:type="dxa"/>
            <w:tcBorders>
              <w:top w:val="nil"/>
              <w:left w:val="nil"/>
              <w:bottom w:val="nil"/>
              <w:right w:val="nil"/>
            </w:tcBorders>
            <w:shd w:val="clear" w:color="auto" w:fill="auto"/>
            <w:noWrap/>
            <w:vAlign w:val="bottom"/>
          </w:tcPr>
          <w:p w14:paraId="597B72E1" w14:textId="4A4D6FA0" w:rsidR="00A12F0F" w:rsidRPr="00990A8E" w:rsidRDefault="00A12F0F" w:rsidP="00D422A0">
            <w:pPr>
              <w:spacing w:after="0" w:line="240" w:lineRule="auto"/>
              <w:jc w:val="center"/>
              <w:rPr>
                <w:color w:val="000000"/>
                <w:sz w:val="22"/>
                <w:szCs w:val="22"/>
                <w:lang w:bidi="ar-SA"/>
              </w:rPr>
            </w:pPr>
            <w:r w:rsidRPr="00990A8E">
              <w:rPr>
                <w:color w:val="000000"/>
                <w:sz w:val="22"/>
                <w:szCs w:val="22"/>
              </w:rPr>
              <w:t>64.2%</w:t>
            </w:r>
          </w:p>
        </w:tc>
        <w:tc>
          <w:tcPr>
            <w:tcW w:w="1988" w:type="dxa"/>
            <w:tcBorders>
              <w:top w:val="nil"/>
              <w:left w:val="nil"/>
              <w:bottom w:val="nil"/>
              <w:right w:val="nil"/>
            </w:tcBorders>
            <w:shd w:val="clear" w:color="auto" w:fill="auto"/>
            <w:noWrap/>
            <w:vAlign w:val="bottom"/>
          </w:tcPr>
          <w:p w14:paraId="6FF30910" w14:textId="543C92FF" w:rsidR="00A12F0F" w:rsidRPr="00990A8E" w:rsidRDefault="00A12F0F" w:rsidP="00D422A0">
            <w:pPr>
              <w:spacing w:after="0" w:line="240" w:lineRule="auto"/>
              <w:jc w:val="center"/>
              <w:rPr>
                <w:color w:val="000000"/>
                <w:sz w:val="22"/>
                <w:szCs w:val="22"/>
                <w:lang w:bidi="ar-SA"/>
              </w:rPr>
            </w:pPr>
            <w:r w:rsidRPr="00990A8E">
              <w:rPr>
                <w:color w:val="000000"/>
                <w:sz w:val="22"/>
                <w:szCs w:val="22"/>
              </w:rPr>
              <w:t>32.1%</w:t>
            </w:r>
          </w:p>
        </w:tc>
        <w:tc>
          <w:tcPr>
            <w:tcW w:w="1571" w:type="dxa"/>
            <w:tcBorders>
              <w:top w:val="nil"/>
              <w:left w:val="nil"/>
              <w:bottom w:val="nil"/>
              <w:right w:val="nil"/>
            </w:tcBorders>
            <w:shd w:val="clear" w:color="auto" w:fill="auto"/>
            <w:noWrap/>
            <w:vAlign w:val="bottom"/>
          </w:tcPr>
          <w:p w14:paraId="59AF9728" w14:textId="163E1F3B" w:rsidR="00A12F0F" w:rsidRPr="00990A8E" w:rsidRDefault="00A12F0F" w:rsidP="00D422A0">
            <w:pPr>
              <w:spacing w:after="0" w:line="240" w:lineRule="auto"/>
              <w:jc w:val="center"/>
              <w:rPr>
                <w:color w:val="000000"/>
                <w:sz w:val="22"/>
                <w:szCs w:val="22"/>
                <w:lang w:bidi="ar-SA"/>
              </w:rPr>
            </w:pPr>
            <w:r w:rsidRPr="00990A8E">
              <w:rPr>
                <w:color w:val="000000"/>
                <w:sz w:val="22"/>
                <w:szCs w:val="22"/>
              </w:rPr>
              <w:t>0.204</w:t>
            </w:r>
          </w:p>
        </w:tc>
      </w:tr>
      <w:tr w:rsidR="00A12F0F" w:rsidRPr="001E5771" w14:paraId="45A48A62" w14:textId="678F1537" w:rsidTr="005D739A">
        <w:trPr>
          <w:trHeight w:val="288"/>
        </w:trPr>
        <w:tc>
          <w:tcPr>
            <w:tcW w:w="2250" w:type="dxa"/>
            <w:tcBorders>
              <w:top w:val="nil"/>
              <w:left w:val="nil"/>
              <w:bottom w:val="nil"/>
              <w:right w:val="nil"/>
            </w:tcBorders>
            <w:vAlign w:val="bottom"/>
          </w:tcPr>
          <w:p w14:paraId="7721E9BA"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Texas</w:t>
            </w:r>
          </w:p>
        </w:tc>
        <w:tc>
          <w:tcPr>
            <w:tcW w:w="1800" w:type="dxa"/>
            <w:tcBorders>
              <w:top w:val="nil"/>
              <w:left w:val="nil"/>
              <w:bottom w:val="nil"/>
              <w:right w:val="nil"/>
            </w:tcBorders>
            <w:shd w:val="clear" w:color="auto" w:fill="auto"/>
            <w:noWrap/>
            <w:vAlign w:val="bottom"/>
          </w:tcPr>
          <w:p w14:paraId="6B1080B9" w14:textId="02C378BF" w:rsidR="00A12F0F" w:rsidRPr="00990A8E" w:rsidRDefault="00A12F0F" w:rsidP="00D422A0">
            <w:pPr>
              <w:spacing w:after="0" w:line="240" w:lineRule="auto"/>
              <w:jc w:val="center"/>
              <w:rPr>
                <w:color w:val="000000"/>
                <w:sz w:val="22"/>
                <w:szCs w:val="22"/>
                <w:lang w:bidi="ar-SA"/>
              </w:rPr>
            </w:pPr>
            <w:r w:rsidRPr="00990A8E">
              <w:rPr>
                <w:color w:val="000000"/>
                <w:sz w:val="22"/>
                <w:szCs w:val="22"/>
              </w:rPr>
              <w:t>59.1%</w:t>
            </w:r>
          </w:p>
        </w:tc>
        <w:tc>
          <w:tcPr>
            <w:tcW w:w="1530" w:type="dxa"/>
            <w:tcBorders>
              <w:top w:val="nil"/>
              <w:left w:val="nil"/>
              <w:bottom w:val="nil"/>
              <w:right w:val="nil"/>
            </w:tcBorders>
            <w:shd w:val="clear" w:color="auto" w:fill="auto"/>
            <w:noWrap/>
            <w:vAlign w:val="bottom"/>
          </w:tcPr>
          <w:p w14:paraId="732738A8" w14:textId="17C0326E" w:rsidR="00A12F0F" w:rsidRPr="00990A8E" w:rsidRDefault="00A12F0F" w:rsidP="00D422A0">
            <w:pPr>
              <w:spacing w:after="0" w:line="240" w:lineRule="auto"/>
              <w:jc w:val="center"/>
              <w:rPr>
                <w:color w:val="000000"/>
                <w:sz w:val="22"/>
                <w:szCs w:val="22"/>
                <w:lang w:bidi="ar-SA"/>
              </w:rPr>
            </w:pPr>
            <w:r w:rsidRPr="00990A8E">
              <w:rPr>
                <w:color w:val="000000"/>
                <w:sz w:val="22"/>
                <w:szCs w:val="22"/>
              </w:rPr>
              <w:t>83.9%</w:t>
            </w:r>
          </w:p>
        </w:tc>
        <w:tc>
          <w:tcPr>
            <w:tcW w:w="1988" w:type="dxa"/>
            <w:tcBorders>
              <w:top w:val="nil"/>
              <w:left w:val="nil"/>
              <w:bottom w:val="nil"/>
              <w:right w:val="nil"/>
            </w:tcBorders>
            <w:shd w:val="clear" w:color="auto" w:fill="auto"/>
            <w:noWrap/>
            <w:vAlign w:val="bottom"/>
          </w:tcPr>
          <w:p w14:paraId="42B5842F" w14:textId="32E02CC2" w:rsidR="00A12F0F" w:rsidRPr="00990A8E" w:rsidRDefault="00A12F0F" w:rsidP="00D422A0">
            <w:pPr>
              <w:spacing w:after="0" w:line="240" w:lineRule="auto"/>
              <w:jc w:val="center"/>
              <w:rPr>
                <w:color w:val="000000"/>
                <w:sz w:val="22"/>
                <w:szCs w:val="22"/>
                <w:lang w:bidi="ar-SA"/>
              </w:rPr>
            </w:pPr>
            <w:r w:rsidRPr="00990A8E">
              <w:rPr>
                <w:color w:val="000000"/>
                <w:sz w:val="22"/>
                <w:szCs w:val="22"/>
              </w:rPr>
              <w:t>32.0%</w:t>
            </w:r>
          </w:p>
        </w:tc>
        <w:tc>
          <w:tcPr>
            <w:tcW w:w="1571" w:type="dxa"/>
            <w:tcBorders>
              <w:top w:val="nil"/>
              <w:left w:val="nil"/>
              <w:bottom w:val="nil"/>
              <w:right w:val="nil"/>
            </w:tcBorders>
            <w:shd w:val="clear" w:color="auto" w:fill="auto"/>
            <w:noWrap/>
            <w:vAlign w:val="bottom"/>
          </w:tcPr>
          <w:p w14:paraId="489CE25B" w14:textId="6840DEB1" w:rsidR="00A12F0F" w:rsidRPr="00990A8E" w:rsidRDefault="00A12F0F" w:rsidP="00D422A0">
            <w:pPr>
              <w:spacing w:after="0" w:line="240" w:lineRule="auto"/>
              <w:jc w:val="center"/>
              <w:rPr>
                <w:color w:val="000000"/>
                <w:sz w:val="22"/>
                <w:szCs w:val="22"/>
                <w:lang w:bidi="ar-SA"/>
              </w:rPr>
            </w:pPr>
            <w:r w:rsidRPr="00990A8E">
              <w:rPr>
                <w:color w:val="000000"/>
                <w:sz w:val="22"/>
                <w:szCs w:val="22"/>
              </w:rPr>
              <w:t>0.365</w:t>
            </w:r>
          </w:p>
        </w:tc>
      </w:tr>
      <w:tr w:rsidR="00A12F0F" w:rsidRPr="001E5771" w14:paraId="16754AEA" w14:textId="3564E4EC" w:rsidTr="005D739A">
        <w:trPr>
          <w:trHeight w:val="288"/>
        </w:trPr>
        <w:tc>
          <w:tcPr>
            <w:tcW w:w="2250" w:type="dxa"/>
            <w:tcBorders>
              <w:top w:val="nil"/>
              <w:left w:val="nil"/>
              <w:bottom w:val="nil"/>
              <w:right w:val="nil"/>
            </w:tcBorders>
            <w:vAlign w:val="bottom"/>
          </w:tcPr>
          <w:p w14:paraId="545DBCD3"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Utah</w:t>
            </w:r>
          </w:p>
        </w:tc>
        <w:tc>
          <w:tcPr>
            <w:tcW w:w="1800" w:type="dxa"/>
            <w:tcBorders>
              <w:top w:val="nil"/>
              <w:left w:val="nil"/>
              <w:bottom w:val="nil"/>
              <w:right w:val="nil"/>
            </w:tcBorders>
            <w:shd w:val="clear" w:color="auto" w:fill="auto"/>
            <w:noWrap/>
            <w:vAlign w:val="bottom"/>
          </w:tcPr>
          <w:p w14:paraId="2B21C1B8" w14:textId="1FFBD67C" w:rsidR="00A12F0F" w:rsidRPr="00990A8E" w:rsidRDefault="00A12F0F" w:rsidP="00D422A0">
            <w:pPr>
              <w:spacing w:after="0" w:line="240" w:lineRule="auto"/>
              <w:jc w:val="center"/>
              <w:rPr>
                <w:color w:val="000000"/>
                <w:sz w:val="22"/>
                <w:szCs w:val="22"/>
                <w:lang w:bidi="ar-SA"/>
              </w:rPr>
            </w:pPr>
            <w:r w:rsidRPr="00990A8E">
              <w:rPr>
                <w:color w:val="000000"/>
                <w:sz w:val="22"/>
                <w:szCs w:val="22"/>
              </w:rPr>
              <w:t>46.3%</w:t>
            </w:r>
          </w:p>
        </w:tc>
        <w:tc>
          <w:tcPr>
            <w:tcW w:w="1530" w:type="dxa"/>
            <w:tcBorders>
              <w:top w:val="nil"/>
              <w:left w:val="nil"/>
              <w:bottom w:val="nil"/>
              <w:right w:val="nil"/>
            </w:tcBorders>
            <w:shd w:val="clear" w:color="auto" w:fill="auto"/>
            <w:noWrap/>
            <w:vAlign w:val="bottom"/>
          </w:tcPr>
          <w:p w14:paraId="49118C3B" w14:textId="435B6F9E" w:rsidR="00A12F0F" w:rsidRPr="00990A8E" w:rsidRDefault="00A12F0F" w:rsidP="00D422A0">
            <w:pPr>
              <w:spacing w:after="0" w:line="240" w:lineRule="auto"/>
              <w:jc w:val="center"/>
              <w:rPr>
                <w:color w:val="000000"/>
                <w:sz w:val="22"/>
                <w:szCs w:val="22"/>
                <w:lang w:bidi="ar-SA"/>
              </w:rPr>
            </w:pPr>
            <w:r w:rsidRPr="00990A8E">
              <w:rPr>
                <w:color w:val="000000"/>
                <w:sz w:val="22"/>
                <w:szCs w:val="22"/>
              </w:rPr>
              <w:t>69.9%</w:t>
            </w:r>
          </w:p>
        </w:tc>
        <w:tc>
          <w:tcPr>
            <w:tcW w:w="1988" w:type="dxa"/>
            <w:tcBorders>
              <w:top w:val="nil"/>
              <w:left w:val="nil"/>
              <w:bottom w:val="nil"/>
              <w:right w:val="nil"/>
            </w:tcBorders>
            <w:shd w:val="clear" w:color="auto" w:fill="auto"/>
            <w:noWrap/>
            <w:vAlign w:val="bottom"/>
          </w:tcPr>
          <w:p w14:paraId="413D8BD9" w14:textId="5D21EC6F" w:rsidR="00A12F0F" w:rsidRPr="00990A8E" w:rsidRDefault="00A12F0F" w:rsidP="00D422A0">
            <w:pPr>
              <w:spacing w:after="0" w:line="240" w:lineRule="auto"/>
              <w:jc w:val="center"/>
              <w:rPr>
                <w:color w:val="000000"/>
                <w:sz w:val="22"/>
                <w:szCs w:val="22"/>
                <w:lang w:bidi="ar-SA"/>
              </w:rPr>
            </w:pPr>
            <w:r w:rsidRPr="00990A8E">
              <w:rPr>
                <w:color w:val="000000"/>
                <w:sz w:val="22"/>
                <w:szCs w:val="22"/>
              </w:rPr>
              <w:t>37.0%</w:t>
            </w:r>
          </w:p>
        </w:tc>
        <w:tc>
          <w:tcPr>
            <w:tcW w:w="1571" w:type="dxa"/>
            <w:tcBorders>
              <w:top w:val="nil"/>
              <w:left w:val="nil"/>
              <w:bottom w:val="nil"/>
              <w:right w:val="nil"/>
            </w:tcBorders>
            <w:shd w:val="clear" w:color="auto" w:fill="auto"/>
            <w:noWrap/>
            <w:vAlign w:val="bottom"/>
          </w:tcPr>
          <w:p w14:paraId="712AEA8E" w14:textId="1BAC185A" w:rsidR="00A12F0F" w:rsidRPr="00990A8E" w:rsidRDefault="00A12F0F" w:rsidP="00D422A0">
            <w:pPr>
              <w:spacing w:after="0" w:line="240" w:lineRule="auto"/>
              <w:jc w:val="center"/>
              <w:rPr>
                <w:color w:val="000000"/>
                <w:sz w:val="22"/>
                <w:szCs w:val="22"/>
                <w:lang w:bidi="ar-SA"/>
              </w:rPr>
            </w:pPr>
            <w:r w:rsidRPr="00990A8E">
              <w:rPr>
                <w:color w:val="000000"/>
                <w:sz w:val="22"/>
                <w:szCs w:val="22"/>
              </w:rPr>
              <w:t>0.249</w:t>
            </w:r>
          </w:p>
        </w:tc>
      </w:tr>
      <w:tr w:rsidR="00A12F0F" w:rsidRPr="001E5771" w14:paraId="3E31251A" w14:textId="24458727" w:rsidTr="005D739A">
        <w:trPr>
          <w:trHeight w:val="288"/>
        </w:trPr>
        <w:tc>
          <w:tcPr>
            <w:tcW w:w="2250" w:type="dxa"/>
            <w:tcBorders>
              <w:top w:val="nil"/>
              <w:left w:val="nil"/>
              <w:bottom w:val="nil"/>
              <w:right w:val="nil"/>
            </w:tcBorders>
            <w:vAlign w:val="bottom"/>
          </w:tcPr>
          <w:p w14:paraId="2CC7BA44"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Vermont</w:t>
            </w:r>
          </w:p>
        </w:tc>
        <w:tc>
          <w:tcPr>
            <w:tcW w:w="1800" w:type="dxa"/>
            <w:tcBorders>
              <w:top w:val="nil"/>
              <w:left w:val="nil"/>
              <w:bottom w:val="nil"/>
              <w:right w:val="nil"/>
            </w:tcBorders>
            <w:shd w:val="clear" w:color="auto" w:fill="auto"/>
            <w:noWrap/>
            <w:vAlign w:val="bottom"/>
          </w:tcPr>
          <w:p w14:paraId="05419295" w14:textId="1B601523" w:rsidR="00A12F0F" w:rsidRPr="00990A8E" w:rsidRDefault="00A12F0F" w:rsidP="00D422A0">
            <w:pPr>
              <w:spacing w:after="0" w:line="240" w:lineRule="auto"/>
              <w:jc w:val="center"/>
              <w:rPr>
                <w:color w:val="000000"/>
                <w:sz w:val="22"/>
                <w:szCs w:val="22"/>
                <w:lang w:bidi="ar-SA"/>
              </w:rPr>
            </w:pPr>
            <w:r w:rsidRPr="00990A8E">
              <w:rPr>
                <w:color w:val="000000"/>
                <w:sz w:val="22"/>
                <w:szCs w:val="22"/>
              </w:rPr>
              <w:t>59.1%</w:t>
            </w:r>
          </w:p>
        </w:tc>
        <w:tc>
          <w:tcPr>
            <w:tcW w:w="1530" w:type="dxa"/>
            <w:tcBorders>
              <w:top w:val="nil"/>
              <w:left w:val="nil"/>
              <w:bottom w:val="nil"/>
              <w:right w:val="nil"/>
            </w:tcBorders>
            <w:shd w:val="clear" w:color="auto" w:fill="auto"/>
            <w:noWrap/>
            <w:vAlign w:val="bottom"/>
          </w:tcPr>
          <w:p w14:paraId="3FA1035E" w14:textId="25D5C915" w:rsidR="00A12F0F" w:rsidRPr="00990A8E" w:rsidRDefault="00A12F0F" w:rsidP="00D422A0">
            <w:pPr>
              <w:spacing w:after="0" w:line="240" w:lineRule="auto"/>
              <w:jc w:val="center"/>
              <w:rPr>
                <w:color w:val="000000"/>
                <w:sz w:val="22"/>
                <w:szCs w:val="22"/>
                <w:lang w:bidi="ar-SA"/>
              </w:rPr>
            </w:pPr>
            <w:r w:rsidRPr="00990A8E">
              <w:rPr>
                <w:color w:val="000000"/>
                <w:sz w:val="22"/>
                <w:szCs w:val="22"/>
              </w:rPr>
              <w:t>94.0%</w:t>
            </w:r>
          </w:p>
        </w:tc>
        <w:tc>
          <w:tcPr>
            <w:tcW w:w="1988" w:type="dxa"/>
            <w:tcBorders>
              <w:top w:val="nil"/>
              <w:left w:val="nil"/>
              <w:bottom w:val="nil"/>
              <w:right w:val="nil"/>
            </w:tcBorders>
            <w:shd w:val="clear" w:color="auto" w:fill="auto"/>
            <w:noWrap/>
            <w:vAlign w:val="bottom"/>
          </w:tcPr>
          <w:p w14:paraId="1F0B118E" w14:textId="797855FB" w:rsidR="00A12F0F" w:rsidRPr="00990A8E" w:rsidRDefault="00A12F0F" w:rsidP="00D422A0">
            <w:pPr>
              <w:spacing w:after="0" w:line="240" w:lineRule="auto"/>
              <w:jc w:val="center"/>
              <w:rPr>
                <w:color w:val="000000"/>
                <w:sz w:val="22"/>
                <w:szCs w:val="22"/>
                <w:lang w:bidi="ar-SA"/>
              </w:rPr>
            </w:pPr>
            <w:r w:rsidRPr="00990A8E">
              <w:rPr>
                <w:color w:val="000000"/>
                <w:sz w:val="22"/>
                <w:szCs w:val="22"/>
              </w:rPr>
              <w:t>68.9%</w:t>
            </w:r>
          </w:p>
        </w:tc>
        <w:tc>
          <w:tcPr>
            <w:tcW w:w="1571" w:type="dxa"/>
            <w:tcBorders>
              <w:top w:val="nil"/>
              <w:left w:val="nil"/>
              <w:bottom w:val="nil"/>
              <w:right w:val="nil"/>
            </w:tcBorders>
            <w:shd w:val="clear" w:color="auto" w:fill="auto"/>
            <w:noWrap/>
            <w:vAlign w:val="bottom"/>
          </w:tcPr>
          <w:p w14:paraId="06AD375A" w14:textId="342EE553" w:rsidR="00A12F0F" w:rsidRPr="00990A8E" w:rsidRDefault="00A12F0F" w:rsidP="00D422A0">
            <w:pPr>
              <w:spacing w:after="0" w:line="240" w:lineRule="auto"/>
              <w:jc w:val="center"/>
              <w:rPr>
                <w:color w:val="000000"/>
                <w:sz w:val="22"/>
                <w:szCs w:val="22"/>
                <w:lang w:bidi="ar-SA"/>
              </w:rPr>
            </w:pPr>
            <w:r w:rsidRPr="00990A8E">
              <w:rPr>
                <w:color w:val="000000"/>
                <w:sz w:val="22"/>
                <w:szCs w:val="22"/>
              </w:rPr>
              <w:t>0.374</w:t>
            </w:r>
          </w:p>
        </w:tc>
      </w:tr>
      <w:tr w:rsidR="00A12F0F" w:rsidRPr="001E5771" w14:paraId="3DFF3308" w14:textId="3A500368" w:rsidTr="005D739A">
        <w:trPr>
          <w:trHeight w:val="288"/>
        </w:trPr>
        <w:tc>
          <w:tcPr>
            <w:tcW w:w="2250" w:type="dxa"/>
            <w:tcBorders>
              <w:top w:val="nil"/>
              <w:left w:val="nil"/>
              <w:bottom w:val="nil"/>
              <w:right w:val="nil"/>
            </w:tcBorders>
            <w:vAlign w:val="bottom"/>
          </w:tcPr>
          <w:p w14:paraId="7E693321"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Virginia</w:t>
            </w:r>
          </w:p>
        </w:tc>
        <w:tc>
          <w:tcPr>
            <w:tcW w:w="1800" w:type="dxa"/>
            <w:tcBorders>
              <w:top w:val="nil"/>
              <w:left w:val="nil"/>
              <w:bottom w:val="nil"/>
              <w:right w:val="nil"/>
            </w:tcBorders>
            <w:shd w:val="clear" w:color="auto" w:fill="auto"/>
            <w:noWrap/>
            <w:vAlign w:val="bottom"/>
          </w:tcPr>
          <w:p w14:paraId="24DB6D47" w14:textId="5017B223" w:rsidR="00A12F0F" w:rsidRPr="00990A8E" w:rsidRDefault="00A12F0F" w:rsidP="00D422A0">
            <w:pPr>
              <w:spacing w:after="0" w:line="240" w:lineRule="auto"/>
              <w:jc w:val="center"/>
              <w:rPr>
                <w:color w:val="000000"/>
                <w:sz w:val="22"/>
                <w:szCs w:val="22"/>
                <w:lang w:bidi="ar-SA"/>
              </w:rPr>
            </w:pPr>
            <w:r w:rsidRPr="00990A8E">
              <w:rPr>
                <w:color w:val="000000"/>
                <w:sz w:val="22"/>
                <w:szCs w:val="22"/>
              </w:rPr>
              <w:t>59.2%</w:t>
            </w:r>
          </w:p>
        </w:tc>
        <w:tc>
          <w:tcPr>
            <w:tcW w:w="1530" w:type="dxa"/>
            <w:tcBorders>
              <w:top w:val="nil"/>
              <w:left w:val="nil"/>
              <w:bottom w:val="nil"/>
              <w:right w:val="nil"/>
            </w:tcBorders>
            <w:shd w:val="clear" w:color="auto" w:fill="auto"/>
            <w:noWrap/>
            <w:vAlign w:val="bottom"/>
          </w:tcPr>
          <w:p w14:paraId="10FC130A" w14:textId="158FE573" w:rsidR="00A12F0F" w:rsidRPr="00990A8E" w:rsidRDefault="00A12F0F" w:rsidP="00D422A0">
            <w:pPr>
              <w:spacing w:after="0" w:line="240" w:lineRule="auto"/>
              <w:jc w:val="center"/>
              <w:rPr>
                <w:color w:val="000000"/>
                <w:sz w:val="22"/>
                <w:szCs w:val="22"/>
                <w:lang w:bidi="ar-SA"/>
              </w:rPr>
            </w:pPr>
            <w:r w:rsidRPr="00990A8E">
              <w:rPr>
                <w:color w:val="000000"/>
                <w:sz w:val="22"/>
                <w:szCs w:val="22"/>
              </w:rPr>
              <w:t>75.4%</w:t>
            </w:r>
          </w:p>
        </w:tc>
        <w:tc>
          <w:tcPr>
            <w:tcW w:w="1988" w:type="dxa"/>
            <w:tcBorders>
              <w:top w:val="nil"/>
              <w:left w:val="nil"/>
              <w:bottom w:val="nil"/>
              <w:right w:val="nil"/>
            </w:tcBorders>
            <w:shd w:val="clear" w:color="auto" w:fill="auto"/>
            <w:noWrap/>
            <w:vAlign w:val="bottom"/>
          </w:tcPr>
          <w:p w14:paraId="31731CBB" w14:textId="18878176" w:rsidR="00A12F0F" w:rsidRPr="00990A8E" w:rsidRDefault="00A12F0F" w:rsidP="00D422A0">
            <w:pPr>
              <w:spacing w:after="0" w:line="240" w:lineRule="auto"/>
              <w:jc w:val="center"/>
              <w:rPr>
                <w:color w:val="000000"/>
                <w:sz w:val="22"/>
                <w:szCs w:val="22"/>
                <w:lang w:bidi="ar-SA"/>
              </w:rPr>
            </w:pPr>
            <w:r w:rsidRPr="00990A8E">
              <w:rPr>
                <w:color w:val="000000"/>
                <w:sz w:val="22"/>
                <w:szCs w:val="22"/>
              </w:rPr>
              <w:t>36.3%</w:t>
            </w:r>
          </w:p>
        </w:tc>
        <w:tc>
          <w:tcPr>
            <w:tcW w:w="1571" w:type="dxa"/>
            <w:tcBorders>
              <w:top w:val="nil"/>
              <w:left w:val="nil"/>
              <w:bottom w:val="nil"/>
              <w:right w:val="nil"/>
            </w:tcBorders>
            <w:shd w:val="clear" w:color="auto" w:fill="auto"/>
            <w:noWrap/>
            <w:vAlign w:val="bottom"/>
          </w:tcPr>
          <w:p w14:paraId="28221152" w14:textId="06207693" w:rsidR="00A12F0F" w:rsidRPr="00990A8E" w:rsidRDefault="00A12F0F" w:rsidP="00D422A0">
            <w:pPr>
              <w:spacing w:after="0" w:line="240" w:lineRule="auto"/>
              <w:jc w:val="center"/>
              <w:rPr>
                <w:color w:val="000000"/>
                <w:sz w:val="22"/>
                <w:szCs w:val="22"/>
                <w:lang w:bidi="ar-SA"/>
              </w:rPr>
            </w:pPr>
            <w:r w:rsidRPr="00990A8E">
              <w:rPr>
                <w:color w:val="000000"/>
                <w:sz w:val="22"/>
                <w:szCs w:val="22"/>
              </w:rPr>
              <w:t>0.366</w:t>
            </w:r>
          </w:p>
        </w:tc>
      </w:tr>
      <w:tr w:rsidR="00A12F0F" w:rsidRPr="001E5771" w14:paraId="30591743" w14:textId="44051E8E" w:rsidTr="005D739A">
        <w:trPr>
          <w:trHeight w:val="288"/>
        </w:trPr>
        <w:tc>
          <w:tcPr>
            <w:tcW w:w="2250" w:type="dxa"/>
            <w:tcBorders>
              <w:top w:val="nil"/>
              <w:left w:val="nil"/>
              <w:bottom w:val="nil"/>
              <w:right w:val="nil"/>
            </w:tcBorders>
            <w:vAlign w:val="bottom"/>
          </w:tcPr>
          <w:p w14:paraId="0255953F"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Washington</w:t>
            </w:r>
          </w:p>
        </w:tc>
        <w:tc>
          <w:tcPr>
            <w:tcW w:w="1800" w:type="dxa"/>
            <w:tcBorders>
              <w:top w:val="nil"/>
              <w:left w:val="nil"/>
              <w:bottom w:val="nil"/>
              <w:right w:val="nil"/>
            </w:tcBorders>
            <w:shd w:val="clear" w:color="auto" w:fill="auto"/>
            <w:noWrap/>
            <w:vAlign w:val="bottom"/>
          </w:tcPr>
          <w:p w14:paraId="284B5579" w14:textId="3819BB10" w:rsidR="00A12F0F" w:rsidRPr="00990A8E" w:rsidRDefault="00A12F0F" w:rsidP="00D422A0">
            <w:pPr>
              <w:spacing w:after="0" w:line="240" w:lineRule="auto"/>
              <w:jc w:val="center"/>
              <w:rPr>
                <w:color w:val="000000"/>
                <w:sz w:val="22"/>
                <w:szCs w:val="22"/>
                <w:lang w:bidi="ar-SA"/>
              </w:rPr>
            </w:pPr>
            <w:r w:rsidRPr="00990A8E">
              <w:rPr>
                <w:color w:val="000000"/>
                <w:sz w:val="22"/>
                <w:szCs w:val="22"/>
              </w:rPr>
              <w:t>43.0%</w:t>
            </w:r>
          </w:p>
        </w:tc>
        <w:tc>
          <w:tcPr>
            <w:tcW w:w="1530" w:type="dxa"/>
            <w:tcBorders>
              <w:top w:val="nil"/>
              <w:left w:val="nil"/>
              <w:bottom w:val="nil"/>
              <w:right w:val="nil"/>
            </w:tcBorders>
            <w:shd w:val="clear" w:color="auto" w:fill="auto"/>
            <w:noWrap/>
            <w:vAlign w:val="bottom"/>
          </w:tcPr>
          <w:p w14:paraId="6D1AD6A7" w14:textId="4C6236CE" w:rsidR="00A12F0F" w:rsidRPr="00990A8E" w:rsidRDefault="00A12F0F" w:rsidP="00D422A0">
            <w:pPr>
              <w:spacing w:after="0" w:line="240" w:lineRule="auto"/>
              <w:jc w:val="center"/>
              <w:rPr>
                <w:color w:val="000000"/>
                <w:sz w:val="22"/>
                <w:szCs w:val="22"/>
                <w:lang w:bidi="ar-SA"/>
              </w:rPr>
            </w:pPr>
            <w:r w:rsidRPr="00990A8E">
              <w:rPr>
                <w:color w:val="000000"/>
                <w:sz w:val="22"/>
                <w:szCs w:val="22"/>
              </w:rPr>
              <w:t>64.1%</w:t>
            </w:r>
          </w:p>
        </w:tc>
        <w:tc>
          <w:tcPr>
            <w:tcW w:w="1988" w:type="dxa"/>
            <w:tcBorders>
              <w:top w:val="nil"/>
              <w:left w:val="nil"/>
              <w:bottom w:val="nil"/>
              <w:right w:val="nil"/>
            </w:tcBorders>
            <w:shd w:val="clear" w:color="auto" w:fill="auto"/>
            <w:noWrap/>
            <w:vAlign w:val="bottom"/>
          </w:tcPr>
          <w:p w14:paraId="39A9B164" w14:textId="217E4856" w:rsidR="00A12F0F" w:rsidRPr="00990A8E" w:rsidRDefault="00A12F0F" w:rsidP="00D422A0">
            <w:pPr>
              <w:spacing w:after="0" w:line="240" w:lineRule="auto"/>
              <w:jc w:val="center"/>
              <w:rPr>
                <w:color w:val="000000"/>
                <w:sz w:val="22"/>
                <w:szCs w:val="22"/>
                <w:lang w:bidi="ar-SA"/>
              </w:rPr>
            </w:pPr>
            <w:r w:rsidRPr="00990A8E">
              <w:rPr>
                <w:color w:val="000000"/>
                <w:sz w:val="22"/>
                <w:szCs w:val="22"/>
              </w:rPr>
              <w:t>41.2%</w:t>
            </w:r>
          </w:p>
        </w:tc>
        <w:tc>
          <w:tcPr>
            <w:tcW w:w="1571" w:type="dxa"/>
            <w:tcBorders>
              <w:top w:val="nil"/>
              <w:left w:val="nil"/>
              <w:bottom w:val="nil"/>
              <w:right w:val="nil"/>
            </w:tcBorders>
            <w:shd w:val="clear" w:color="auto" w:fill="auto"/>
            <w:noWrap/>
            <w:vAlign w:val="bottom"/>
          </w:tcPr>
          <w:p w14:paraId="3E071262" w14:textId="26719B94" w:rsidR="00A12F0F" w:rsidRPr="00990A8E" w:rsidRDefault="00A12F0F" w:rsidP="00D422A0">
            <w:pPr>
              <w:spacing w:after="0" w:line="240" w:lineRule="auto"/>
              <w:jc w:val="center"/>
              <w:rPr>
                <w:color w:val="000000"/>
                <w:sz w:val="22"/>
                <w:szCs w:val="22"/>
                <w:lang w:bidi="ar-SA"/>
              </w:rPr>
            </w:pPr>
            <w:r w:rsidRPr="00990A8E">
              <w:rPr>
                <w:color w:val="000000"/>
                <w:sz w:val="22"/>
                <w:szCs w:val="22"/>
              </w:rPr>
              <w:t>0.227</w:t>
            </w:r>
          </w:p>
        </w:tc>
      </w:tr>
      <w:tr w:rsidR="00A12F0F" w:rsidRPr="001E5771" w14:paraId="6F290628" w14:textId="19E12345" w:rsidTr="005D739A">
        <w:trPr>
          <w:trHeight w:val="288"/>
        </w:trPr>
        <w:tc>
          <w:tcPr>
            <w:tcW w:w="2250" w:type="dxa"/>
            <w:tcBorders>
              <w:top w:val="nil"/>
              <w:left w:val="nil"/>
              <w:bottom w:val="nil"/>
              <w:right w:val="nil"/>
            </w:tcBorders>
            <w:vAlign w:val="bottom"/>
          </w:tcPr>
          <w:p w14:paraId="64DE4120"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West Virginia</w:t>
            </w:r>
          </w:p>
        </w:tc>
        <w:tc>
          <w:tcPr>
            <w:tcW w:w="1800" w:type="dxa"/>
            <w:tcBorders>
              <w:top w:val="nil"/>
              <w:left w:val="nil"/>
              <w:bottom w:val="nil"/>
              <w:right w:val="nil"/>
            </w:tcBorders>
            <w:shd w:val="clear" w:color="auto" w:fill="auto"/>
            <w:noWrap/>
            <w:vAlign w:val="bottom"/>
          </w:tcPr>
          <w:p w14:paraId="3D755605" w14:textId="4E2A2031" w:rsidR="00A12F0F" w:rsidRPr="00990A8E" w:rsidRDefault="00A12F0F" w:rsidP="00D422A0">
            <w:pPr>
              <w:spacing w:after="0" w:line="240" w:lineRule="auto"/>
              <w:jc w:val="center"/>
              <w:rPr>
                <w:color w:val="000000"/>
                <w:sz w:val="22"/>
                <w:szCs w:val="22"/>
                <w:lang w:bidi="ar-SA"/>
              </w:rPr>
            </w:pPr>
            <w:r w:rsidRPr="00990A8E">
              <w:rPr>
                <w:color w:val="000000"/>
                <w:sz w:val="22"/>
                <w:szCs w:val="22"/>
              </w:rPr>
              <w:t>52.2%</w:t>
            </w:r>
          </w:p>
        </w:tc>
        <w:tc>
          <w:tcPr>
            <w:tcW w:w="1530" w:type="dxa"/>
            <w:tcBorders>
              <w:top w:val="nil"/>
              <w:left w:val="nil"/>
              <w:bottom w:val="nil"/>
              <w:right w:val="nil"/>
            </w:tcBorders>
            <w:shd w:val="clear" w:color="auto" w:fill="auto"/>
            <w:noWrap/>
            <w:vAlign w:val="bottom"/>
          </w:tcPr>
          <w:p w14:paraId="5971DF26" w14:textId="6EDD685B" w:rsidR="00A12F0F" w:rsidRPr="00990A8E" w:rsidRDefault="00A12F0F" w:rsidP="00D422A0">
            <w:pPr>
              <w:spacing w:after="0" w:line="240" w:lineRule="auto"/>
              <w:jc w:val="center"/>
              <w:rPr>
                <w:color w:val="000000"/>
                <w:sz w:val="22"/>
                <w:szCs w:val="22"/>
                <w:lang w:bidi="ar-SA"/>
              </w:rPr>
            </w:pPr>
            <w:r w:rsidRPr="00990A8E">
              <w:rPr>
                <w:color w:val="000000"/>
                <w:sz w:val="22"/>
                <w:szCs w:val="22"/>
              </w:rPr>
              <w:t>80.4%</w:t>
            </w:r>
          </w:p>
        </w:tc>
        <w:tc>
          <w:tcPr>
            <w:tcW w:w="1988" w:type="dxa"/>
            <w:tcBorders>
              <w:top w:val="nil"/>
              <w:left w:val="nil"/>
              <w:bottom w:val="nil"/>
              <w:right w:val="nil"/>
            </w:tcBorders>
            <w:shd w:val="clear" w:color="auto" w:fill="auto"/>
            <w:noWrap/>
            <w:vAlign w:val="bottom"/>
          </w:tcPr>
          <w:p w14:paraId="008A8CC6" w14:textId="04A9D520" w:rsidR="00A12F0F" w:rsidRPr="00990A8E" w:rsidRDefault="00A12F0F" w:rsidP="00D422A0">
            <w:pPr>
              <w:spacing w:after="0" w:line="240" w:lineRule="auto"/>
              <w:jc w:val="center"/>
              <w:rPr>
                <w:color w:val="000000"/>
                <w:sz w:val="22"/>
                <w:szCs w:val="22"/>
                <w:lang w:bidi="ar-SA"/>
              </w:rPr>
            </w:pPr>
            <w:r w:rsidRPr="00990A8E">
              <w:rPr>
                <w:color w:val="000000"/>
                <w:sz w:val="22"/>
                <w:szCs w:val="22"/>
              </w:rPr>
              <w:t>44.3%</w:t>
            </w:r>
          </w:p>
        </w:tc>
        <w:tc>
          <w:tcPr>
            <w:tcW w:w="1571" w:type="dxa"/>
            <w:tcBorders>
              <w:top w:val="nil"/>
              <w:left w:val="nil"/>
              <w:bottom w:val="nil"/>
              <w:right w:val="nil"/>
            </w:tcBorders>
            <w:shd w:val="clear" w:color="auto" w:fill="auto"/>
            <w:noWrap/>
            <w:vAlign w:val="bottom"/>
          </w:tcPr>
          <w:p w14:paraId="5E4744D8" w14:textId="6F6A3CC0" w:rsidR="00A12F0F" w:rsidRPr="00990A8E" w:rsidRDefault="00A12F0F" w:rsidP="00D422A0">
            <w:pPr>
              <w:spacing w:after="0" w:line="240" w:lineRule="auto"/>
              <w:jc w:val="center"/>
              <w:rPr>
                <w:color w:val="000000"/>
                <w:sz w:val="22"/>
                <w:szCs w:val="22"/>
                <w:lang w:bidi="ar-SA"/>
              </w:rPr>
            </w:pPr>
            <w:r w:rsidRPr="00990A8E">
              <w:rPr>
                <w:color w:val="000000"/>
                <w:sz w:val="22"/>
                <w:szCs w:val="22"/>
              </w:rPr>
              <w:t>0.302</w:t>
            </w:r>
          </w:p>
        </w:tc>
      </w:tr>
      <w:tr w:rsidR="00A12F0F" w:rsidRPr="001E5771" w14:paraId="23F23DF0" w14:textId="069FE041" w:rsidTr="005D739A">
        <w:trPr>
          <w:trHeight w:val="288"/>
        </w:trPr>
        <w:tc>
          <w:tcPr>
            <w:tcW w:w="2250" w:type="dxa"/>
            <w:tcBorders>
              <w:top w:val="nil"/>
              <w:left w:val="nil"/>
              <w:bottom w:val="nil"/>
              <w:right w:val="nil"/>
            </w:tcBorders>
            <w:vAlign w:val="bottom"/>
          </w:tcPr>
          <w:p w14:paraId="13DE2338"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Wisconsin</w:t>
            </w:r>
          </w:p>
        </w:tc>
        <w:tc>
          <w:tcPr>
            <w:tcW w:w="1800" w:type="dxa"/>
            <w:tcBorders>
              <w:top w:val="nil"/>
              <w:left w:val="nil"/>
              <w:bottom w:val="nil"/>
              <w:right w:val="nil"/>
            </w:tcBorders>
            <w:shd w:val="clear" w:color="auto" w:fill="auto"/>
            <w:noWrap/>
            <w:vAlign w:val="bottom"/>
          </w:tcPr>
          <w:p w14:paraId="4BF9EA65" w14:textId="4121C74D" w:rsidR="00A12F0F" w:rsidRPr="00990A8E" w:rsidRDefault="00A12F0F" w:rsidP="00D422A0">
            <w:pPr>
              <w:spacing w:after="0" w:line="240" w:lineRule="auto"/>
              <w:jc w:val="center"/>
              <w:rPr>
                <w:color w:val="000000"/>
                <w:sz w:val="22"/>
                <w:szCs w:val="22"/>
                <w:lang w:bidi="ar-SA"/>
              </w:rPr>
            </w:pPr>
            <w:r w:rsidRPr="00990A8E">
              <w:rPr>
                <w:color w:val="000000"/>
                <w:sz w:val="22"/>
                <w:szCs w:val="22"/>
              </w:rPr>
              <w:t>68.2%</w:t>
            </w:r>
          </w:p>
        </w:tc>
        <w:tc>
          <w:tcPr>
            <w:tcW w:w="1530" w:type="dxa"/>
            <w:tcBorders>
              <w:top w:val="nil"/>
              <w:left w:val="nil"/>
              <w:bottom w:val="nil"/>
              <w:right w:val="nil"/>
            </w:tcBorders>
            <w:shd w:val="clear" w:color="auto" w:fill="auto"/>
            <w:noWrap/>
            <w:vAlign w:val="bottom"/>
          </w:tcPr>
          <w:p w14:paraId="4DA1F05E" w14:textId="3EF95E00" w:rsidR="00A12F0F" w:rsidRPr="00990A8E" w:rsidRDefault="00A12F0F" w:rsidP="00D422A0">
            <w:pPr>
              <w:spacing w:after="0" w:line="240" w:lineRule="auto"/>
              <w:jc w:val="center"/>
              <w:rPr>
                <w:color w:val="000000"/>
                <w:sz w:val="22"/>
                <w:szCs w:val="22"/>
                <w:lang w:bidi="ar-SA"/>
              </w:rPr>
            </w:pPr>
            <w:r w:rsidRPr="00990A8E">
              <w:rPr>
                <w:color w:val="000000"/>
                <w:sz w:val="22"/>
                <w:szCs w:val="22"/>
              </w:rPr>
              <w:t>94.8%</w:t>
            </w:r>
          </w:p>
        </w:tc>
        <w:tc>
          <w:tcPr>
            <w:tcW w:w="1988" w:type="dxa"/>
            <w:tcBorders>
              <w:top w:val="nil"/>
              <w:left w:val="nil"/>
              <w:bottom w:val="nil"/>
              <w:right w:val="nil"/>
            </w:tcBorders>
            <w:shd w:val="clear" w:color="auto" w:fill="auto"/>
            <w:noWrap/>
            <w:vAlign w:val="bottom"/>
          </w:tcPr>
          <w:p w14:paraId="588F3185" w14:textId="0261E3DA" w:rsidR="00A12F0F" w:rsidRPr="00990A8E" w:rsidRDefault="00A12F0F" w:rsidP="00D422A0">
            <w:pPr>
              <w:spacing w:after="0" w:line="240" w:lineRule="auto"/>
              <w:jc w:val="center"/>
              <w:rPr>
                <w:color w:val="000000"/>
                <w:sz w:val="22"/>
                <w:szCs w:val="22"/>
                <w:lang w:bidi="ar-SA"/>
              </w:rPr>
            </w:pPr>
            <w:r w:rsidRPr="00990A8E">
              <w:rPr>
                <w:color w:val="000000"/>
                <w:sz w:val="22"/>
                <w:szCs w:val="22"/>
              </w:rPr>
              <w:t>39.9%</w:t>
            </w:r>
          </w:p>
        </w:tc>
        <w:tc>
          <w:tcPr>
            <w:tcW w:w="1571" w:type="dxa"/>
            <w:tcBorders>
              <w:top w:val="nil"/>
              <w:left w:val="nil"/>
              <w:bottom w:val="nil"/>
              <w:right w:val="nil"/>
            </w:tcBorders>
            <w:shd w:val="clear" w:color="auto" w:fill="auto"/>
            <w:noWrap/>
            <w:vAlign w:val="bottom"/>
          </w:tcPr>
          <w:p w14:paraId="086BA053" w14:textId="59A99699" w:rsidR="00A12F0F" w:rsidRPr="00990A8E" w:rsidRDefault="00A12F0F" w:rsidP="00D422A0">
            <w:pPr>
              <w:spacing w:after="0" w:line="240" w:lineRule="auto"/>
              <w:jc w:val="center"/>
              <w:rPr>
                <w:color w:val="000000"/>
                <w:sz w:val="22"/>
                <w:szCs w:val="22"/>
                <w:lang w:bidi="ar-SA"/>
              </w:rPr>
            </w:pPr>
            <w:r w:rsidRPr="00990A8E">
              <w:rPr>
                <w:color w:val="000000"/>
                <w:sz w:val="22"/>
                <w:szCs w:val="22"/>
              </w:rPr>
              <w:t>0.479</w:t>
            </w:r>
          </w:p>
        </w:tc>
      </w:tr>
      <w:tr w:rsidR="00A12F0F" w:rsidRPr="001E5771" w14:paraId="69EA673A" w14:textId="22CD3210" w:rsidTr="005D739A">
        <w:trPr>
          <w:trHeight w:val="288"/>
        </w:trPr>
        <w:tc>
          <w:tcPr>
            <w:tcW w:w="2250" w:type="dxa"/>
            <w:tcBorders>
              <w:top w:val="nil"/>
              <w:left w:val="nil"/>
              <w:bottom w:val="nil"/>
              <w:right w:val="nil"/>
            </w:tcBorders>
            <w:vAlign w:val="bottom"/>
          </w:tcPr>
          <w:p w14:paraId="1F3ED2FE" w14:textId="77777777" w:rsidR="00A12F0F" w:rsidRPr="001E5771" w:rsidRDefault="00A12F0F" w:rsidP="00D422A0">
            <w:pPr>
              <w:spacing w:after="0" w:line="240" w:lineRule="auto"/>
              <w:rPr>
                <w:color w:val="000000"/>
                <w:sz w:val="22"/>
                <w:szCs w:val="22"/>
                <w:lang w:bidi="ar-SA"/>
              </w:rPr>
            </w:pPr>
            <w:r w:rsidRPr="001E5771">
              <w:rPr>
                <w:color w:val="000000"/>
                <w:sz w:val="22"/>
                <w:szCs w:val="22"/>
                <w:lang w:bidi="ar-SA"/>
              </w:rPr>
              <w:t>Wyoming</w:t>
            </w:r>
          </w:p>
        </w:tc>
        <w:tc>
          <w:tcPr>
            <w:tcW w:w="1800" w:type="dxa"/>
            <w:tcBorders>
              <w:top w:val="nil"/>
              <w:left w:val="nil"/>
              <w:bottom w:val="nil"/>
              <w:right w:val="nil"/>
            </w:tcBorders>
            <w:shd w:val="clear" w:color="auto" w:fill="auto"/>
            <w:noWrap/>
            <w:vAlign w:val="bottom"/>
          </w:tcPr>
          <w:p w14:paraId="48311398" w14:textId="47E7A419" w:rsidR="00A12F0F" w:rsidRPr="00990A8E" w:rsidRDefault="00A12F0F" w:rsidP="00D422A0">
            <w:pPr>
              <w:spacing w:after="0" w:line="240" w:lineRule="auto"/>
              <w:jc w:val="center"/>
              <w:rPr>
                <w:color w:val="000000"/>
                <w:sz w:val="22"/>
                <w:szCs w:val="22"/>
                <w:lang w:bidi="ar-SA"/>
              </w:rPr>
            </w:pPr>
            <w:r w:rsidRPr="00990A8E">
              <w:rPr>
                <w:color w:val="000000"/>
                <w:sz w:val="22"/>
                <w:szCs w:val="22"/>
              </w:rPr>
              <w:t>43.8%</w:t>
            </w:r>
          </w:p>
        </w:tc>
        <w:tc>
          <w:tcPr>
            <w:tcW w:w="1530" w:type="dxa"/>
            <w:tcBorders>
              <w:top w:val="nil"/>
              <w:left w:val="nil"/>
              <w:bottom w:val="nil"/>
              <w:right w:val="nil"/>
            </w:tcBorders>
            <w:shd w:val="clear" w:color="auto" w:fill="auto"/>
            <w:noWrap/>
            <w:vAlign w:val="bottom"/>
          </w:tcPr>
          <w:p w14:paraId="1DC98656" w14:textId="7F97F20C" w:rsidR="00A12F0F" w:rsidRPr="00990A8E" w:rsidRDefault="00A12F0F" w:rsidP="00D422A0">
            <w:pPr>
              <w:spacing w:after="0" w:line="240" w:lineRule="auto"/>
              <w:jc w:val="center"/>
              <w:rPr>
                <w:color w:val="000000"/>
                <w:sz w:val="22"/>
                <w:szCs w:val="22"/>
                <w:lang w:bidi="ar-SA"/>
              </w:rPr>
            </w:pPr>
            <w:r w:rsidRPr="00990A8E">
              <w:rPr>
                <w:color w:val="000000"/>
                <w:sz w:val="22"/>
                <w:szCs w:val="22"/>
              </w:rPr>
              <w:t>76.9%</w:t>
            </w:r>
          </w:p>
        </w:tc>
        <w:tc>
          <w:tcPr>
            <w:tcW w:w="1988" w:type="dxa"/>
            <w:tcBorders>
              <w:top w:val="nil"/>
              <w:left w:val="nil"/>
              <w:bottom w:val="nil"/>
              <w:right w:val="nil"/>
            </w:tcBorders>
            <w:shd w:val="clear" w:color="auto" w:fill="auto"/>
            <w:noWrap/>
            <w:vAlign w:val="bottom"/>
          </w:tcPr>
          <w:p w14:paraId="57335C18" w14:textId="006ED0A8" w:rsidR="00A12F0F" w:rsidRPr="00990A8E" w:rsidRDefault="00A12F0F" w:rsidP="00D422A0">
            <w:pPr>
              <w:spacing w:after="0" w:line="240" w:lineRule="auto"/>
              <w:jc w:val="center"/>
              <w:rPr>
                <w:color w:val="000000"/>
                <w:sz w:val="22"/>
                <w:szCs w:val="22"/>
                <w:lang w:bidi="ar-SA"/>
              </w:rPr>
            </w:pPr>
            <w:r w:rsidRPr="00990A8E">
              <w:rPr>
                <w:color w:val="000000"/>
                <w:sz w:val="22"/>
                <w:szCs w:val="22"/>
              </w:rPr>
              <w:t>40.5%</w:t>
            </w:r>
          </w:p>
        </w:tc>
        <w:tc>
          <w:tcPr>
            <w:tcW w:w="1571" w:type="dxa"/>
            <w:tcBorders>
              <w:top w:val="nil"/>
              <w:left w:val="nil"/>
              <w:bottom w:val="nil"/>
              <w:right w:val="nil"/>
            </w:tcBorders>
            <w:shd w:val="clear" w:color="auto" w:fill="auto"/>
            <w:noWrap/>
            <w:vAlign w:val="bottom"/>
          </w:tcPr>
          <w:p w14:paraId="6860F02A" w14:textId="5A03475E" w:rsidR="00A12F0F" w:rsidRPr="00990A8E" w:rsidRDefault="00A12F0F" w:rsidP="00D422A0">
            <w:pPr>
              <w:spacing w:after="0" w:line="240" w:lineRule="auto"/>
              <w:jc w:val="center"/>
              <w:rPr>
                <w:color w:val="000000"/>
                <w:sz w:val="22"/>
                <w:szCs w:val="22"/>
                <w:lang w:bidi="ar-SA"/>
              </w:rPr>
            </w:pPr>
            <w:r w:rsidRPr="00990A8E">
              <w:rPr>
                <w:color w:val="000000"/>
                <w:sz w:val="22"/>
                <w:szCs w:val="22"/>
              </w:rPr>
              <w:t>0.267</w:t>
            </w:r>
          </w:p>
        </w:tc>
      </w:tr>
      <w:tr w:rsidR="00217FFC" w:rsidRPr="001E5771" w14:paraId="64744D10" w14:textId="512FC76D" w:rsidTr="005D739A">
        <w:trPr>
          <w:trHeight w:val="288"/>
        </w:trPr>
        <w:tc>
          <w:tcPr>
            <w:tcW w:w="2250" w:type="dxa"/>
            <w:tcBorders>
              <w:top w:val="nil"/>
              <w:left w:val="nil"/>
              <w:bottom w:val="single" w:sz="4" w:space="0" w:color="auto"/>
              <w:right w:val="nil"/>
            </w:tcBorders>
            <w:vAlign w:val="bottom"/>
          </w:tcPr>
          <w:p w14:paraId="60871275" w14:textId="77777777" w:rsidR="00217FFC" w:rsidRPr="001E5771" w:rsidRDefault="00217FFC" w:rsidP="00D422A0">
            <w:pPr>
              <w:spacing w:after="0" w:line="240" w:lineRule="auto"/>
              <w:rPr>
                <w:color w:val="000000"/>
                <w:sz w:val="22"/>
                <w:szCs w:val="22"/>
                <w:lang w:bidi="ar-SA"/>
              </w:rPr>
            </w:pPr>
            <w:r w:rsidRPr="001E5771">
              <w:rPr>
                <w:color w:val="000000"/>
                <w:sz w:val="22"/>
                <w:szCs w:val="22"/>
                <w:lang w:bidi="ar-SA"/>
              </w:rPr>
              <w:t>United States</w:t>
            </w:r>
          </w:p>
        </w:tc>
        <w:tc>
          <w:tcPr>
            <w:tcW w:w="1800" w:type="dxa"/>
            <w:tcBorders>
              <w:top w:val="nil"/>
              <w:left w:val="nil"/>
              <w:bottom w:val="single" w:sz="4" w:space="0" w:color="auto"/>
              <w:right w:val="nil"/>
            </w:tcBorders>
            <w:shd w:val="clear" w:color="auto" w:fill="auto"/>
            <w:noWrap/>
            <w:vAlign w:val="bottom"/>
          </w:tcPr>
          <w:p w14:paraId="38DBEC0B" w14:textId="0060F401" w:rsidR="00217FFC" w:rsidRPr="00990A8E" w:rsidRDefault="00A12F0F" w:rsidP="00D422A0">
            <w:pPr>
              <w:spacing w:after="0" w:line="240" w:lineRule="auto"/>
              <w:jc w:val="center"/>
              <w:rPr>
                <w:color w:val="000000"/>
                <w:sz w:val="22"/>
                <w:szCs w:val="22"/>
                <w:lang w:bidi="ar-SA"/>
              </w:rPr>
            </w:pPr>
            <w:r w:rsidRPr="00990A8E">
              <w:rPr>
                <w:color w:val="000000"/>
                <w:sz w:val="22"/>
                <w:szCs w:val="22"/>
              </w:rPr>
              <w:t>51.1%</w:t>
            </w:r>
          </w:p>
        </w:tc>
        <w:tc>
          <w:tcPr>
            <w:tcW w:w="1530" w:type="dxa"/>
            <w:tcBorders>
              <w:top w:val="nil"/>
              <w:left w:val="nil"/>
              <w:bottom w:val="single" w:sz="4" w:space="0" w:color="auto"/>
              <w:right w:val="nil"/>
            </w:tcBorders>
            <w:shd w:val="clear" w:color="auto" w:fill="auto"/>
            <w:noWrap/>
            <w:vAlign w:val="bottom"/>
          </w:tcPr>
          <w:p w14:paraId="67FB3E28" w14:textId="227D6E7B" w:rsidR="00217FFC" w:rsidRPr="00990A8E" w:rsidRDefault="00A12F0F" w:rsidP="00D422A0">
            <w:pPr>
              <w:spacing w:after="0" w:line="240" w:lineRule="auto"/>
              <w:jc w:val="center"/>
              <w:rPr>
                <w:color w:val="000000"/>
                <w:sz w:val="22"/>
                <w:szCs w:val="22"/>
                <w:lang w:bidi="ar-SA"/>
              </w:rPr>
            </w:pPr>
            <w:r w:rsidRPr="00990A8E">
              <w:rPr>
                <w:color w:val="000000"/>
                <w:sz w:val="22"/>
                <w:szCs w:val="22"/>
              </w:rPr>
              <w:t>73.9%</w:t>
            </w:r>
          </w:p>
        </w:tc>
        <w:tc>
          <w:tcPr>
            <w:tcW w:w="1988" w:type="dxa"/>
            <w:tcBorders>
              <w:top w:val="nil"/>
              <w:left w:val="nil"/>
              <w:bottom w:val="single" w:sz="4" w:space="0" w:color="auto"/>
              <w:right w:val="nil"/>
            </w:tcBorders>
            <w:shd w:val="clear" w:color="auto" w:fill="auto"/>
            <w:noWrap/>
            <w:vAlign w:val="bottom"/>
          </w:tcPr>
          <w:p w14:paraId="2C8C6E68" w14:textId="41042D4A" w:rsidR="00217FFC" w:rsidRPr="00990A8E" w:rsidRDefault="00A12F0F" w:rsidP="00D422A0">
            <w:pPr>
              <w:spacing w:after="0" w:line="240" w:lineRule="auto"/>
              <w:jc w:val="center"/>
              <w:rPr>
                <w:color w:val="000000"/>
                <w:sz w:val="22"/>
                <w:szCs w:val="22"/>
                <w:lang w:bidi="ar-SA"/>
              </w:rPr>
            </w:pPr>
            <w:r w:rsidRPr="00990A8E">
              <w:rPr>
                <w:color w:val="000000"/>
                <w:sz w:val="22"/>
                <w:szCs w:val="22"/>
              </w:rPr>
              <w:t>37.4%</w:t>
            </w:r>
          </w:p>
        </w:tc>
        <w:tc>
          <w:tcPr>
            <w:tcW w:w="1571" w:type="dxa"/>
            <w:tcBorders>
              <w:top w:val="nil"/>
              <w:left w:val="nil"/>
              <w:bottom w:val="single" w:sz="4" w:space="0" w:color="auto"/>
              <w:right w:val="nil"/>
            </w:tcBorders>
            <w:shd w:val="clear" w:color="auto" w:fill="auto"/>
            <w:noWrap/>
            <w:vAlign w:val="bottom"/>
          </w:tcPr>
          <w:p w14:paraId="22745883" w14:textId="584A587B" w:rsidR="00217FFC" w:rsidRPr="00990A8E" w:rsidRDefault="00C36038" w:rsidP="00D422A0">
            <w:pPr>
              <w:spacing w:after="0" w:line="240" w:lineRule="auto"/>
              <w:jc w:val="center"/>
              <w:rPr>
                <w:color w:val="000000"/>
                <w:sz w:val="22"/>
                <w:szCs w:val="22"/>
                <w:lang w:bidi="ar-SA"/>
              </w:rPr>
            </w:pPr>
            <w:r w:rsidRPr="00990A8E">
              <w:rPr>
                <w:color w:val="000000"/>
                <w:sz w:val="22"/>
                <w:szCs w:val="22"/>
              </w:rPr>
              <w:t>0.281</w:t>
            </w:r>
          </w:p>
        </w:tc>
      </w:tr>
      <w:tr w:rsidR="00990A8E" w:rsidRPr="001E5771" w14:paraId="0FA43EC8" w14:textId="493C540C" w:rsidTr="005D739A">
        <w:trPr>
          <w:trHeight w:val="288"/>
        </w:trPr>
        <w:tc>
          <w:tcPr>
            <w:tcW w:w="9139" w:type="dxa"/>
            <w:gridSpan w:val="5"/>
            <w:tcBorders>
              <w:top w:val="single" w:sz="4" w:space="0" w:color="auto"/>
              <w:left w:val="nil"/>
              <w:bottom w:val="nil"/>
              <w:right w:val="nil"/>
            </w:tcBorders>
            <w:vAlign w:val="bottom"/>
          </w:tcPr>
          <w:p w14:paraId="782DC9D1" w14:textId="2D61149F" w:rsidR="00990A8E" w:rsidRPr="001E5771" w:rsidRDefault="00990A8E" w:rsidP="00D422A0">
            <w:pPr>
              <w:spacing w:after="0" w:line="240" w:lineRule="auto"/>
              <w:rPr>
                <w:color w:val="000000"/>
                <w:sz w:val="22"/>
                <w:szCs w:val="22"/>
                <w:lang w:bidi="ar-SA"/>
              </w:rPr>
            </w:pPr>
            <w:r w:rsidRPr="001E5771">
              <w:rPr>
                <w:color w:val="000000"/>
                <w:sz w:val="22"/>
                <w:szCs w:val="22"/>
                <w:lang w:bidi="ar-SA"/>
              </w:rPr>
              <w:t>Source: Author’s calculation based on 2012 Census of Governments, U.S. Bureau of the Census.</w:t>
            </w:r>
          </w:p>
        </w:tc>
      </w:tr>
    </w:tbl>
    <w:p w14:paraId="39410CAC" w14:textId="77777777" w:rsidR="001E5771" w:rsidRDefault="001E5771" w:rsidP="00D422A0">
      <w:pPr>
        <w:pStyle w:val="ListParagraph"/>
        <w:spacing w:after="0" w:line="480" w:lineRule="auto"/>
        <w:ind w:left="0"/>
        <w:rPr>
          <w:color w:val="000000"/>
        </w:rPr>
      </w:pPr>
    </w:p>
    <w:p w14:paraId="03128498" w14:textId="77EC8B86" w:rsidR="00944979" w:rsidRDefault="00944979" w:rsidP="00D422A0">
      <w:pPr>
        <w:pStyle w:val="ListParagraph"/>
        <w:spacing w:after="0" w:line="360" w:lineRule="auto"/>
        <w:ind w:left="0"/>
        <w:rPr>
          <w:color w:val="000000"/>
        </w:rPr>
      </w:pPr>
      <w:r>
        <w:rPr>
          <w:color w:val="000000"/>
        </w:rPr>
        <w:tab/>
      </w:r>
      <w:r w:rsidR="00CB022E">
        <w:rPr>
          <w:color w:val="000000"/>
        </w:rPr>
        <w:t xml:space="preserve">As a share of total </w:t>
      </w:r>
      <w:r w:rsidR="0021693F">
        <w:rPr>
          <w:color w:val="000000"/>
        </w:rPr>
        <w:t xml:space="preserve">local </w:t>
      </w:r>
      <w:r w:rsidR="00CB022E">
        <w:rPr>
          <w:color w:val="000000"/>
        </w:rPr>
        <w:t xml:space="preserve">taxes, </w:t>
      </w:r>
      <w:r w:rsidR="0021693F">
        <w:rPr>
          <w:color w:val="000000"/>
        </w:rPr>
        <w:t xml:space="preserve">local </w:t>
      </w:r>
      <w:r w:rsidR="00CB022E">
        <w:rPr>
          <w:color w:val="000000"/>
        </w:rPr>
        <w:t xml:space="preserve">property taxes comprise 98.8 percent of total </w:t>
      </w:r>
      <w:r w:rsidR="00A33C66">
        <w:rPr>
          <w:color w:val="000000"/>
        </w:rPr>
        <w:t>local</w:t>
      </w:r>
      <w:r w:rsidR="00CB022E">
        <w:rPr>
          <w:color w:val="000000"/>
        </w:rPr>
        <w:t xml:space="preserve"> government taxes in Connecticut</w:t>
      </w:r>
      <w:r w:rsidR="0021693F">
        <w:rPr>
          <w:color w:val="000000"/>
        </w:rPr>
        <w:t xml:space="preserve"> (which ranks Connecticut the 3</w:t>
      </w:r>
      <w:r w:rsidR="0021693F" w:rsidRPr="0021693F">
        <w:rPr>
          <w:color w:val="000000"/>
          <w:vertAlign w:val="superscript"/>
        </w:rPr>
        <w:t>rd</w:t>
      </w:r>
      <w:r w:rsidR="0021693F">
        <w:rPr>
          <w:color w:val="000000"/>
        </w:rPr>
        <w:t xml:space="preserve"> highest among all states)</w:t>
      </w:r>
      <w:r w:rsidR="00CB022E">
        <w:rPr>
          <w:color w:val="000000"/>
        </w:rPr>
        <w:t xml:space="preserve">. </w:t>
      </w:r>
      <w:r w:rsidR="000D5E03">
        <w:rPr>
          <w:color w:val="000000"/>
        </w:rPr>
        <w:t>This helps to explain in part why</w:t>
      </w:r>
      <w:r w:rsidR="002B6C44">
        <w:rPr>
          <w:color w:val="000000"/>
        </w:rPr>
        <w:t xml:space="preserve"> in 2012</w:t>
      </w:r>
      <w:r w:rsidR="000D5E03">
        <w:rPr>
          <w:color w:val="000000"/>
        </w:rPr>
        <w:t xml:space="preserve"> property tax per capita in Connecticut </w:t>
      </w:r>
      <w:r w:rsidR="002B6C44">
        <w:rPr>
          <w:color w:val="000000"/>
        </w:rPr>
        <w:t>w</w:t>
      </w:r>
      <w:r w:rsidR="0021693F">
        <w:rPr>
          <w:color w:val="000000"/>
        </w:rPr>
        <w:t>as</w:t>
      </w:r>
      <w:r w:rsidR="000D5E03">
        <w:rPr>
          <w:color w:val="000000"/>
        </w:rPr>
        <w:t xml:space="preserve"> the third highest among all states, and 1.9 times the U.S. average. </w:t>
      </w:r>
      <w:r w:rsidR="00FE7BD4">
        <w:rPr>
          <w:color w:val="000000"/>
        </w:rPr>
        <w:t xml:space="preserve">(Note also that </w:t>
      </w:r>
      <w:r w:rsidR="006857FC">
        <w:rPr>
          <w:color w:val="000000"/>
        </w:rPr>
        <w:t xml:space="preserve">local </w:t>
      </w:r>
      <w:r w:rsidR="00FE7BD4">
        <w:rPr>
          <w:color w:val="000000"/>
        </w:rPr>
        <w:t xml:space="preserve">OSR per capita in Connecticut ranks </w:t>
      </w:r>
      <w:r w:rsidR="006857FC" w:rsidRPr="006857FC">
        <w:rPr>
          <w:color w:val="000000"/>
        </w:rPr>
        <w:t>9</w:t>
      </w:r>
      <w:r w:rsidR="006857FC" w:rsidRPr="006857FC">
        <w:rPr>
          <w:color w:val="000000"/>
          <w:vertAlign w:val="superscript"/>
        </w:rPr>
        <w:t>th</w:t>
      </w:r>
      <w:r w:rsidR="006857FC" w:rsidRPr="006857FC">
        <w:rPr>
          <w:color w:val="000000"/>
        </w:rPr>
        <w:t xml:space="preserve"> </w:t>
      </w:r>
      <w:r w:rsidR="0021693F">
        <w:rPr>
          <w:color w:val="000000"/>
        </w:rPr>
        <w:t xml:space="preserve">in </w:t>
      </w:r>
      <w:r w:rsidR="00FE7BD4" w:rsidRPr="006857FC">
        <w:rPr>
          <w:color w:val="000000"/>
        </w:rPr>
        <w:t>the</w:t>
      </w:r>
      <w:r w:rsidR="00FE7BD4">
        <w:rPr>
          <w:color w:val="000000"/>
        </w:rPr>
        <w:t xml:space="preserve"> count</w:t>
      </w:r>
      <w:r w:rsidR="0021693F">
        <w:rPr>
          <w:color w:val="000000"/>
        </w:rPr>
        <w:t>r</w:t>
      </w:r>
      <w:r w:rsidR="00FE7BD4">
        <w:rPr>
          <w:color w:val="000000"/>
        </w:rPr>
        <w:t>y</w:t>
      </w:r>
      <w:r w:rsidR="00856E8B">
        <w:rPr>
          <w:color w:val="000000"/>
        </w:rPr>
        <w:t>, so local government taxes in Connecticut are relatively high</w:t>
      </w:r>
      <w:r w:rsidR="00FE7BD4">
        <w:rPr>
          <w:color w:val="000000"/>
        </w:rPr>
        <w:t>.)</w:t>
      </w:r>
      <w:r w:rsidR="00CB022E">
        <w:rPr>
          <w:color w:val="000000"/>
        </w:rPr>
        <w:t xml:space="preserve"> At the other end </w:t>
      </w:r>
      <w:r w:rsidR="00FE7BD4">
        <w:rPr>
          <w:color w:val="000000"/>
        </w:rPr>
        <w:t xml:space="preserve">of the range </w:t>
      </w:r>
      <w:r w:rsidR="00CB022E">
        <w:rPr>
          <w:color w:val="000000"/>
        </w:rPr>
        <w:t xml:space="preserve">is </w:t>
      </w:r>
      <w:r w:rsidR="00A33C66">
        <w:rPr>
          <w:color w:val="000000"/>
        </w:rPr>
        <w:t>Alabama</w:t>
      </w:r>
      <w:r w:rsidR="00CB022E">
        <w:rPr>
          <w:color w:val="000000"/>
        </w:rPr>
        <w:t xml:space="preserve">, </w:t>
      </w:r>
      <w:r w:rsidR="00764290">
        <w:rPr>
          <w:color w:val="000000"/>
        </w:rPr>
        <w:t xml:space="preserve">where </w:t>
      </w:r>
      <w:r w:rsidR="00CB022E">
        <w:rPr>
          <w:color w:val="000000"/>
        </w:rPr>
        <w:t xml:space="preserve">only </w:t>
      </w:r>
      <w:r w:rsidR="00A33C66">
        <w:rPr>
          <w:color w:val="000000"/>
        </w:rPr>
        <w:t>4</w:t>
      </w:r>
      <w:r w:rsidR="00CB022E">
        <w:rPr>
          <w:color w:val="000000"/>
        </w:rPr>
        <w:t>2.</w:t>
      </w:r>
      <w:r w:rsidR="00A33C66">
        <w:rPr>
          <w:color w:val="000000"/>
        </w:rPr>
        <w:t>8</w:t>
      </w:r>
      <w:r w:rsidR="00CB022E">
        <w:rPr>
          <w:color w:val="000000"/>
        </w:rPr>
        <w:t xml:space="preserve"> percent of </w:t>
      </w:r>
      <w:r w:rsidR="00A33C66">
        <w:rPr>
          <w:color w:val="000000"/>
        </w:rPr>
        <w:t>local government</w:t>
      </w:r>
      <w:r w:rsidR="00764290">
        <w:rPr>
          <w:color w:val="000000"/>
        </w:rPr>
        <w:t xml:space="preserve"> </w:t>
      </w:r>
      <w:r w:rsidR="00CB022E">
        <w:rPr>
          <w:color w:val="000000"/>
        </w:rPr>
        <w:t>taxes come from the property tax.</w:t>
      </w:r>
      <w:r w:rsidR="0073042B">
        <w:rPr>
          <w:color w:val="000000"/>
        </w:rPr>
        <w:t xml:space="preserve"> </w:t>
      </w:r>
      <w:r w:rsidR="00CB022E">
        <w:rPr>
          <w:color w:val="000000"/>
        </w:rPr>
        <w:t>There are 1</w:t>
      </w:r>
      <w:r w:rsidR="00A33C66">
        <w:rPr>
          <w:color w:val="000000"/>
        </w:rPr>
        <w:t>3</w:t>
      </w:r>
      <w:r w:rsidR="00CB022E">
        <w:rPr>
          <w:color w:val="000000"/>
        </w:rPr>
        <w:t xml:space="preserve"> states in which property taxes as </w:t>
      </w:r>
      <w:r w:rsidR="00730813">
        <w:rPr>
          <w:color w:val="000000"/>
        </w:rPr>
        <w:t xml:space="preserve">a </w:t>
      </w:r>
      <w:r w:rsidR="00CB022E">
        <w:rPr>
          <w:color w:val="000000"/>
        </w:rPr>
        <w:t>share of local government total taxes exceeds 90 percent</w:t>
      </w:r>
      <w:r w:rsidR="00A33C66">
        <w:rPr>
          <w:color w:val="000000"/>
        </w:rPr>
        <w:t>, 7 of which are in the Northeast</w:t>
      </w:r>
      <w:r w:rsidR="00CB022E">
        <w:rPr>
          <w:color w:val="000000"/>
        </w:rPr>
        <w:t xml:space="preserve">. The average for the United States is </w:t>
      </w:r>
      <w:r w:rsidR="00A33C66">
        <w:rPr>
          <w:color w:val="000000"/>
        </w:rPr>
        <w:t>73.9</w:t>
      </w:r>
      <w:r w:rsidR="00CB022E">
        <w:rPr>
          <w:color w:val="000000"/>
        </w:rPr>
        <w:t xml:space="preserve"> percent.</w:t>
      </w:r>
    </w:p>
    <w:p w14:paraId="78756420" w14:textId="54DDF1D9" w:rsidR="00CB022E" w:rsidRPr="00710363" w:rsidRDefault="00CB022E" w:rsidP="00D422A0">
      <w:pPr>
        <w:pStyle w:val="ListParagraph"/>
        <w:spacing w:after="0" w:line="360" w:lineRule="auto"/>
        <w:ind w:left="0"/>
        <w:rPr>
          <w:color w:val="000000"/>
        </w:rPr>
      </w:pPr>
      <w:r>
        <w:rPr>
          <w:color w:val="000000"/>
        </w:rPr>
        <w:tab/>
        <w:t>While not really under the control of local governments, intergovernmental revenues is a source of revenue diversity.</w:t>
      </w:r>
      <w:r w:rsidR="0073042B">
        <w:rPr>
          <w:color w:val="000000"/>
        </w:rPr>
        <w:t xml:space="preserve"> </w:t>
      </w:r>
      <w:r>
        <w:rPr>
          <w:color w:val="000000"/>
        </w:rPr>
        <w:t xml:space="preserve">Connecticut </w:t>
      </w:r>
      <w:r w:rsidR="00A33C66">
        <w:rPr>
          <w:color w:val="000000"/>
        </w:rPr>
        <w:t>local</w:t>
      </w:r>
      <w:r w:rsidR="00764290">
        <w:rPr>
          <w:color w:val="000000"/>
        </w:rPr>
        <w:t xml:space="preserve"> governments </w:t>
      </w:r>
      <w:r>
        <w:rPr>
          <w:color w:val="000000"/>
        </w:rPr>
        <w:t xml:space="preserve">get </w:t>
      </w:r>
      <w:r w:rsidR="00CB0E50">
        <w:rPr>
          <w:color w:val="000000"/>
        </w:rPr>
        <w:t>2</w:t>
      </w:r>
      <w:r w:rsidR="00A33C66">
        <w:rPr>
          <w:color w:val="000000"/>
        </w:rPr>
        <w:t>9</w:t>
      </w:r>
      <w:r w:rsidR="00CB0E50">
        <w:rPr>
          <w:color w:val="000000"/>
        </w:rPr>
        <w:t>.</w:t>
      </w:r>
      <w:r w:rsidR="00A33C66">
        <w:rPr>
          <w:color w:val="000000"/>
        </w:rPr>
        <w:t>2</w:t>
      </w:r>
      <w:r w:rsidR="00CB0E50">
        <w:rPr>
          <w:color w:val="000000"/>
        </w:rPr>
        <w:t xml:space="preserve"> percent of </w:t>
      </w:r>
      <w:r w:rsidR="00764290">
        <w:rPr>
          <w:color w:val="000000"/>
        </w:rPr>
        <w:t>their</w:t>
      </w:r>
      <w:r w:rsidR="00CB0E50">
        <w:rPr>
          <w:color w:val="000000"/>
        </w:rPr>
        <w:t xml:space="preserve"> general </w:t>
      </w:r>
      <w:r w:rsidR="00CB0E50">
        <w:rPr>
          <w:color w:val="000000"/>
        </w:rPr>
        <w:lastRenderedPageBreak/>
        <w:t xml:space="preserve">revenue from intergovernmental grants, </w:t>
      </w:r>
      <w:r w:rsidR="00A33C66">
        <w:rPr>
          <w:color w:val="000000"/>
        </w:rPr>
        <w:t xml:space="preserve">which is lower than </w:t>
      </w:r>
      <w:r w:rsidR="004C356D">
        <w:rPr>
          <w:color w:val="000000"/>
        </w:rPr>
        <w:t>47 states and the District of Columbia</w:t>
      </w:r>
      <w:r w:rsidR="002B6C44">
        <w:rPr>
          <w:color w:val="000000"/>
        </w:rPr>
        <w:t xml:space="preserve"> (Table</w:t>
      </w:r>
      <w:r w:rsidR="00F87636">
        <w:rPr>
          <w:color w:val="000000"/>
        </w:rPr>
        <w:t xml:space="preserve"> </w:t>
      </w:r>
      <w:r w:rsidR="002B6C44">
        <w:rPr>
          <w:color w:val="000000"/>
        </w:rPr>
        <w:t>1, column 3)</w:t>
      </w:r>
      <w:r w:rsidR="00A33C66">
        <w:rPr>
          <w:color w:val="000000"/>
        </w:rPr>
        <w:t>.</w:t>
      </w:r>
      <w:r w:rsidR="00CB0E50">
        <w:rPr>
          <w:color w:val="000000"/>
        </w:rPr>
        <w:t xml:space="preserve"> </w:t>
      </w:r>
    </w:p>
    <w:p w14:paraId="4A8F2693" w14:textId="217B3134" w:rsidR="00096C9D" w:rsidRDefault="00856E8B" w:rsidP="00D422A0">
      <w:pPr>
        <w:pStyle w:val="ListParagraph"/>
        <w:spacing w:after="0" w:line="360" w:lineRule="auto"/>
        <w:ind w:left="0" w:firstLine="720"/>
        <w:rPr>
          <w:color w:val="000000"/>
        </w:rPr>
      </w:pPr>
      <w:r>
        <w:rPr>
          <w:color w:val="000000"/>
        </w:rPr>
        <w:t>For a</w:t>
      </w:r>
      <w:r w:rsidR="00096C9D" w:rsidRPr="00710363">
        <w:rPr>
          <w:color w:val="000000"/>
        </w:rPr>
        <w:t xml:space="preserve"> more </w:t>
      </w:r>
      <w:r w:rsidR="00B44939">
        <w:rPr>
          <w:color w:val="000000"/>
        </w:rPr>
        <w:t xml:space="preserve">complete </w:t>
      </w:r>
      <w:r w:rsidR="00A33C66">
        <w:rPr>
          <w:color w:val="000000"/>
        </w:rPr>
        <w:t xml:space="preserve">or comprehensive </w:t>
      </w:r>
      <w:r w:rsidR="00096C9D" w:rsidRPr="00F434C8">
        <w:rPr>
          <w:color w:val="000000"/>
        </w:rPr>
        <w:t>measur</w:t>
      </w:r>
      <w:r w:rsidR="00B44939">
        <w:rPr>
          <w:color w:val="000000"/>
        </w:rPr>
        <w:t>e of</w:t>
      </w:r>
      <w:r w:rsidR="00096C9D" w:rsidRPr="00F434C8">
        <w:rPr>
          <w:color w:val="000000"/>
        </w:rPr>
        <w:t xml:space="preserve"> revenue diversification </w:t>
      </w:r>
      <w:r>
        <w:rPr>
          <w:color w:val="000000"/>
        </w:rPr>
        <w:t>one can use</w:t>
      </w:r>
      <w:r w:rsidR="00096C9D" w:rsidRPr="00F434C8">
        <w:rPr>
          <w:color w:val="000000"/>
        </w:rPr>
        <w:t xml:space="preserve"> </w:t>
      </w:r>
      <w:r w:rsidR="00B44939">
        <w:rPr>
          <w:color w:val="000000"/>
        </w:rPr>
        <w:t>the</w:t>
      </w:r>
      <w:r w:rsidR="00096C9D">
        <w:rPr>
          <w:color w:val="000000"/>
        </w:rPr>
        <w:t xml:space="preserve"> Herfindahl Index</w:t>
      </w:r>
      <w:r w:rsidR="00B44939">
        <w:rPr>
          <w:color w:val="000000"/>
        </w:rPr>
        <w:t>.</w:t>
      </w:r>
      <w:r w:rsidR="00096C9D">
        <w:rPr>
          <w:color w:val="000000"/>
        </w:rPr>
        <w:t xml:space="preserve"> The </w:t>
      </w:r>
      <w:r w:rsidR="00B44939">
        <w:rPr>
          <w:color w:val="000000"/>
        </w:rPr>
        <w:t xml:space="preserve">Herfindahl </w:t>
      </w:r>
      <w:r w:rsidR="00096C9D">
        <w:rPr>
          <w:color w:val="000000"/>
        </w:rPr>
        <w:t xml:space="preserve">Index is </w:t>
      </w:r>
      <w:r w:rsidR="00096C9D" w:rsidRPr="00F434C8">
        <w:rPr>
          <w:color w:val="000000"/>
        </w:rPr>
        <w:t>calculated as the sum of the square</w:t>
      </w:r>
      <w:r w:rsidR="00FE7BD4">
        <w:rPr>
          <w:color w:val="000000"/>
        </w:rPr>
        <w:t>s</w:t>
      </w:r>
      <w:r w:rsidR="00096C9D" w:rsidRPr="00F434C8">
        <w:rPr>
          <w:color w:val="000000"/>
        </w:rPr>
        <w:t xml:space="preserve"> of the share of each source of own source revenue.</w:t>
      </w:r>
      <w:r w:rsidR="0073042B">
        <w:rPr>
          <w:color w:val="000000"/>
        </w:rPr>
        <w:t xml:space="preserve"> </w:t>
      </w:r>
      <w:r w:rsidR="00096C9D" w:rsidRPr="00F434C8">
        <w:rPr>
          <w:color w:val="000000"/>
        </w:rPr>
        <w:t>The</w:t>
      </w:r>
      <w:r w:rsidR="00096C9D">
        <w:rPr>
          <w:color w:val="000000"/>
        </w:rPr>
        <w:t xml:space="preserve"> greater the number of revenue sources available and the more equal the share of revenue from the available revenue sources, the</w:t>
      </w:r>
      <w:r w:rsidR="00096C9D" w:rsidRPr="00F434C8">
        <w:rPr>
          <w:color w:val="000000"/>
        </w:rPr>
        <w:t xml:space="preserve"> greater is the diversity of revenue sources</w:t>
      </w:r>
      <w:r w:rsidR="00096C9D">
        <w:rPr>
          <w:color w:val="000000"/>
        </w:rPr>
        <w:t>.</w:t>
      </w:r>
      <w:r w:rsidR="0073042B">
        <w:rPr>
          <w:color w:val="000000"/>
        </w:rPr>
        <w:t xml:space="preserve"> </w:t>
      </w:r>
      <w:r w:rsidR="00A33C66" w:rsidRPr="00F434C8">
        <w:rPr>
          <w:color w:val="000000"/>
        </w:rPr>
        <w:t xml:space="preserve">If a local government had only one source of revenue, the Herfindahl Index would equal one, while if there were </w:t>
      </w:r>
      <w:r w:rsidR="00A33C66">
        <w:rPr>
          <w:color w:val="000000"/>
        </w:rPr>
        <w:t>10</w:t>
      </w:r>
      <w:r w:rsidR="00A33C66" w:rsidRPr="00F434C8">
        <w:rPr>
          <w:color w:val="000000"/>
        </w:rPr>
        <w:t xml:space="preserve"> revenue sources and each source yielded the same amount of revenue, the Herfindahl Index would equal 0.1</w:t>
      </w:r>
      <w:r w:rsidR="00A33C66">
        <w:rPr>
          <w:color w:val="000000"/>
        </w:rPr>
        <w:t>0</w:t>
      </w:r>
      <w:r w:rsidR="00A33C66" w:rsidRPr="00F434C8">
        <w:rPr>
          <w:color w:val="000000"/>
        </w:rPr>
        <w:t>.</w:t>
      </w:r>
      <w:r w:rsidR="00DE21FA">
        <w:rPr>
          <w:rStyle w:val="FootnoteReference"/>
          <w:color w:val="000000"/>
        </w:rPr>
        <w:footnoteReference w:id="5"/>
      </w:r>
      <w:r w:rsidR="00A33C66" w:rsidRPr="00F434C8">
        <w:rPr>
          <w:color w:val="000000"/>
        </w:rPr>
        <w:t xml:space="preserve"> </w:t>
      </w:r>
      <w:r w:rsidR="00FE7BD4">
        <w:rPr>
          <w:color w:val="000000"/>
        </w:rPr>
        <w:t xml:space="preserve">The greater the concentration of revenue, the larger the value of the Herfindahl Index, </w:t>
      </w:r>
      <w:r w:rsidR="00730813">
        <w:rPr>
          <w:color w:val="000000"/>
        </w:rPr>
        <w:t>while</w:t>
      </w:r>
      <w:r w:rsidR="00FE7BD4">
        <w:rPr>
          <w:color w:val="000000"/>
        </w:rPr>
        <w:t xml:space="preserve"> t</w:t>
      </w:r>
      <w:r w:rsidR="00096C9D">
        <w:rPr>
          <w:color w:val="000000"/>
        </w:rPr>
        <w:t>he greater the diversity of revenue,</w:t>
      </w:r>
      <w:r w:rsidR="00096C9D" w:rsidRPr="00F434C8">
        <w:rPr>
          <w:color w:val="000000"/>
        </w:rPr>
        <w:t xml:space="preserve"> the lower is the value of the Herfindahl Index.</w:t>
      </w:r>
      <w:r w:rsidR="0073042B">
        <w:rPr>
          <w:color w:val="000000"/>
        </w:rPr>
        <w:t xml:space="preserve"> </w:t>
      </w:r>
    </w:p>
    <w:p w14:paraId="44277FD5" w14:textId="1CE2A2EC" w:rsidR="002B6C44" w:rsidRDefault="0074105E" w:rsidP="00495617">
      <w:pPr>
        <w:pStyle w:val="ListParagraph"/>
        <w:spacing w:after="0" w:line="360" w:lineRule="auto"/>
        <w:ind w:left="0" w:firstLine="720"/>
        <w:rPr>
          <w:color w:val="000000"/>
        </w:rPr>
      </w:pPr>
      <w:r>
        <w:rPr>
          <w:color w:val="000000"/>
        </w:rPr>
        <w:t>U</w:t>
      </w:r>
      <w:r w:rsidRPr="00944836">
        <w:rPr>
          <w:color w:val="000000"/>
        </w:rPr>
        <w:t xml:space="preserve">sing the </w:t>
      </w:r>
      <w:r w:rsidR="00856E8B">
        <w:rPr>
          <w:color w:val="000000"/>
        </w:rPr>
        <w:t xml:space="preserve">2012 </w:t>
      </w:r>
      <w:r w:rsidRPr="00944836">
        <w:rPr>
          <w:color w:val="000000"/>
        </w:rPr>
        <w:t xml:space="preserve">local government </w:t>
      </w:r>
      <w:r w:rsidR="00730813">
        <w:rPr>
          <w:color w:val="000000"/>
        </w:rPr>
        <w:t xml:space="preserve">OSR </w:t>
      </w:r>
      <w:r w:rsidRPr="00944836">
        <w:rPr>
          <w:color w:val="000000"/>
        </w:rPr>
        <w:t xml:space="preserve">revenue data </w:t>
      </w:r>
      <w:r w:rsidR="000A6609">
        <w:rPr>
          <w:color w:val="000000"/>
        </w:rPr>
        <w:t>from</w:t>
      </w:r>
      <w:r w:rsidRPr="00944836">
        <w:rPr>
          <w:color w:val="000000"/>
        </w:rPr>
        <w:t xml:space="preserve"> the Bureau of the Census</w:t>
      </w:r>
      <w:r>
        <w:rPr>
          <w:color w:val="000000"/>
        </w:rPr>
        <w:t xml:space="preserve">, </w:t>
      </w:r>
      <w:r w:rsidR="00096C9D" w:rsidRPr="00F434C8">
        <w:rPr>
          <w:color w:val="000000"/>
        </w:rPr>
        <w:t>He</w:t>
      </w:r>
      <w:r w:rsidR="00096C9D" w:rsidRPr="00944836">
        <w:rPr>
          <w:color w:val="000000"/>
        </w:rPr>
        <w:t>rfindahl indices</w:t>
      </w:r>
      <w:r w:rsidR="00096C9D">
        <w:rPr>
          <w:color w:val="000000"/>
        </w:rPr>
        <w:t xml:space="preserve"> were calculated </w:t>
      </w:r>
      <w:r w:rsidR="00096C9D" w:rsidRPr="00944836">
        <w:rPr>
          <w:color w:val="000000"/>
        </w:rPr>
        <w:t>for each state</w:t>
      </w:r>
      <w:r w:rsidR="00F44176">
        <w:rPr>
          <w:color w:val="000000"/>
        </w:rPr>
        <w:t>, including the District of Columbia</w:t>
      </w:r>
      <w:r w:rsidR="00096C9D" w:rsidRPr="00944836">
        <w:rPr>
          <w:color w:val="000000"/>
        </w:rPr>
        <w:t xml:space="preserve"> </w:t>
      </w:r>
      <w:r w:rsidR="00B44939">
        <w:rPr>
          <w:color w:val="000000"/>
        </w:rPr>
        <w:t>(Table 1</w:t>
      </w:r>
      <w:r w:rsidR="00A33C66">
        <w:rPr>
          <w:color w:val="000000"/>
        </w:rPr>
        <w:t>, column 4</w:t>
      </w:r>
      <w:r w:rsidR="00B44939">
        <w:rPr>
          <w:color w:val="000000"/>
        </w:rPr>
        <w:t>).</w:t>
      </w:r>
      <w:r w:rsidR="0073042B">
        <w:rPr>
          <w:color w:val="000000"/>
        </w:rPr>
        <w:t xml:space="preserve"> </w:t>
      </w:r>
      <w:r w:rsidR="00321460">
        <w:rPr>
          <w:color w:val="000000"/>
        </w:rPr>
        <w:t>By this measure, Connecticut has the le</w:t>
      </w:r>
      <w:r w:rsidR="002B6C44">
        <w:rPr>
          <w:color w:val="000000"/>
        </w:rPr>
        <w:t>ast</w:t>
      </w:r>
      <w:r w:rsidR="00321460">
        <w:rPr>
          <w:color w:val="000000"/>
        </w:rPr>
        <w:t xml:space="preserve"> diverse local government revenue system</w:t>
      </w:r>
      <w:r w:rsidR="00764290">
        <w:rPr>
          <w:color w:val="000000"/>
        </w:rPr>
        <w:t xml:space="preserve"> of any state</w:t>
      </w:r>
      <w:r w:rsidR="002B6C44">
        <w:rPr>
          <w:color w:val="000000"/>
        </w:rPr>
        <w:t>, with a Herfindahl Index of 0.776</w:t>
      </w:r>
      <w:r w:rsidR="00321460">
        <w:rPr>
          <w:color w:val="000000"/>
        </w:rPr>
        <w:t>.</w:t>
      </w:r>
      <w:r w:rsidR="0073042B">
        <w:rPr>
          <w:color w:val="000000"/>
        </w:rPr>
        <w:t xml:space="preserve"> </w:t>
      </w:r>
      <w:r w:rsidR="00096C9D" w:rsidRPr="00944836">
        <w:rPr>
          <w:color w:val="000000"/>
        </w:rPr>
        <w:t>The value of the</w:t>
      </w:r>
      <w:r w:rsidR="002B6C44">
        <w:rPr>
          <w:color w:val="000000"/>
        </w:rPr>
        <w:t xml:space="preserve"> Herfindal I</w:t>
      </w:r>
      <w:r w:rsidR="00096C9D" w:rsidRPr="00944836">
        <w:rPr>
          <w:color w:val="000000"/>
        </w:rPr>
        <w:t xml:space="preserve">ndex for </w:t>
      </w:r>
      <w:r w:rsidR="002B6C44">
        <w:rPr>
          <w:color w:val="000000"/>
        </w:rPr>
        <w:t>all</w:t>
      </w:r>
      <w:r w:rsidR="00096C9D" w:rsidRPr="00944836">
        <w:rPr>
          <w:color w:val="000000"/>
        </w:rPr>
        <w:t xml:space="preserve"> local government</w:t>
      </w:r>
      <w:r w:rsidR="00730813">
        <w:rPr>
          <w:color w:val="000000"/>
        </w:rPr>
        <w:t>s</w:t>
      </w:r>
      <w:r w:rsidR="00890CCC">
        <w:rPr>
          <w:color w:val="000000"/>
        </w:rPr>
        <w:t xml:space="preserve"> </w:t>
      </w:r>
      <w:r w:rsidR="00096C9D" w:rsidRPr="00944836">
        <w:rPr>
          <w:color w:val="000000"/>
        </w:rPr>
        <w:t>in the U.S. is 0.</w:t>
      </w:r>
      <w:r w:rsidR="00F44176">
        <w:rPr>
          <w:color w:val="000000"/>
        </w:rPr>
        <w:t>189</w:t>
      </w:r>
      <w:r w:rsidR="00A33C66">
        <w:rPr>
          <w:color w:val="000000"/>
        </w:rPr>
        <w:t>, s</w:t>
      </w:r>
      <w:r w:rsidR="00096C9D" w:rsidRPr="00944836">
        <w:rPr>
          <w:color w:val="000000"/>
        </w:rPr>
        <w:t>uggest</w:t>
      </w:r>
      <w:r w:rsidR="00A33C66">
        <w:rPr>
          <w:color w:val="000000"/>
        </w:rPr>
        <w:t>ing</w:t>
      </w:r>
      <w:r w:rsidR="00096C9D" w:rsidRPr="00944836">
        <w:rPr>
          <w:color w:val="000000"/>
        </w:rPr>
        <w:t xml:space="preserve"> substantial diversity of </w:t>
      </w:r>
      <w:r w:rsidR="00A33C66">
        <w:rPr>
          <w:color w:val="000000"/>
        </w:rPr>
        <w:t xml:space="preserve">local government </w:t>
      </w:r>
      <w:r w:rsidR="00096C9D" w:rsidRPr="00944836">
        <w:rPr>
          <w:color w:val="000000"/>
        </w:rPr>
        <w:t>revenue sources. Twenty-</w:t>
      </w:r>
      <w:r w:rsidR="00F44176">
        <w:rPr>
          <w:color w:val="000000"/>
        </w:rPr>
        <w:t>seven</w:t>
      </w:r>
      <w:r w:rsidR="00096C9D" w:rsidRPr="00944836">
        <w:rPr>
          <w:color w:val="000000"/>
        </w:rPr>
        <w:t xml:space="preserve"> states have </w:t>
      </w:r>
      <w:r w:rsidR="00764290">
        <w:rPr>
          <w:color w:val="000000"/>
        </w:rPr>
        <w:t xml:space="preserve">Herfindahl </w:t>
      </w:r>
      <w:r w:rsidR="00096C9D" w:rsidRPr="00944836">
        <w:rPr>
          <w:color w:val="000000"/>
        </w:rPr>
        <w:t xml:space="preserve">index values </w:t>
      </w:r>
      <w:r w:rsidR="00764290">
        <w:rPr>
          <w:color w:val="000000"/>
        </w:rPr>
        <w:t xml:space="preserve">of </w:t>
      </w:r>
      <w:r w:rsidR="00F44176">
        <w:rPr>
          <w:color w:val="000000"/>
        </w:rPr>
        <w:t>less than 0.200</w:t>
      </w:r>
      <w:r w:rsidR="00096C9D" w:rsidRPr="00710363">
        <w:rPr>
          <w:color w:val="000000"/>
        </w:rPr>
        <w:t>.</w:t>
      </w:r>
      <w:r w:rsidR="0073042B">
        <w:rPr>
          <w:color w:val="000000"/>
        </w:rPr>
        <w:t xml:space="preserve"> </w:t>
      </w:r>
      <w:r w:rsidR="00096C9D" w:rsidRPr="00710363">
        <w:rPr>
          <w:color w:val="000000"/>
        </w:rPr>
        <w:t xml:space="preserve">The five states with the highest </w:t>
      </w:r>
      <w:r w:rsidR="00A33C66">
        <w:rPr>
          <w:color w:val="000000"/>
        </w:rPr>
        <w:t>Herfindahl I</w:t>
      </w:r>
      <w:r w:rsidR="00096C9D" w:rsidRPr="00710363">
        <w:rPr>
          <w:color w:val="000000"/>
        </w:rPr>
        <w:t>ndex values, and thus the smallest degree of local government revenue diversity, are Connecticut (0.7</w:t>
      </w:r>
      <w:r w:rsidR="00F44176">
        <w:rPr>
          <w:color w:val="000000"/>
        </w:rPr>
        <w:t>7</w:t>
      </w:r>
      <w:r w:rsidR="00A33C66">
        <w:rPr>
          <w:color w:val="000000"/>
        </w:rPr>
        <w:t>6</w:t>
      </w:r>
      <w:r w:rsidR="00096C9D" w:rsidRPr="00710363">
        <w:rPr>
          <w:color w:val="000000"/>
        </w:rPr>
        <w:t xml:space="preserve">), </w:t>
      </w:r>
      <w:r w:rsidR="00A33C66">
        <w:rPr>
          <w:color w:val="000000"/>
        </w:rPr>
        <w:t>New Hampshire (0.729</w:t>
      </w:r>
      <w:r w:rsidR="00A33C66" w:rsidRPr="00710363">
        <w:rPr>
          <w:color w:val="000000"/>
        </w:rPr>
        <w:t>)</w:t>
      </w:r>
      <w:r w:rsidR="00A33C66">
        <w:rPr>
          <w:color w:val="000000"/>
        </w:rPr>
        <w:t>, Rhode Island (0.</w:t>
      </w:r>
      <w:r w:rsidR="00F44176">
        <w:rPr>
          <w:color w:val="000000"/>
        </w:rPr>
        <w:t>6</w:t>
      </w:r>
      <w:r w:rsidR="00A33C66">
        <w:rPr>
          <w:color w:val="000000"/>
        </w:rPr>
        <w:t>7</w:t>
      </w:r>
      <w:r w:rsidR="00F44176">
        <w:rPr>
          <w:color w:val="000000"/>
        </w:rPr>
        <w:t xml:space="preserve">6), </w:t>
      </w:r>
      <w:r w:rsidR="000D5E03">
        <w:rPr>
          <w:color w:val="000000"/>
        </w:rPr>
        <w:t>Maine</w:t>
      </w:r>
      <w:r w:rsidR="000D5E03" w:rsidRPr="00710363">
        <w:rPr>
          <w:color w:val="000000"/>
        </w:rPr>
        <w:t xml:space="preserve"> (0.</w:t>
      </w:r>
      <w:r w:rsidR="000D5E03">
        <w:rPr>
          <w:color w:val="000000"/>
        </w:rPr>
        <w:t>661</w:t>
      </w:r>
      <w:r w:rsidR="000D5E03" w:rsidRPr="00710363">
        <w:rPr>
          <w:color w:val="000000"/>
        </w:rPr>
        <w:t>)</w:t>
      </w:r>
      <w:r w:rsidR="000D5E03">
        <w:rPr>
          <w:color w:val="000000"/>
        </w:rPr>
        <w:t xml:space="preserve">, and </w:t>
      </w:r>
      <w:r w:rsidR="00F44176">
        <w:rPr>
          <w:color w:val="000000"/>
        </w:rPr>
        <w:t>Massachusetts</w:t>
      </w:r>
      <w:r w:rsidR="00096C9D" w:rsidRPr="00710363">
        <w:rPr>
          <w:color w:val="000000"/>
        </w:rPr>
        <w:t xml:space="preserve"> (0.</w:t>
      </w:r>
      <w:r w:rsidR="00F44176">
        <w:rPr>
          <w:color w:val="000000"/>
        </w:rPr>
        <w:t>6</w:t>
      </w:r>
      <w:r w:rsidR="00A33C66">
        <w:rPr>
          <w:color w:val="000000"/>
        </w:rPr>
        <w:t>05</w:t>
      </w:r>
      <w:r w:rsidR="000D5E03">
        <w:rPr>
          <w:color w:val="000000"/>
        </w:rPr>
        <w:t>)</w:t>
      </w:r>
      <w:r w:rsidR="002B6C44">
        <w:rPr>
          <w:color w:val="000000"/>
        </w:rPr>
        <w:t>, all of which are states in the Northeast</w:t>
      </w:r>
      <w:r w:rsidR="000D5E03">
        <w:rPr>
          <w:color w:val="000000"/>
        </w:rPr>
        <w:t xml:space="preserve">. </w:t>
      </w:r>
      <w:r w:rsidR="00096C9D" w:rsidRPr="00710363">
        <w:rPr>
          <w:color w:val="000000"/>
        </w:rPr>
        <w:t xml:space="preserve">Given that these states do not have very diverse local government revenue structures, it is not surprising that they </w:t>
      </w:r>
      <w:r w:rsidR="00321460">
        <w:rPr>
          <w:color w:val="000000"/>
        </w:rPr>
        <w:t xml:space="preserve">also </w:t>
      </w:r>
      <w:r w:rsidR="00096C9D" w:rsidRPr="00710363">
        <w:rPr>
          <w:color w:val="000000"/>
        </w:rPr>
        <w:t>rely heavily on property taxes.</w:t>
      </w:r>
      <w:r w:rsidR="0073042B">
        <w:rPr>
          <w:color w:val="000000"/>
        </w:rPr>
        <w:t xml:space="preserve"> </w:t>
      </w:r>
      <w:r w:rsidR="000D5E03">
        <w:rPr>
          <w:color w:val="000000"/>
        </w:rPr>
        <w:t xml:space="preserve">The correlation between the Herfindahl Index and property taxes as a share of own source revenue is very high, namely, 0.96. </w:t>
      </w:r>
    </w:p>
    <w:p w14:paraId="7D5A7532" w14:textId="77777777" w:rsidR="009D2E18" w:rsidRDefault="009D2E18" w:rsidP="00495617">
      <w:pPr>
        <w:pStyle w:val="ListParagraph"/>
        <w:spacing w:after="0" w:line="360" w:lineRule="auto"/>
        <w:ind w:left="0" w:firstLine="720"/>
        <w:rPr>
          <w:color w:val="000000"/>
          <w:u w:val="single"/>
        </w:rPr>
      </w:pPr>
    </w:p>
    <w:p w14:paraId="22913BFA" w14:textId="35E35D03" w:rsidR="00096C9D" w:rsidRPr="000A6609" w:rsidRDefault="00764290" w:rsidP="00C5513A">
      <w:pPr>
        <w:pStyle w:val="Heading1"/>
      </w:pPr>
      <w:bookmarkStart w:id="39" w:name="_Toc433373625"/>
      <w:r w:rsidRPr="000A6609">
        <w:lastRenderedPageBreak/>
        <w:t xml:space="preserve">Reasons </w:t>
      </w:r>
      <w:r w:rsidR="00990451" w:rsidRPr="000A6609">
        <w:t>f</w:t>
      </w:r>
      <w:r w:rsidRPr="000A6609">
        <w:t xml:space="preserve">or </w:t>
      </w:r>
      <w:r w:rsidR="00990451" w:rsidRPr="000A6609">
        <w:t>and against</w:t>
      </w:r>
      <w:r w:rsidR="00BA1D97" w:rsidRPr="000A6609">
        <w:t xml:space="preserve"> </w:t>
      </w:r>
      <w:r w:rsidR="00096C9D" w:rsidRPr="000A6609">
        <w:t>Diversify</w:t>
      </w:r>
      <w:r w:rsidRPr="000A6609">
        <w:t>ing Local Government Revenue</w:t>
      </w:r>
      <w:bookmarkEnd w:id="39"/>
    </w:p>
    <w:p w14:paraId="3514373C" w14:textId="77777777" w:rsidR="00BC2A51" w:rsidRDefault="00BA1D97" w:rsidP="00D422A0">
      <w:pPr>
        <w:pStyle w:val="ListParagraph"/>
        <w:spacing w:after="0" w:line="360" w:lineRule="auto"/>
        <w:ind w:left="0" w:firstLine="720"/>
        <w:rPr>
          <w:bCs/>
          <w:color w:val="000000"/>
        </w:rPr>
      </w:pPr>
      <w:r>
        <w:rPr>
          <w:bCs/>
          <w:color w:val="000000"/>
        </w:rPr>
        <w:t xml:space="preserve">In this section we discuss the arguments in support of and against local government </w:t>
      </w:r>
      <w:r w:rsidR="00BC2A51">
        <w:rPr>
          <w:bCs/>
          <w:color w:val="000000"/>
        </w:rPr>
        <w:t xml:space="preserve">revenue </w:t>
      </w:r>
      <w:r>
        <w:rPr>
          <w:bCs/>
          <w:color w:val="000000"/>
        </w:rPr>
        <w:t xml:space="preserve">diversification. </w:t>
      </w:r>
    </w:p>
    <w:p w14:paraId="4E457941" w14:textId="78073EC2" w:rsidR="00BC2A51" w:rsidRPr="00990451" w:rsidRDefault="00BC2A51" w:rsidP="00C5513A">
      <w:pPr>
        <w:pStyle w:val="Heading2"/>
      </w:pPr>
      <w:bookmarkStart w:id="40" w:name="_Toc433373626"/>
      <w:r w:rsidRPr="00990451">
        <w:t>Arguments for Revenue Diversification</w:t>
      </w:r>
      <w:bookmarkEnd w:id="40"/>
    </w:p>
    <w:p w14:paraId="1D3E426F" w14:textId="70776D4C" w:rsidR="000A6609" w:rsidRDefault="00BA1D97" w:rsidP="00D422A0">
      <w:pPr>
        <w:pStyle w:val="ListParagraph"/>
        <w:spacing w:after="0" w:line="360" w:lineRule="auto"/>
        <w:ind w:left="0" w:firstLine="720"/>
        <w:rPr>
          <w:color w:val="000000"/>
        </w:rPr>
      </w:pPr>
      <w:r w:rsidRPr="00BA1D97">
        <w:rPr>
          <w:bCs/>
          <w:color w:val="000000"/>
        </w:rPr>
        <w:t xml:space="preserve">The Advisory Commission on Intergovernmental Relations (1988) outlined several arguments supporting or justifying </w:t>
      </w:r>
      <w:r w:rsidR="00096C9D" w:rsidRPr="00BA1D97">
        <w:rPr>
          <w:color w:val="000000"/>
        </w:rPr>
        <w:t>local revenue diversification</w:t>
      </w:r>
      <w:r>
        <w:rPr>
          <w:color w:val="000000"/>
        </w:rPr>
        <w:t>. These include</w:t>
      </w:r>
      <w:r w:rsidR="00E80642">
        <w:rPr>
          <w:color w:val="000000"/>
        </w:rPr>
        <w:t xml:space="preserve"> the following arguments. </w:t>
      </w:r>
    </w:p>
    <w:p w14:paraId="41F716F3" w14:textId="2B10CB7F" w:rsidR="00A50ECC" w:rsidRPr="009F1011" w:rsidRDefault="00096C9D" w:rsidP="009F1011">
      <w:pPr>
        <w:pStyle w:val="Heading3"/>
      </w:pPr>
      <w:bookmarkStart w:id="41" w:name="_Toc433373627"/>
      <w:r w:rsidRPr="009F1011">
        <w:t xml:space="preserve">Capture Local Revenue </w:t>
      </w:r>
      <w:r w:rsidR="00A542FF" w:rsidRPr="009F1011">
        <w:t xml:space="preserve">Raising </w:t>
      </w:r>
      <w:r w:rsidRPr="009F1011">
        <w:t>Capacity</w:t>
      </w:r>
      <w:bookmarkEnd w:id="41"/>
    </w:p>
    <w:p w14:paraId="5553CE88" w14:textId="5AA4AF97" w:rsidR="00096C9D" w:rsidRPr="000A6609" w:rsidRDefault="00834595" w:rsidP="000A6609">
      <w:pPr>
        <w:spacing w:after="0" w:line="360" w:lineRule="auto"/>
        <w:ind w:firstLine="720"/>
      </w:pPr>
      <w:r w:rsidRPr="00A50ECC">
        <w:rPr>
          <w:color w:val="000000"/>
        </w:rPr>
        <w:t>Local government</w:t>
      </w:r>
      <w:r w:rsidR="00E80642">
        <w:rPr>
          <w:color w:val="000000"/>
        </w:rPr>
        <w:t>s</w:t>
      </w:r>
      <w:r w:rsidRPr="00A50ECC">
        <w:rPr>
          <w:color w:val="000000"/>
        </w:rPr>
        <w:t xml:space="preserve"> differ in the relative size of alternative tax bases since economic and demographic conditions that determine the size of the tax base</w:t>
      </w:r>
      <w:r w:rsidR="00BC2A51">
        <w:rPr>
          <w:color w:val="000000"/>
        </w:rPr>
        <w:t>s</w:t>
      </w:r>
      <w:r w:rsidRPr="00A50ECC">
        <w:rPr>
          <w:color w:val="000000"/>
        </w:rPr>
        <w:t xml:space="preserve"> differ across jurisdiction.</w:t>
      </w:r>
      <w:r w:rsidR="00EA0A49">
        <w:rPr>
          <w:rStyle w:val="FootnoteReference"/>
          <w:color w:val="000000"/>
        </w:rPr>
        <w:footnoteReference w:id="6"/>
      </w:r>
      <w:r w:rsidR="00096C9D" w:rsidRPr="00A50ECC">
        <w:rPr>
          <w:color w:val="000000"/>
        </w:rPr>
        <w:t xml:space="preserve"> </w:t>
      </w:r>
      <w:r w:rsidR="00A542FF" w:rsidRPr="00A50ECC">
        <w:rPr>
          <w:color w:val="000000"/>
        </w:rPr>
        <w:t>F</w:t>
      </w:r>
      <w:r w:rsidR="00096C9D" w:rsidRPr="00A50ECC">
        <w:rPr>
          <w:color w:val="000000"/>
        </w:rPr>
        <w:t xml:space="preserve">or example, </w:t>
      </w:r>
      <w:r w:rsidR="005A1EAD" w:rsidRPr="00A50ECC">
        <w:rPr>
          <w:color w:val="000000"/>
        </w:rPr>
        <w:t xml:space="preserve">a sales tax will have a high revenue capacity in </w:t>
      </w:r>
      <w:r w:rsidR="00096C9D" w:rsidRPr="00A50ECC">
        <w:rPr>
          <w:color w:val="000000"/>
        </w:rPr>
        <w:t xml:space="preserve">a locality </w:t>
      </w:r>
      <w:r w:rsidR="00A542FF" w:rsidRPr="00A50ECC">
        <w:rPr>
          <w:color w:val="000000"/>
        </w:rPr>
        <w:t>which is a retail center, while a</w:t>
      </w:r>
      <w:r w:rsidR="005A1EAD" w:rsidRPr="00A50ECC">
        <w:rPr>
          <w:color w:val="000000"/>
        </w:rPr>
        <w:t>n income tax</w:t>
      </w:r>
      <w:r w:rsidR="00A542FF" w:rsidRPr="00A50ECC">
        <w:rPr>
          <w:color w:val="000000"/>
        </w:rPr>
        <w:t xml:space="preserve"> </w:t>
      </w:r>
      <w:r w:rsidR="005A1EAD" w:rsidRPr="00A50ECC">
        <w:rPr>
          <w:color w:val="000000"/>
        </w:rPr>
        <w:t xml:space="preserve">will rank high in relative capacity in a </w:t>
      </w:r>
      <w:r w:rsidR="00A542FF" w:rsidRPr="00A50ECC">
        <w:rPr>
          <w:color w:val="000000"/>
        </w:rPr>
        <w:t xml:space="preserve">jurisdiction with a </w:t>
      </w:r>
      <w:r w:rsidR="005A1EAD" w:rsidRPr="00A50ECC">
        <w:rPr>
          <w:color w:val="000000"/>
        </w:rPr>
        <w:t xml:space="preserve">high </w:t>
      </w:r>
      <w:r w:rsidR="00A542FF" w:rsidRPr="00A50ECC">
        <w:rPr>
          <w:color w:val="000000"/>
        </w:rPr>
        <w:t>concentration of professional employees</w:t>
      </w:r>
      <w:r w:rsidR="005A1EAD" w:rsidRPr="00A50ECC">
        <w:rPr>
          <w:color w:val="000000"/>
        </w:rPr>
        <w:t>.</w:t>
      </w:r>
      <w:r w:rsidR="00096C9D" w:rsidRPr="00A50ECC">
        <w:rPr>
          <w:color w:val="000000"/>
        </w:rPr>
        <w:t xml:space="preserve"> Similarly, a jurisdiction dominated by </w:t>
      </w:r>
      <w:r w:rsidR="005A1EAD" w:rsidRPr="00A50ECC">
        <w:rPr>
          <w:color w:val="000000"/>
        </w:rPr>
        <w:t xml:space="preserve">manufacturing plants will rank </w:t>
      </w:r>
      <w:r w:rsidR="00096C9D" w:rsidRPr="00A50ECC">
        <w:rPr>
          <w:color w:val="000000"/>
        </w:rPr>
        <w:t xml:space="preserve">high </w:t>
      </w:r>
      <w:r w:rsidR="005A1EAD" w:rsidRPr="00A50ECC">
        <w:rPr>
          <w:color w:val="000000"/>
        </w:rPr>
        <w:t>for property taxation</w:t>
      </w:r>
      <w:r w:rsidR="00096C9D" w:rsidRPr="00A50ECC">
        <w:rPr>
          <w:color w:val="000000"/>
        </w:rPr>
        <w:t>.</w:t>
      </w:r>
      <w:r w:rsidR="0073042B">
        <w:rPr>
          <w:color w:val="000000"/>
        </w:rPr>
        <w:t xml:space="preserve"> </w:t>
      </w:r>
      <w:r w:rsidR="000A6609">
        <w:rPr>
          <w:color w:val="000000"/>
        </w:rPr>
        <w:t>In order to take advantage of the tax base with the highest revenue raising capacity</w:t>
      </w:r>
      <w:r w:rsidR="00E80642">
        <w:rPr>
          <w:color w:val="000000"/>
        </w:rPr>
        <w:t>,</w:t>
      </w:r>
      <w:r w:rsidR="000A6609">
        <w:rPr>
          <w:color w:val="000000"/>
        </w:rPr>
        <w:t xml:space="preserve"> </w:t>
      </w:r>
      <w:r w:rsidR="00096C9D" w:rsidRPr="00A50ECC">
        <w:rPr>
          <w:color w:val="000000"/>
        </w:rPr>
        <w:t>local governments should have a diverse set of potential revenue sources available to them to finance the</w:t>
      </w:r>
      <w:r w:rsidR="00745B02" w:rsidRPr="00A50ECC">
        <w:rPr>
          <w:color w:val="000000"/>
        </w:rPr>
        <w:t>ir</w:t>
      </w:r>
      <w:r w:rsidR="00096C9D" w:rsidRPr="00A50ECC">
        <w:rPr>
          <w:color w:val="000000"/>
        </w:rPr>
        <w:t xml:space="preserve"> public services</w:t>
      </w:r>
      <w:r w:rsidR="000A6609">
        <w:rPr>
          <w:color w:val="000000"/>
        </w:rPr>
        <w:t>.</w:t>
      </w:r>
    </w:p>
    <w:p w14:paraId="4A04F2EE" w14:textId="29207331" w:rsidR="00856E8B" w:rsidRDefault="00856E8B" w:rsidP="00D422A0">
      <w:pPr>
        <w:spacing w:after="0" w:line="360" w:lineRule="auto"/>
        <w:ind w:firstLine="720"/>
      </w:pPr>
      <w:r>
        <w:t xml:space="preserve">More generally, revenue sources differ along several dimensions. They </w:t>
      </w:r>
      <w:r w:rsidRPr="00710363">
        <w:t>differ</w:t>
      </w:r>
      <w:r>
        <w:t xml:space="preserve"> in terms of their</w:t>
      </w:r>
      <w:r w:rsidRPr="00710363">
        <w:t xml:space="preserve"> </w:t>
      </w:r>
      <w:r>
        <w:t xml:space="preserve">revenue raising capacity, </w:t>
      </w:r>
      <w:r w:rsidRPr="00710363">
        <w:t>stability over the business cycle</w:t>
      </w:r>
      <w:r>
        <w:t>,</w:t>
      </w:r>
      <w:r w:rsidRPr="00710363">
        <w:t xml:space="preserve"> growth rate, equity, ease of administration, economic effects, acceptability by citizens, etc.</w:t>
      </w:r>
      <w:r>
        <w:t xml:space="preserve"> </w:t>
      </w:r>
      <w:r w:rsidRPr="00710363">
        <w:t>Thus, alternative revenue portfolios could be constructed, each of which would yield a difference mix of characteristics. Several authors have explored this idea and estimated the trade-offs among some of these characteristics.</w:t>
      </w:r>
      <w:r w:rsidRPr="00710363">
        <w:rPr>
          <w:rStyle w:val="FootnoteReference"/>
        </w:rPr>
        <w:footnoteReference w:id="7"/>
      </w:r>
      <w:r>
        <w:t xml:space="preserve"> </w:t>
      </w:r>
    </w:p>
    <w:p w14:paraId="253341ED" w14:textId="6A1239A9" w:rsidR="000A6609" w:rsidRDefault="00856E8B" w:rsidP="00D422A0">
      <w:pPr>
        <w:spacing w:after="0" w:line="360" w:lineRule="auto"/>
        <w:ind w:firstLine="720"/>
      </w:pPr>
      <w:r>
        <w:t>J</w:t>
      </w:r>
      <w:r w:rsidRPr="00710363">
        <w:t xml:space="preserve">ust as investors have different preferences for risk and return, local governments may differ in their preferences over the various revenue characteristics. The citizens of one jurisdiction may have a preference for </w:t>
      </w:r>
      <w:r w:rsidR="00E80642">
        <w:t>revenues</w:t>
      </w:r>
      <w:r w:rsidRPr="00710363">
        <w:t xml:space="preserve"> that are tied to the benefits received from public services, while another jurisdiction may be more concerned with </w:t>
      </w:r>
      <w:r>
        <w:t xml:space="preserve">the regressivity of their revenue </w:t>
      </w:r>
      <w:r>
        <w:lastRenderedPageBreak/>
        <w:t>structure</w:t>
      </w:r>
      <w:r w:rsidRPr="00710363">
        <w:t>.</w:t>
      </w:r>
      <w:r w:rsidR="00730813">
        <w:rPr>
          <w:rStyle w:val="FootnoteReference"/>
        </w:rPr>
        <w:footnoteReference w:id="8"/>
      </w:r>
      <w:r w:rsidRPr="00710363">
        <w:t xml:space="preserve"> Thus, if a local government can use alternative revenue instruments, the local government can choose the revenue portfolio that </w:t>
      </w:r>
      <w:r>
        <w:t xml:space="preserve">more closely </w:t>
      </w:r>
      <w:r w:rsidRPr="00710363">
        <w:t>achieves its desired mix of characteristics.</w:t>
      </w:r>
      <w:r>
        <w:t xml:space="preserve"> </w:t>
      </w:r>
    </w:p>
    <w:p w14:paraId="6F9369B3" w14:textId="0E2608A1" w:rsidR="00A50ECC" w:rsidRPr="00AC3D1A" w:rsidRDefault="00096C9D" w:rsidP="008D2D37">
      <w:pPr>
        <w:pStyle w:val="Heading3"/>
        <w:spacing w:line="360" w:lineRule="auto"/>
      </w:pPr>
      <w:bookmarkStart w:id="42" w:name="_Toc433373628"/>
      <w:r w:rsidRPr="00AC3D1A">
        <w:t>Reduce Reliance on the Property Tax</w:t>
      </w:r>
      <w:bookmarkEnd w:id="42"/>
      <w:r w:rsidR="0073042B" w:rsidRPr="00AC3D1A">
        <w:t xml:space="preserve"> </w:t>
      </w:r>
    </w:p>
    <w:p w14:paraId="0B271F09" w14:textId="03A2BEF9" w:rsidR="00096C9D" w:rsidRDefault="00096C9D" w:rsidP="008D2D37">
      <w:pPr>
        <w:spacing w:line="360" w:lineRule="auto"/>
        <w:ind w:firstLine="720"/>
        <w:rPr>
          <w:b/>
        </w:rPr>
      </w:pPr>
      <w:r w:rsidRPr="009F1011">
        <w:t>A second often cited reason for revenue diversification is that by allowing local governments to use non-property tax revenue, local governments can reduce their reliance on the property tax.</w:t>
      </w:r>
      <w:r w:rsidR="0073042B" w:rsidRPr="009F1011">
        <w:t xml:space="preserve"> </w:t>
      </w:r>
      <w:r w:rsidRPr="009F1011">
        <w:t>As noted above, greater revenue diversity is associated with a smaller relative reliance on property taxes</w:t>
      </w:r>
      <w:r w:rsidR="00A542FF" w:rsidRPr="009F1011">
        <w:t>.</w:t>
      </w:r>
      <w:r w:rsidR="0073042B">
        <w:rPr>
          <w:b/>
        </w:rPr>
        <w:t xml:space="preserve"> </w:t>
      </w:r>
    </w:p>
    <w:p w14:paraId="3D4078A1" w14:textId="64F38E74" w:rsidR="00A50ECC" w:rsidRPr="00990451" w:rsidRDefault="00096C9D" w:rsidP="009F1011">
      <w:pPr>
        <w:pStyle w:val="Heading3"/>
      </w:pPr>
      <w:bookmarkStart w:id="43" w:name="_Toc433373629"/>
      <w:r w:rsidRPr="00990451">
        <w:t>Equity</w:t>
      </w:r>
      <w:bookmarkEnd w:id="43"/>
    </w:p>
    <w:p w14:paraId="7356F7C8" w14:textId="776B25B0" w:rsidR="00A50ECC" w:rsidRDefault="00096C9D" w:rsidP="00D422A0">
      <w:pPr>
        <w:spacing w:after="0" w:line="360" w:lineRule="auto"/>
        <w:ind w:firstLine="720"/>
        <w:rPr>
          <w:bCs/>
        </w:rPr>
      </w:pPr>
      <w:r w:rsidRPr="00710363">
        <w:t xml:space="preserve">Another argument for revenue diversity is premised on the notion </w:t>
      </w:r>
      <w:r w:rsidR="00F7754F">
        <w:t xml:space="preserve">that </w:t>
      </w:r>
      <w:r w:rsidRPr="00710363">
        <w:t xml:space="preserve">beneficiaries of local public services </w:t>
      </w:r>
      <w:r w:rsidR="001F6256">
        <w:t>should</w:t>
      </w:r>
      <w:r w:rsidRPr="00710363">
        <w:t xml:space="preserve"> pay a fair share of the cost of public services</w:t>
      </w:r>
      <w:r w:rsidR="00F7754F">
        <w:t xml:space="preserve">. This is particularly relevant </w:t>
      </w:r>
      <w:r w:rsidR="00730813">
        <w:t>for</w:t>
      </w:r>
      <w:r w:rsidR="00F7754F">
        <w:t xml:space="preserve"> t</w:t>
      </w:r>
      <w:r w:rsidRPr="00710363">
        <w:t xml:space="preserve">ourists and commuters </w:t>
      </w:r>
      <w:r w:rsidR="00F7754F">
        <w:t xml:space="preserve">who </w:t>
      </w:r>
      <w:r w:rsidRPr="00710363">
        <w:t xml:space="preserve">impose costs on local governments but do not pay any property taxes to the local government. </w:t>
      </w:r>
      <w:r w:rsidR="005C1A6F">
        <w:t xml:space="preserve">(Of course, a business’ property, and thus </w:t>
      </w:r>
      <w:r w:rsidR="00856E8B">
        <w:t xml:space="preserve">the </w:t>
      </w:r>
      <w:r w:rsidR="005C1A6F">
        <w:t>property tax</w:t>
      </w:r>
      <w:r w:rsidR="00745B02">
        <w:t xml:space="preserve"> revenue</w:t>
      </w:r>
      <w:r w:rsidR="005C1A6F">
        <w:t>, is positively related to the number of workers the business employs. To that extent, property tax revenue is generated</w:t>
      </w:r>
      <w:r w:rsidR="008D2D37">
        <w:t xml:space="preserve"> indirectly</w:t>
      </w:r>
      <w:r w:rsidR="005C1A6F">
        <w:t xml:space="preserve"> from commuters.)</w:t>
      </w:r>
      <w:r w:rsidR="0073042B">
        <w:t xml:space="preserve"> </w:t>
      </w:r>
      <w:r w:rsidR="00323302" w:rsidRPr="00A50ECC">
        <w:rPr>
          <w:bCs/>
        </w:rPr>
        <w:t>To the extent that property tax</w:t>
      </w:r>
      <w:r w:rsidR="00F7754F" w:rsidRPr="00A50ECC">
        <w:rPr>
          <w:bCs/>
        </w:rPr>
        <w:t>es</w:t>
      </w:r>
      <w:r w:rsidR="00323302" w:rsidRPr="00A50ECC">
        <w:rPr>
          <w:bCs/>
        </w:rPr>
        <w:t xml:space="preserve"> and other revenue sources do not capture the</w:t>
      </w:r>
      <w:r w:rsidR="00BC2A51">
        <w:rPr>
          <w:bCs/>
        </w:rPr>
        <w:t xml:space="preserve"> cost of the service</w:t>
      </w:r>
      <w:r w:rsidR="00323302" w:rsidRPr="00A50ECC">
        <w:rPr>
          <w:bCs/>
        </w:rPr>
        <w:t xml:space="preserve"> burden placed on a jurisdiction from nonresidents, a sales tax or an income tax might do better.</w:t>
      </w:r>
      <w:r w:rsidR="0073042B">
        <w:rPr>
          <w:bCs/>
        </w:rPr>
        <w:t xml:space="preserve"> </w:t>
      </w:r>
      <w:r w:rsidR="00323302" w:rsidRPr="00A50ECC">
        <w:rPr>
          <w:bCs/>
        </w:rPr>
        <w:t>Clearly, a sales tax only generates revenue from a nonresident to the extent that he or she purchases taxable products or services.</w:t>
      </w:r>
      <w:r w:rsidR="0073042B">
        <w:rPr>
          <w:bCs/>
        </w:rPr>
        <w:t xml:space="preserve"> </w:t>
      </w:r>
      <w:r w:rsidR="00323302" w:rsidRPr="00A50ECC">
        <w:rPr>
          <w:bCs/>
        </w:rPr>
        <w:t>Tourists and shoppers are likely to make larger purchases than workers, and thus are more likely to contribute more revenue per trip.</w:t>
      </w:r>
      <w:r w:rsidR="0073042B">
        <w:rPr>
          <w:bCs/>
        </w:rPr>
        <w:t xml:space="preserve"> </w:t>
      </w:r>
    </w:p>
    <w:p w14:paraId="5E1E9C1B" w14:textId="68926C1C" w:rsidR="00A50ECC" w:rsidRDefault="00323302" w:rsidP="00D422A0">
      <w:pPr>
        <w:spacing w:after="0" w:line="360" w:lineRule="auto"/>
        <w:ind w:firstLine="720"/>
        <w:rPr>
          <w:bCs/>
        </w:rPr>
      </w:pPr>
      <w:r>
        <w:rPr>
          <w:bCs/>
        </w:rPr>
        <w:t>On</w:t>
      </w:r>
      <w:r w:rsidR="00856E8B">
        <w:rPr>
          <w:bCs/>
        </w:rPr>
        <w:t xml:space="preserve"> </w:t>
      </w:r>
      <w:r>
        <w:rPr>
          <w:bCs/>
        </w:rPr>
        <w:t xml:space="preserve">the </w:t>
      </w:r>
      <w:r w:rsidR="00856E8B">
        <w:rPr>
          <w:bCs/>
        </w:rPr>
        <w:t>other hand,</w:t>
      </w:r>
      <w:r>
        <w:rPr>
          <w:bCs/>
        </w:rPr>
        <w:t xml:space="preserve"> local</w:t>
      </w:r>
      <w:r w:rsidR="005C1A6F">
        <w:rPr>
          <w:bCs/>
        </w:rPr>
        <w:t xml:space="preserve"> payroll</w:t>
      </w:r>
      <w:r>
        <w:rPr>
          <w:bCs/>
        </w:rPr>
        <w:t xml:space="preserve"> taxes </w:t>
      </w:r>
      <w:r w:rsidR="00987B49">
        <w:rPr>
          <w:bCs/>
        </w:rPr>
        <w:t>can</w:t>
      </w:r>
      <w:r>
        <w:rPr>
          <w:bCs/>
        </w:rPr>
        <w:t xml:space="preserve"> broaden the </w:t>
      </w:r>
      <w:r w:rsidR="00E80642">
        <w:rPr>
          <w:bCs/>
        </w:rPr>
        <w:t>base of who pays</w:t>
      </w:r>
      <w:r>
        <w:rPr>
          <w:bCs/>
        </w:rPr>
        <w:t xml:space="preserve"> for local public services to </w:t>
      </w:r>
      <w:r w:rsidR="00856E8B">
        <w:rPr>
          <w:bCs/>
        </w:rPr>
        <w:t xml:space="preserve">include </w:t>
      </w:r>
      <w:r>
        <w:rPr>
          <w:bCs/>
        </w:rPr>
        <w:t>nonresident workers (Wallace and Edwards 1999). O</w:t>
      </w:r>
      <w:r w:rsidR="00856E8B">
        <w:rPr>
          <w:bCs/>
        </w:rPr>
        <w:t>f course</w:t>
      </w:r>
      <w:r>
        <w:rPr>
          <w:bCs/>
        </w:rPr>
        <w:t xml:space="preserve"> a local </w:t>
      </w:r>
      <w:r w:rsidR="005C1A6F">
        <w:rPr>
          <w:bCs/>
        </w:rPr>
        <w:t>payroll</w:t>
      </w:r>
      <w:r>
        <w:rPr>
          <w:bCs/>
        </w:rPr>
        <w:t xml:space="preserve"> tax will generate revenue only from workers and not </w:t>
      </w:r>
      <w:r w:rsidR="00745B02">
        <w:rPr>
          <w:bCs/>
        </w:rPr>
        <w:t xml:space="preserve">from </w:t>
      </w:r>
      <w:r>
        <w:rPr>
          <w:bCs/>
        </w:rPr>
        <w:t>other visitors to the jurisdiction.</w:t>
      </w:r>
    </w:p>
    <w:p w14:paraId="46346FBC" w14:textId="544A5F2A" w:rsidR="000A6609" w:rsidRDefault="00323302" w:rsidP="00990451">
      <w:pPr>
        <w:spacing w:after="0" w:line="360" w:lineRule="auto"/>
        <w:ind w:firstLine="720"/>
      </w:pPr>
      <w:r>
        <w:rPr>
          <w:bCs/>
        </w:rPr>
        <w:t xml:space="preserve">In the 1970s there were </w:t>
      </w:r>
      <w:r w:rsidR="00745B02">
        <w:rPr>
          <w:bCs/>
        </w:rPr>
        <w:t xml:space="preserve">various </w:t>
      </w:r>
      <w:r>
        <w:rPr>
          <w:bCs/>
        </w:rPr>
        <w:t>attempts to measure whether nonresidents “exploited” central cit</w:t>
      </w:r>
      <w:r w:rsidR="00856E8B">
        <w:rPr>
          <w:bCs/>
        </w:rPr>
        <w:t>ies</w:t>
      </w:r>
      <w:r>
        <w:rPr>
          <w:bCs/>
        </w:rPr>
        <w:t xml:space="preserve"> in the sense that the cost of providing public services to nonresidents exceeded the revenue </w:t>
      </w:r>
      <w:r w:rsidR="00BC2A51">
        <w:rPr>
          <w:bCs/>
        </w:rPr>
        <w:t xml:space="preserve">they </w:t>
      </w:r>
      <w:r>
        <w:rPr>
          <w:bCs/>
        </w:rPr>
        <w:t>generate</w:t>
      </w:r>
      <w:r w:rsidR="00BC2A51">
        <w:rPr>
          <w:bCs/>
        </w:rPr>
        <w:t>d</w:t>
      </w:r>
      <w:r>
        <w:rPr>
          <w:bCs/>
        </w:rPr>
        <w:t xml:space="preserve">. </w:t>
      </w:r>
      <w:r w:rsidR="00F7754F">
        <w:rPr>
          <w:bCs/>
        </w:rPr>
        <w:t>O</w:t>
      </w:r>
      <w:r>
        <w:rPr>
          <w:bCs/>
        </w:rPr>
        <w:t xml:space="preserve">ne of the first such </w:t>
      </w:r>
      <w:r w:rsidR="00BC2A51">
        <w:rPr>
          <w:bCs/>
        </w:rPr>
        <w:t>studies</w:t>
      </w:r>
      <w:r>
        <w:rPr>
          <w:bCs/>
        </w:rPr>
        <w:t xml:space="preserve"> </w:t>
      </w:r>
      <w:r w:rsidR="00BC2A51">
        <w:rPr>
          <w:bCs/>
        </w:rPr>
        <w:t>(</w:t>
      </w:r>
      <w:r w:rsidR="00F7754F">
        <w:rPr>
          <w:bCs/>
        </w:rPr>
        <w:t xml:space="preserve">Neenan </w:t>
      </w:r>
      <w:r w:rsidR="00BC2A51">
        <w:rPr>
          <w:bCs/>
        </w:rPr>
        <w:t>1970)</w:t>
      </w:r>
      <w:r>
        <w:rPr>
          <w:bCs/>
        </w:rPr>
        <w:t xml:space="preserve"> found a significant net benefit to nonresidents</w:t>
      </w:r>
      <w:r w:rsidR="00745B02">
        <w:rPr>
          <w:bCs/>
        </w:rPr>
        <w:t>, i.e., nonresidents received more in benefits than the taxes and fees they paid to the central city</w:t>
      </w:r>
      <w:r>
        <w:rPr>
          <w:bCs/>
        </w:rPr>
        <w:t>.</w:t>
      </w:r>
      <w:r w:rsidR="0073042B">
        <w:rPr>
          <w:bCs/>
        </w:rPr>
        <w:t xml:space="preserve"> </w:t>
      </w:r>
      <w:r>
        <w:rPr>
          <w:bCs/>
        </w:rPr>
        <w:t xml:space="preserve">However, </w:t>
      </w:r>
      <w:r w:rsidR="00223FE3">
        <w:rPr>
          <w:bCs/>
        </w:rPr>
        <w:t>other studies found much smaller effects</w:t>
      </w:r>
      <w:r>
        <w:rPr>
          <w:bCs/>
        </w:rPr>
        <w:t>.</w:t>
      </w:r>
      <w:r w:rsidR="0073042B">
        <w:rPr>
          <w:bCs/>
        </w:rPr>
        <w:t xml:space="preserve"> </w:t>
      </w:r>
      <w:r>
        <w:rPr>
          <w:bCs/>
        </w:rPr>
        <w:t>Bradford and Oates (1976) found that the net effect</w:t>
      </w:r>
      <w:r w:rsidR="00856E8B">
        <w:rPr>
          <w:bCs/>
        </w:rPr>
        <w:t>s</w:t>
      </w:r>
      <w:r>
        <w:rPr>
          <w:bCs/>
        </w:rPr>
        <w:t xml:space="preserve"> of nonresidents</w:t>
      </w:r>
      <w:r w:rsidR="00856E8B">
        <w:rPr>
          <w:bCs/>
        </w:rPr>
        <w:t xml:space="preserve"> on net costs (i.e., cost imposed by </w:t>
      </w:r>
      <w:r w:rsidR="00E80642">
        <w:rPr>
          <w:bCs/>
        </w:rPr>
        <w:t xml:space="preserve">nonresidents </w:t>
      </w:r>
      <w:r w:rsidR="00856E8B">
        <w:rPr>
          <w:bCs/>
        </w:rPr>
        <w:lastRenderedPageBreak/>
        <w:t>less revenue collected from nonresidents)</w:t>
      </w:r>
      <w:r>
        <w:rPr>
          <w:bCs/>
        </w:rPr>
        <w:t xml:space="preserve"> were of minor quantitative importance.</w:t>
      </w:r>
      <w:r w:rsidR="0073042B">
        <w:rPr>
          <w:bCs/>
        </w:rPr>
        <w:t xml:space="preserve"> </w:t>
      </w:r>
      <w:r>
        <w:rPr>
          <w:bCs/>
        </w:rPr>
        <w:t>Shield</w:t>
      </w:r>
      <w:r w:rsidR="00F7754F">
        <w:rPr>
          <w:bCs/>
        </w:rPr>
        <w:t xml:space="preserve">s and Shideler (2003) </w:t>
      </w:r>
      <w:r w:rsidR="00730813">
        <w:rPr>
          <w:bCs/>
        </w:rPr>
        <w:t>also found</w:t>
      </w:r>
      <w:r>
        <w:rPr>
          <w:bCs/>
        </w:rPr>
        <w:t xml:space="preserve"> that there </w:t>
      </w:r>
      <w:r w:rsidR="00BC2A51">
        <w:rPr>
          <w:bCs/>
        </w:rPr>
        <w:t>is</w:t>
      </w:r>
      <w:r>
        <w:rPr>
          <w:bCs/>
        </w:rPr>
        <w:t xml:space="preserve"> not a significant equity issue</w:t>
      </w:r>
      <w:r w:rsidR="0042603D">
        <w:rPr>
          <w:bCs/>
        </w:rPr>
        <w:t xml:space="preserve"> due to non-residents</w:t>
      </w:r>
      <w:r>
        <w:rPr>
          <w:bCs/>
        </w:rPr>
        <w:t>.</w:t>
      </w:r>
      <w:r w:rsidR="00990451">
        <w:rPr>
          <w:bCs/>
        </w:rPr>
        <w:t xml:space="preserve"> The results do depend on the local government’s revenue structure.</w:t>
      </w:r>
    </w:p>
    <w:p w14:paraId="555EA045" w14:textId="2988E6BE" w:rsidR="00A50ECC" w:rsidRDefault="00096C9D" w:rsidP="0031678C">
      <w:pPr>
        <w:pStyle w:val="Heading3"/>
      </w:pPr>
      <w:bookmarkStart w:id="44" w:name="_Toc433373630"/>
      <w:r w:rsidRPr="00990451">
        <w:t>Revenue Stability</w:t>
      </w:r>
      <w:r w:rsidR="00C06189" w:rsidRPr="00990451">
        <w:t xml:space="preserve"> and Other Characteristics of Taxes</w:t>
      </w:r>
      <w:bookmarkEnd w:id="44"/>
    </w:p>
    <w:p w14:paraId="64AF5803" w14:textId="5A6BB420" w:rsidR="000A6609" w:rsidRDefault="00096C9D" w:rsidP="00D422A0">
      <w:pPr>
        <w:spacing w:after="0" w:line="360" w:lineRule="auto"/>
        <w:ind w:firstLine="720"/>
      </w:pPr>
      <w:r w:rsidRPr="00710363">
        <w:t>A</w:t>
      </w:r>
      <w:r>
        <w:t xml:space="preserve"> fourth </w:t>
      </w:r>
      <w:r w:rsidRPr="00710363">
        <w:t>argument for a diversified revenue structure concerns the stability of total revenue over the business cycle. Just as a diversified investment portfolio can reduce the overall risk of a loss, a diversified revenue structure can reduce the risk of revenue loss</w:t>
      </w:r>
      <w:r>
        <w:t xml:space="preserve"> to the local government</w:t>
      </w:r>
      <w:r w:rsidRPr="00710363">
        <w:t>.</w:t>
      </w:r>
      <w:r w:rsidR="0073042B">
        <w:t xml:space="preserve"> </w:t>
      </w:r>
      <w:r w:rsidR="0042603D">
        <w:t>T</w:t>
      </w:r>
      <w:r>
        <w:t xml:space="preserve">o the extent that </w:t>
      </w:r>
      <w:r w:rsidR="0042603D">
        <w:t>the effect of changes in economic conditions have differential effects on tax sources, a diversified tax structure will have a smaller risk of revenue decline in the face of economic recessions.</w:t>
      </w:r>
      <w:r w:rsidR="0073042B">
        <w:t xml:space="preserve"> </w:t>
      </w:r>
      <w:r w:rsidR="00223FE3">
        <w:t>Of course,</w:t>
      </w:r>
      <w:r w:rsidR="0042603D">
        <w:t xml:space="preserve"> if changes in economic conditions have the same effect on all revenue sources, diversification will have no effect on revenue stability.</w:t>
      </w:r>
      <w:r w:rsidR="0073042B">
        <w:t xml:space="preserve"> </w:t>
      </w:r>
    </w:p>
    <w:p w14:paraId="01ADD15B" w14:textId="1AA4F0E3" w:rsidR="00A50ECC" w:rsidRDefault="00A50ECC" w:rsidP="0031678C">
      <w:pPr>
        <w:pStyle w:val="Heading3"/>
      </w:pPr>
      <w:bookmarkStart w:id="45" w:name="_Toc433373631"/>
      <w:r w:rsidRPr="00990451">
        <w:t>E</w:t>
      </w:r>
      <w:r w:rsidR="00096C9D" w:rsidRPr="00990451">
        <w:t>conomic Efficiency</w:t>
      </w:r>
      <w:bookmarkEnd w:id="45"/>
    </w:p>
    <w:p w14:paraId="0890EBDE" w14:textId="5D4430B6" w:rsidR="00A50ECC" w:rsidRDefault="00096C9D" w:rsidP="00495617">
      <w:pPr>
        <w:spacing w:after="0" w:line="360" w:lineRule="auto"/>
        <w:ind w:firstLine="720"/>
      </w:pPr>
      <w:r>
        <w:t xml:space="preserve">A final reason for revenue diversification is that </w:t>
      </w:r>
      <w:r w:rsidRPr="00710363">
        <w:t xml:space="preserve">financing </w:t>
      </w:r>
      <w:r>
        <w:t xml:space="preserve">local public </w:t>
      </w:r>
      <w:r w:rsidRPr="00710363">
        <w:t>services through user charges and fees promotes an efficient level of public services.</w:t>
      </w:r>
      <w:r w:rsidRPr="00710363">
        <w:rPr>
          <w:rStyle w:val="FootnoteReference"/>
        </w:rPr>
        <w:footnoteReference w:id="9"/>
      </w:r>
      <w:r w:rsidR="0073042B">
        <w:t xml:space="preserve"> </w:t>
      </w:r>
      <w:r w:rsidRPr="00710363">
        <w:t xml:space="preserve">Charges and fees, when </w:t>
      </w:r>
      <w:r w:rsidR="00730813" w:rsidRPr="00710363">
        <w:t xml:space="preserve">appropriately </w:t>
      </w:r>
      <w:r w:rsidRPr="00710363">
        <w:t>designed, serve as signals of the cost of the</w:t>
      </w:r>
      <w:r>
        <w:t xml:space="preserve"> public</w:t>
      </w:r>
      <w:r w:rsidRPr="00710363">
        <w:t xml:space="preserve"> service, similar to prices for private goods. Since user charges vary with the amount of service consumed, individuals can adjust their consumption in response</w:t>
      </w:r>
      <w:r>
        <w:t xml:space="preserve"> to the charge</w:t>
      </w:r>
      <w:r w:rsidRPr="00710363">
        <w:t>.</w:t>
      </w:r>
      <w:r w:rsidR="0073042B">
        <w:t xml:space="preserve"> </w:t>
      </w:r>
      <w:r w:rsidR="002A7804">
        <w:t xml:space="preserve">In other words, user </w:t>
      </w:r>
      <w:r w:rsidR="003D208F">
        <w:t xml:space="preserve">charges or </w:t>
      </w:r>
      <w:r w:rsidR="002A7804">
        <w:t xml:space="preserve">fees are benefit charges. </w:t>
      </w:r>
      <w:r w:rsidRPr="00710363">
        <w:t>Taxes, on the other hand, are paid regardless of</w:t>
      </w:r>
      <w:r w:rsidR="000A6609">
        <w:t xml:space="preserve"> the</w:t>
      </w:r>
      <w:r w:rsidRPr="00710363">
        <w:t xml:space="preserve"> level of consumption</w:t>
      </w:r>
      <w:r w:rsidR="00730813">
        <w:t xml:space="preserve"> of public services</w:t>
      </w:r>
      <w:r w:rsidRPr="00710363">
        <w:t xml:space="preserve">, and therefore the effective marginal cost </w:t>
      </w:r>
      <w:r>
        <w:t>that the citizen pays to consume</w:t>
      </w:r>
      <w:r w:rsidRPr="00710363">
        <w:t xml:space="preserve"> one more unit of the </w:t>
      </w:r>
      <w:r>
        <w:t>public service</w:t>
      </w:r>
      <w:r w:rsidR="001F6256">
        <w:t xml:space="preserve"> may</w:t>
      </w:r>
      <w:r w:rsidR="003D208F">
        <w:t xml:space="preserve"> </w:t>
      </w:r>
      <w:r w:rsidR="001F6256">
        <w:t xml:space="preserve">be perceived to be </w:t>
      </w:r>
      <w:r w:rsidRPr="00710363">
        <w:t>zero.</w:t>
      </w:r>
      <w:r w:rsidR="0073042B">
        <w:t xml:space="preserve"> </w:t>
      </w:r>
      <w:r w:rsidRPr="00710363">
        <w:t xml:space="preserve">As a result, the quantity demanded of public services financed with taxes will be higher than what is socially optimal because each individual taxpayer </w:t>
      </w:r>
      <w:r>
        <w:t>ignores</w:t>
      </w:r>
      <w:r w:rsidRPr="00710363">
        <w:t xml:space="preserve"> the</w:t>
      </w:r>
      <w:r>
        <w:t xml:space="preserve"> extra cost that results from his </w:t>
      </w:r>
      <w:r w:rsidR="00223FE3">
        <w:t xml:space="preserve">or her </w:t>
      </w:r>
      <w:r>
        <w:t>consumption</w:t>
      </w:r>
      <w:r w:rsidR="00223FE3">
        <w:t xml:space="preserve"> of the public service</w:t>
      </w:r>
      <w:r>
        <w:t>.</w:t>
      </w:r>
      <w:r w:rsidRPr="00710363">
        <w:t xml:space="preserve"> </w:t>
      </w:r>
      <w:r w:rsidR="00856E8B">
        <w:t xml:space="preserve">(See </w:t>
      </w:r>
      <w:r w:rsidR="008D2D37">
        <w:t xml:space="preserve">the </w:t>
      </w:r>
      <w:r w:rsidR="00856E8B">
        <w:t xml:space="preserve">section </w:t>
      </w:r>
      <w:r w:rsidR="008D2D37">
        <w:t xml:space="preserve">on charges and fees </w:t>
      </w:r>
      <w:r w:rsidR="00856E8B">
        <w:t>for a more extensive discussion of user charges.)</w:t>
      </w:r>
    </w:p>
    <w:p w14:paraId="038F428E" w14:textId="7FE22B2A" w:rsidR="00BC2A51" w:rsidRPr="00990451" w:rsidRDefault="00BC2A51" w:rsidP="0031678C">
      <w:pPr>
        <w:pStyle w:val="Heading2"/>
      </w:pPr>
      <w:bookmarkStart w:id="46" w:name="_Toc433373632"/>
      <w:r w:rsidRPr="00990451">
        <w:t xml:space="preserve">Arguments </w:t>
      </w:r>
      <w:r w:rsidR="00990451" w:rsidRPr="00990451">
        <w:t>a</w:t>
      </w:r>
      <w:r w:rsidRPr="00990451">
        <w:t xml:space="preserve">gainst Revenue </w:t>
      </w:r>
      <w:r w:rsidR="0073042B" w:rsidRPr="00990451">
        <w:t>Diversification</w:t>
      </w:r>
      <w:bookmarkEnd w:id="46"/>
    </w:p>
    <w:p w14:paraId="31F32803" w14:textId="1C0DA90F" w:rsidR="00096C9D" w:rsidRPr="00710363" w:rsidRDefault="00096C9D" w:rsidP="00D422A0">
      <w:pPr>
        <w:spacing w:after="0" w:line="360" w:lineRule="auto"/>
        <w:ind w:firstLine="720"/>
      </w:pPr>
      <w:r w:rsidRPr="00710363">
        <w:t>There are two principal counter arguments against a diversified revenue structure.</w:t>
      </w:r>
      <w:r w:rsidR="0073042B">
        <w:t xml:space="preserve"> </w:t>
      </w:r>
      <w:r w:rsidRPr="00710363">
        <w:t>First,</w:t>
      </w:r>
      <w:r w:rsidR="000A6609">
        <w:t xml:space="preserve"> </w:t>
      </w:r>
      <w:r w:rsidR="00C75C46" w:rsidRPr="00710363">
        <w:t xml:space="preserve">Hamilton </w:t>
      </w:r>
      <w:r w:rsidR="00C75C46">
        <w:t>(1975) (see also</w:t>
      </w:r>
      <w:r w:rsidR="00C75C46" w:rsidRPr="00710363">
        <w:t xml:space="preserve"> </w:t>
      </w:r>
      <w:r w:rsidR="00C75C46" w:rsidRPr="00710363">
        <w:rPr>
          <w:bCs/>
          <w:color w:val="000000"/>
        </w:rPr>
        <w:t>Fischel</w:t>
      </w:r>
      <w:r w:rsidR="00C75C46">
        <w:rPr>
          <w:bCs/>
          <w:color w:val="000000"/>
        </w:rPr>
        <w:t xml:space="preserve"> 2001) advanced a</w:t>
      </w:r>
      <w:r w:rsidR="00C75C46">
        <w:t xml:space="preserve"> theory that </w:t>
      </w:r>
      <w:r w:rsidR="00C75C46" w:rsidRPr="00710363">
        <w:t>the property tax</w:t>
      </w:r>
      <w:r w:rsidR="00C75C46">
        <w:t xml:space="preserve"> </w:t>
      </w:r>
      <w:r w:rsidR="00C75C46" w:rsidRPr="00710363">
        <w:t xml:space="preserve">is </w:t>
      </w:r>
      <w:r w:rsidR="00C75C46">
        <w:t>a</w:t>
      </w:r>
      <w:r w:rsidR="00C75C46" w:rsidRPr="00710363">
        <w:t xml:space="preserve"> benefit</w:t>
      </w:r>
      <w:r w:rsidR="00C75C46">
        <w:t xml:space="preserve"> tax, and thus is an</w:t>
      </w:r>
      <w:r w:rsidR="00C75C46" w:rsidRPr="00710363">
        <w:t xml:space="preserve"> ideal tax for local governments</w:t>
      </w:r>
      <w:r w:rsidR="002A7804">
        <w:t>.</w:t>
      </w:r>
      <w:r w:rsidR="0073042B">
        <w:t xml:space="preserve"> </w:t>
      </w:r>
      <w:r w:rsidR="002A7804">
        <w:t>In essence, t</w:t>
      </w:r>
      <w:r w:rsidRPr="00710363">
        <w:t>he premise is that local jurisdictions offer alternative tax-public service packages and that households choose among the jurisdiction</w:t>
      </w:r>
      <w:r w:rsidR="00E80642">
        <w:t>s</w:t>
      </w:r>
      <w:r w:rsidRPr="00710363">
        <w:t xml:space="preserve"> based on the household’s most preferred package.</w:t>
      </w:r>
      <w:r w:rsidR="0073042B">
        <w:t xml:space="preserve"> </w:t>
      </w:r>
      <w:r w:rsidRPr="00710363">
        <w:t xml:space="preserve">Thus, the property tax liability is equal to the </w:t>
      </w:r>
      <w:r w:rsidRPr="00710363">
        <w:lastRenderedPageBreak/>
        <w:t>benefits a household receives from the public services that the local government provides.</w:t>
      </w:r>
      <w:r>
        <w:t xml:space="preserve"> </w:t>
      </w:r>
      <w:r w:rsidRPr="00710363">
        <w:t>In this world, the property tax is essentially the price that a resident pays for the public services that are provided.</w:t>
      </w:r>
      <w:r w:rsidR="0073042B">
        <w:t xml:space="preserve"> </w:t>
      </w:r>
      <w:r w:rsidR="00D26499">
        <w:t>However, others</w:t>
      </w:r>
      <w:r w:rsidR="00730813">
        <w:t>, for example Zodrow (2001)</w:t>
      </w:r>
      <w:r w:rsidR="00E80642">
        <w:t>,</w:t>
      </w:r>
      <w:r w:rsidR="00D26499">
        <w:t xml:space="preserve"> argue that this</w:t>
      </w:r>
      <w:r>
        <w:t xml:space="preserve"> theory is not supported by empirical evidence. </w:t>
      </w:r>
      <w:r w:rsidRPr="00710363">
        <w:t>A more ad hoc argument is that the benefits of public services such as police protection, fire service, and streets networks are positively associated with the value of one’s property</w:t>
      </w:r>
      <w:r w:rsidR="003D208F">
        <w:t xml:space="preserve"> and thus with property taxes paid</w:t>
      </w:r>
      <w:r w:rsidRPr="00710363">
        <w:t xml:space="preserve">. </w:t>
      </w:r>
    </w:p>
    <w:p w14:paraId="68416C40" w14:textId="77777777" w:rsidR="008D2D37" w:rsidRDefault="00096C9D" w:rsidP="00495617">
      <w:pPr>
        <w:spacing w:after="0" w:line="360" w:lineRule="auto"/>
        <w:ind w:firstLine="720"/>
      </w:pPr>
      <w:r>
        <w:t xml:space="preserve">The second argument against local </w:t>
      </w:r>
      <w:r w:rsidRPr="00710363">
        <w:t xml:space="preserve">revenue diversification is </w:t>
      </w:r>
      <w:r>
        <w:t>that if</w:t>
      </w:r>
      <w:r w:rsidRPr="00710363">
        <w:t xml:space="preserve"> a local government gains access to additional revenue options, it will increase revenue, and thus expenditures, beyond what the citizen truly desire.</w:t>
      </w:r>
      <w:r w:rsidR="0073042B">
        <w:t xml:space="preserve"> </w:t>
      </w:r>
      <w:r w:rsidRPr="00710363">
        <w:t xml:space="preserve">There are several reasons why this might happen, but the main argument is based on the Leviathan view of government, as espoused by Buchanan </w:t>
      </w:r>
      <w:r w:rsidR="001F6256">
        <w:t xml:space="preserve">(1967) </w:t>
      </w:r>
      <w:r w:rsidRPr="00710363">
        <w:t xml:space="preserve">and </w:t>
      </w:r>
      <w:r w:rsidR="001F6256">
        <w:t xml:space="preserve">Buchanan and </w:t>
      </w:r>
      <w:r w:rsidRPr="00710363">
        <w:t>Wagner</w:t>
      </w:r>
      <w:r w:rsidR="001F6256">
        <w:t xml:space="preserve"> (1977)</w:t>
      </w:r>
      <w:r w:rsidRPr="00710363">
        <w:t>.</w:t>
      </w:r>
      <w:r w:rsidR="0073042B">
        <w:t xml:space="preserve"> </w:t>
      </w:r>
      <w:r w:rsidRPr="00710363">
        <w:t>Under</w:t>
      </w:r>
      <w:r w:rsidRPr="00CE78C0">
        <w:t xml:space="preserve"> this view government decision makers </w:t>
      </w:r>
      <w:r w:rsidR="000A6609" w:rsidRPr="00CE78C0">
        <w:t xml:space="preserve">are assumed to determine expenditure levels </w:t>
      </w:r>
      <w:r w:rsidR="000A6609">
        <w:t xml:space="preserve">with little regards to the preferences of </w:t>
      </w:r>
      <w:r w:rsidRPr="00CE78C0">
        <w:t>voters. Furthermore, it is assumed that the government bureaucrats prefer greater public spending than the citizens.</w:t>
      </w:r>
      <w:r w:rsidR="0073042B">
        <w:t xml:space="preserve"> </w:t>
      </w:r>
      <w:r w:rsidRPr="00CE78C0">
        <w:t xml:space="preserve">Government bureaucrats, the argument goes, are able to increase expenditures since more </w:t>
      </w:r>
      <w:r w:rsidRPr="00710363">
        <w:t>revenue instruments leads to a more complex tax structure, which allows greater manipulation of voters by government officials.</w:t>
      </w:r>
      <w:r w:rsidR="0073042B">
        <w:t xml:space="preserve"> </w:t>
      </w:r>
      <w:r w:rsidRPr="00710363">
        <w:t>The empirical evidence of the effect of the revenue structure on the level of expenditures is mixed; see for example Wagner</w:t>
      </w:r>
      <w:r w:rsidR="00EA1574">
        <w:t xml:space="preserve"> </w:t>
      </w:r>
      <w:r w:rsidR="001F6256">
        <w:t>(1976),</w:t>
      </w:r>
      <w:r w:rsidR="0073042B">
        <w:t xml:space="preserve"> </w:t>
      </w:r>
      <w:r w:rsidR="00730813">
        <w:t>who found support for this</w:t>
      </w:r>
      <w:r w:rsidRPr="00710363">
        <w:t xml:space="preserve"> view of government, and Ladd and Weist</w:t>
      </w:r>
      <w:r w:rsidR="004E689A">
        <w:t xml:space="preserve"> </w:t>
      </w:r>
      <w:r w:rsidR="001F6256">
        <w:t>(1987),</w:t>
      </w:r>
      <w:r w:rsidRPr="00710363">
        <w:t xml:space="preserve"> who obtain contrary results.</w:t>
      </w:r>
      <w:r w:rsidRPr="00710363">
        <w:rPr>
          <w:rStyle w:val="FootnoteReference"/>
        </w:rPr>
        <w:footnoteReference w:id="10"/>
      </w:r>
      <w:r>
        <w:t xml:space="preserve"> </w:t>
      </w:r>
    </w:p>
    <w:p w14:paraId="6D630905" w14:textId="58003F1E" w:rsidR="00096C9D" w:rsidRPr="00710363" w:rsidRDefault="008D2D37" w:rsidP="00495617">
      <w:pPr>
        <w:spacing w:after="0" w:line="360" w:lineRule="auto"/>
        <w:ind w:firstLine="720"/>
      </w:pPr>
      <w:r>
        <w:t xml:space="preserve">Another reason for not adopting local sales or income taxes is that property tax revenue is less cyclical than income tax and sales tax revenue. This is in large part due to the ability to adjust the property tax rate in response to </w:t>
      </w:r>
      <w:r w:rsidR="003D208F">
        <w:t xml:space="preserve">changes in the property tax base. </w:t>
      </w:r>
      <w:r>
        <w:t xml:space="preserve">The property tax base is also </w:t>
      </w:r>
      <w:r w:rsidR="003D208F">
        <w:t xml:space="preserve">less responsive to changes in the tax rate </w:t>
      </w:r>
      <w:r>
        <w:t>than the sales</w:t>
      </w:r>
      <w:r w:rsidR="003D208F">
        <w:t xml:space="preserve"> tax</w:t>
      </w:r>
      <w:r>
        <w:t xml:space="preserve"> and income tax</w:t>
      </w:r>
      <w:r w:rsidR="003D208F" w:rsidRPr="003D208F">
        <w:t xml:space="preserve"> </w:t>
      </w:r>
      <w:r w:rsidR="003D208F">
        <w:t>bases. T</w:t>
      </w:r>
      <w:r>
        <w:t xml:space="preserve">he property tax base responds </w:t>
      </w:r>
      <w:r w:rsidR="003D208F">
        <w:t>s</w:t>
      </w:r>
      <w:r>
        <w:t>lowly to changes in the property tax rate</w:t>
      </w:r>
      <w:r w:rsidR="003D208F">
        <w:t>, particularly in the short run, because property is hard to move geographically.</w:t>
      </w:r>
    </w:p>
    <w:p w14:paraId="745B897E" w14:textId="355290A2" w:rsidR="00096C9D" w:rsidRPr="000A6609" w:rsidRDefault="001F6256" w:rsidP="0031678C">
      <w:pPr>
        <w:pStyle w:val="Heading1"/>
      </w:pPr>
      <w:bookmarkStart w:id="47" w:name="_Toc433373633"/>
      <w:r w:rsidRPr="000A6609">
        <w:t>L</w:t>
      </w:r>
      <w:r w:rsidR="00096C9D" w:rsidRPr="000A6609">
        <w:t>ocal Sales Taxes</w:t>
      </w:r>
      <w:bookmarkEnd w:id="47"/>
      <w:r w:rsidR="00096C9D" w:rsidRPr="000A6609">
        <w:t xml:space="preserve"> </w:t>
      </w:r>
    </w:p>
    <w:p w14:paraId="76B6A506" w14:textId="69A9089A" w:rsidR="00096C9D" w:rsidRPr="00990451" w:rsidRDefault="00096C9D" w:rsidP="0031678C">
      <w:pPr>
        <w:pStyle w:val="Heading2"/>
      </w:pPr>
      <w:bookmarkStart w:id="48" w:name="_Toc433373634"/>
      <w:r w:rsidRPr="00990451">
        <w:t>Reliance on Local Sales Taxes</w:t>
      </w:r>
      <w:bookmarkEnd w:id="48"/>
    </w:p>
    <w:p w14:paraId="00408342" w14:textId="79704C99" w:rsidR="005118B5" w:rsidRDefault="00346721" w:rsidP="00D422A0">
      <w:pPr>
        <w:spacing w:after="0" w:line="360" w:lineRule="auto"/>
        <w:ind w:firstLine="720"/>
        <w:rPr>
          <w:color w:val="000000"/>
        </w:rPr>
      </w:pPr>
      <w:r>
        <w:rPr>
          <w:color w:val="000000"/>
        </w:rPr>
        <w:t>T</w:t>
      </w:r>
      <w:r w:rsidR="009C6FFF">
        <w:rPr>
          <w:color w:val="000000"/>
        </w:rPr>
        <w:t xml:space="preserve">he Census Bureau reports that </w:t>
      </w:r>
      <w:r>
        <w:rPr>
          <w:color w:val="000000"/>
        </w:rPr>
        <w:t>a</w:t>
      </w:r>
      <w:r w:rsidRPr="00710363">
        <w:rPr>
          <w:color w:val="000000"/>
        </w:rPr>
        <w:t>s of 20</w:t>
      </w:r>
      <w:r>
        <w:rPr>
          <w:color w:val="000000"/>
        </w:rPr>
        <w:t>12</w:t>
      </w:r>
      <w:r w:rsidRPr="00710363">
        <w:rPr>
          <w:color w:val="000000"/>
        </w:rPr>
        <w:t xml:space="preserve">, </w:t>
      </w:r>
      <w:r w:rsidR="00A23881">
        <w:rPr>
          <w:color w:val="000000"/>
        </w:rPr>
        <w:t>local</w:t>
      </w:r>
      <w:r w:rsidR="009C6FFF">
        <w:rPr>
          <w:color w:val="000000"/>
        </w:rPr>
        <w:t xml:space="preserve"> governments in </w:t>
      </w:r>
      <w:r w:rsidR="009C6FFF" w:rsidRPr="00710363">
        <w:rPr>
          <w:color w:val="000000"/>
        </w:rPr>
        <w:t>3</w:t>
      </w:r>
      <w:r w:rsidR="00990451">
        <w:rPr>
          <w:color w:val="000000"/>
        </w:rPr>
        <w:t>4</w:t>
      </w:r>
      <w:r w:rsidR="009C6FFF" w:rsidRPr="00710363">
        <w:rPr>
          <w:color w:val="000000"/>
        </w:rPr>
        <w:t xml:space="preserve"> states</w:t>
      </w:r>
      <w:r w:rsidR="00990451">
        <w:rPr>
          <w:color w:val="000000"/>
        </w:rPr>
        <w:t>, plus the District of Columbia,</w:t>
      </w:r>
      <w:r w:rsidR="009C6FFF">
        <w:rPr>
          <w:color w:val="000000"/>
        </w:rPr>
        <w:t xml:space="preserve"> rel</w:t>
      </w:r>
      <w:r w:rsidR="00ED2F68">
        <w:rPr>
          <w:color w:val="000000"/>
        </w:rPr>
        <w:t>ied</w:t>
      </w:r>
      <w:r w:rsidR="009C6FFF">
        <w:rPr>
          <w:color w:val="000000"/>
        </w:rPr>
        <w:t xml:space="preserve"> on </w:t>
      </w:r>
      <w:r w:rsidR="00096C9D" w:rsidRPr="00710363">
        <w:rPr>
          <w:color w:val="000000"/>
        </w:rPr>
        <w:t xml:space="preserve">sales taxes </w:t>
      </w:r>
      <w:r w:rsidR="00096C9D">
        <w:rPr>
          <w:color w:val="000000"/>
        </w:rPr>
        <w:t xml:space="preserve">(Table </w:t>
      </w:r>
      <w:r w:rsidR="001F6256">
        <w:rPr>
          <w:color w:val="000000"/>
        </w:rPr>
        <w:t>2</w:t>
      </w:r>
      <w:r w:rsidR="00096C9D">
        <w:rPr>
          <w:color w:val="000000"/>
        </w:rPr>
        <w:t>)</w:t>
      </w:r>
      <w:r w:rsidR="00096C9D" w:rsidRPr="00710363">
        <w:rPr>
          <w:color w:val="000000"/>
        </w:rPr>
        <w:t>.</w:t>
      </w:r>
      <w:r w:rsidR="0073042B">
        <w:rPr>
          <w:color w:val="000000"/>
        </w:rPr>
        <w:t xml:space="preserve"> </w:t>
      </w:r>
      <w:r w:rsidR="009C6FFF">
        <w:rPr>
          <w:color w:val="000000"/>
        </w:rPr>
        <w:t xml:space="preserve">The reliance on local sales taxes varies </w:t>
      </w:r>
      <w:r w:rsidR="009C6FFF">
        <w:rPr>
          <w:color w:val="000000"/>
        </w:rPr>
        <w:lastRenderedPageBreak/>
        <w:t>widely</w:t>
      </w:r>
      <w:r w:rsidR="00ED2F68">
        <w:rPr>
          <w:color w:val="000000"/>
        </w:rPr>
        <w:t xml:space="preserve"> a</w:t>
      </w:r>
      <w:r w:rsidR="009C6FFF">
        <w:rPr>
          <w:color w:val="000000"/>
        </w:rPr>
        <w:t>mong the</w:t>
      </w:r>
      <w:r w:rsidR="00ED2F68">
        <w:rPr>
          <w:color w:val="000000"/>
        </w:rPr>
        <w:t>se</w:t>
      </w:r>
      <w:r w:rsidR="009C6FFF">
        <w:rPr>
          <w:color w:val="000000"/>
        </w:rPr>
        <w:t xml:space="preserve"> 3</w:t>
      </w:r>
      <w:r w:rsidR="00990451">
        <w:rPr>
          <w:color w:val="000000"/>
        </w:rPr>
        <w:t>4</w:t>
      </w:r>
      <w:r w:rsidR="009C6FFF">
        <w:rPr>
          <w:color w:val="000000"/>
        </w:rPr>
        <w:t xml:space="preserve"> states</w:t>
      </w:r>
      <w:r w:rsidR="00A23881">
        <w:rPr>
          <w:color w:val="000000"/>
        </w:rPr>
        <w:t>,</w:t>
      </w:r>
      <w:r w:rsidR="00ED2F68">
        <w:rPr>
          <w:color w:val="000000"/>
        </w:rPr>
        <w:t xml:space="preserve"> as reflected in </w:t>
      </w:r>
      <w:r w:rsidR="00096C9D" w:rsidRPr="00710363">
        <w:rPr>
          <w:color w:val="000000"/>
        </w:rPr>
        <w:t>local sales tax revenue as a share of local tax revenue</w:t>
      </w:r>
      <w:r w:rsidR="00ED2F68">
        <w:rPr>
          <w:color w:val="000000"/>
        </w:rPr>
        <w:t>, which</w:t>
      </w:r>
      <w:r w:rsidR="00096C9D" w:rsidRPr="00710363">
        <w:rPr>
          <w:color w:val="000000"/>
        </w:rPr>
        <w:t xml:space="preserve"> </w:t>
      </w:r>
      <w:r w:rsidR="001F6256">
        <w:rPr>
          <w:color w:val="000000"/>
        </w:rPr>
        <w:t>ranged</w:t>
      </w:r>
      <w:r w:rsidR="00096C9D" w:rsidRPr="00710363">
        <w:rPr>
          <w:color w:val="000000"/>
        </w:rPr>
        <w:t xml:space="preserve"> from </w:t>
      </w:r>
      <w:r w:rsidR="00A23881">
        <w:rPr>
          <w:color w:val="000000"/>
        </w:rPr>
        <w:t>1.6</w:t>
      </w:r>
      <w:r w:rsidR="00121DFC">
        <w:rPr>
          <w:color w:val="000000"/>
        </w:rPr>
        <w:t xml:space="preserve"> percent</w:t>
      </w:r>
      <w:r w:rsidR="00096C9D" w:rsidRPr="00710363">
        <w:rPr>
          <w:color w:val="000000"/>
        </w:rPr>
        <w:t xml:space="preserve"> to </w:t>
      </w:r>
      <w:r w:rsidR="00A23881">
        <w:rPr>
          <w:color w:val="000000"/>
        </w:rPr>
        <w:t>48.5</w:t>
      </w:r>
      <w:r w:rsidR="00096C9D" w:rsidRPr="00710363">
        <w:rPr>
          <w:color w:val="000000"/>
        </w:rPr>
        <w:t xml:space="preserve"> percent (Table </w:t>
      </w:r>
      <w:r w:rsidR="001F6256">
        <w:rPr>
          <w:color w:val="000000"/>
        </w:rPr>
        <w:t>2</w:t>
      </w:r>
      <w:r w:rsidR="00096C9D" w:rsidRPr="00710363">
        <w:rPr>
          <w:color w:val="000000"/>
        </w:rPr>
        <w:t>).</w:t>
      </w:r>
      <w:r w:rsidR="0073042B">
        <w:rPr>
          <w:color w:val="000000"/>
        </w:rPr>
        <w:t xml:space="preserve"> </w:t>
      </w:r>
      <w:r w:rsidR="000C4C8A">
        <w:rPr>
          <w:color w:val="000000"/>
        </w:rPr>
        <w:t xml:space="preserve">The difference in reliance on the sales tax reflect differences in the percentage of local governments in </w:t>
      </w:r>
      <w:r w:rsidR="0012720A">
        <w:rPr>
          <w:color w:val="000000"/>
        </w:rPr>
        <w:t xml:space="preserve">the </w:t>
      </w:r>
      <w:r w:rsidR="000C4C8A">
        <w:rPr>
          <w:color w:val="000000"/>
        </w:rPr>
        <w:t xml:space="preserve">state that </w:t>
      </w:r>
      <w:r w:rsidR="0012720A">
        <w:rPr>
          <w:color w:val="000000"/>
        </w:rPr>
        <w:t>employ a local</w:t>
      </w:r>
      <w:r w:rsidR="000C4C8A">
        <w:rPr>
          <w:color w:val="000000"/>
        </w:rPr>
        <w:t xml:space="preserve"> sales tax and the </w:t>
      </w:r>
      <w:r w:rsidR="0012720A">
        <w:rPr>
          <w:color w:val="000000"/>
        </w:rPr>
        <w:t xml:space="preserve">local </w:t>
      </w:r>
      <w:r w:rsidR="000C4C8A">
        <w:rPr>
          <w:color w:val="000000"/>
        </w:rPr>
        <w:t>sales tax rates.</w:t>
      </w:r>
    </w:p>
    <w:p w14:paraId="59AD6BE5" w14:textId="0E0E41F3" w:rsidR="000C4ADA" w:rsidRPr="00EE3C2A" w:rsidRDefault="000C4ADA" w:rsidP="00B01A28">
      <w:pPr>
        <w:pStyle w:val="Heading4"/>
        <w:rPr>
          <w:color w:val="000000"/>
          <w:sz w:val="23"/>
          <w:szCs w:val="23"/>
        </w:rPr>
      </w:pPr>
      <w:bookmarkStart w:id="49" w:name="_Toc433373690"/>
      <w:r w:rsidRPr="00EE3C2A">
        <w:t xml:space="preserve">Table </w:t>
      </w:r>
      <w:r w:rsidR="005118B5">
        <w:t>2</w:t>
      </w:r>
      <w:r w:rsidRPr="00EE3C2A">
        <w:t>. Local Sales Tax Revenue as a Percent</w:t>
      </w:r>
      <w:r w:rsidR="00D32CF3">
        <w:t>age</w:t>
      </w:r>
      <w:r w:rsidRPr="00EE3C2A">
        <w:t xml:space="preserve"> of Local Tax Revenue, 20</w:t>
      </w:r>
      <w:r w:rsidR="005118B5">
        <w:t>12</w:t>
      </w:r>
      <w:bookmarkEnd w:id="49"/>
    </w:p>
    <w:tbl>
      <w:tblPr>
        <w:tblW w:w="7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7"/>
        <w:gridCol w:w="1620"/>
        <w:gridCol w:w="2070"/>
        <w:gridCol w:w="1890"/>
      </w:tblGrid>
      <w:tr w:rsidR="000C4ADA" w:rsidRPr="00530545" w14:paraId="7DDAA4BE" w14:textId="77777777" w:rsidTr="005D739A">
        <w:trPr>
          <w:trHeight w:hRule="exact" w:val="506"/>
        </w:trPr>
        <w:tc>
          <w:tcPr>
            <w:tcW w:w="2087" w:type="dxa"/>
            <w:tcBorders>
              <w:top w:val="single" w:sz="12" w:space="0" w:color="auto"/>
              <w:left w:val="nil"/>
              <w:bottom w:val="single" w:sz="12" w:space="0" w:color="auto"/>
              <w:right w:val="nil"/>
            </w:tcBorders>
            <w:shd w:val="clear" w:color="auto" w:fill="auto"/>
            <w:noWrap/>
            <w:tcMar>
              <w:top w:w="17" w:type="dxa"/>
              <w:left w:w="17" w:type="dxa"/>
              <w:bottom w:w="0" w:type="dxa"/>
              <w:right w:w="17" w:type="dxa"/>
            </w:tcMar>
            <w:vAlign w:val="bottom"/>
          </w:tcPr>
          <w:p w14:paraId="6D110F0C" w14:textId="77777777" w:rsidR="000C4ADA" w:rsidRPr="00530545" w:rsidRDefault="000C4ADA" w:rsidP="005D739A">
            <w:pPr>
              <w:spacing w:after="0" w:line="240" w:lineRule="auto"/>
              <w:rPr>
                <w:b/>
              </w:rPr>
            </w:pPr>
            <w:r w:rsidRPr="00530545">
              <w:rPr>
                <w:b/>
              </w:rPr>
              <w:t>State</w:t>
            </w:r>
          </w:p>
        </w:tc>
        <w:tc>
          <w:tcPr>
            <w:tcW w:w="1620" w:type="dxa"/>
            <w:tcBorders>
              <w:top w:val="single" w:sz="12" w:space="0" w:color="auto"/>
              <w:left w:val="nil"/>
              <w:bottom w:val="single" w:sz="12" w:space="0" w:color="auto"/>
              <w:right w:val="single" w:sz="12" w:space="0" w:color="auto"/>
            </w:tcBorders>
            <w:shd w:val="clear" w:color="auto" w:fill="auto"/>
            <w:noWrap/>
            <w:tcMar>
              <w:top w:w="17" w:type="dxa"/>
              <w:left w:w="17" w:type="dxa"/>
              <w:bottom w:w="0" w:type="dxa"/>
              <w:right w:w="17" w:type="dxa"/>
            </w:tcMar>
            <w:vAlign w:val="bottom"/>
          </w:tcPr>
          <w:p w14:paraId="0D030BE8" w14:textId="77777777" w:rsidR="000C4ADA" w:rsidRPr="009310C2" w:rsidRDefault="000C4ADA" w:rsidP="00BA7354">
            <w:pPr>
              <w:spacing w:after="0" w:line="240" w:lineRule="auto"/>
              <w:jc w:val="center"/>
              <w:rPr>
                <w:b/>
              </w:rPr>
            </w:pPr>
            <w:r w:rsidRPr="009310C2">
              <w:rPr>
                <w:b/>
              </w:rPr>
              <w:t>Percent</w:t>
            </w:r>
          </w:p>
        </w:tc>
        <w:tc>
          <w:tcPr>
            <w:tcW w:w="2070" w:type="dxa"/>
            <w:tcBorders>
              <w:top w:val="single" w:sz="12" w:space="0" w:color="auto"/>
              <w:left w:val="single" w:sz="12" w:space="0" w:color="auto"/>
              <w:bottom w:val="single" w:sz="12" w:space="0" w:color="auto"/>
              <w:right w:val="nil"/>
            </w:tcBorders>
            <w:vAlign w:val="bottom"/>
          </w:tcPr>
          <w:p w14:paraId="48EC8B36" w14:textId="77777777" w:rsidR="000C4ADA" w:rsidRPr="009310C2" w:rsidRDefault="000C4ADA" w:rsidP="005D739A">
            <w:pPr>
              <w:spacing w:after="0" w:line="240" w:lineRule="auto"/>
              <w:ind w:left="90"/>
              <w:rPr>
                <w:b/>
              </w:rPr>
            </w:pPr>
            <w:r w:rsidRPr="009310C2">
              <w:rPr>
                <w:b/>
              </w:rPr>
              <w:t>State</w:t>
            </w:r>
          </w:p>
        </w:tc>
        <w:tc>
          <w:tcPr>
            <w:tcW w:w="1890" w:type="dxa"/>
            <w:tcBorders>
              <w:top w:val="single" w:sz="12" w:space="0" w:color="auto"/>
              <w:left w:val="nil"/>
              <w:bottom w:val="single" w:sz="12" w:space="0" w:color="auto"/>
              <w:right w:val="nil"/>
            </w:tcBorders>
            <w:vAlign w:val="bottom"/>
          </w:tcPr>
          <w:p w14:paraId="28FFF159" w14:textId="77777777" w:rsidR="000C4ADA" w:rsidRPr="009310C2" w:rsidRDefault="000C4ADA" w:rsidP="00BA7354">
            <w:pPr>
              <w:spacing w:after="0" w:line="240" w:lineRule="auto"/>
              <w:jc w:val="center"/>
              <w:rPr>
                <w:b/>
              </w:rPr>
            </w:pPr>
            <w:r w:rsidRPr="009310C2">
              <w:rPr>
                <w:b/>
              </w:rPr>
              <w:t>Percent</w:t>
            </w:r>
          </w:p>
        </w:tc>
      </w:tr>
      <w:tr w:rsidR="005118B5" w:rsidRPr="00530545" w14:paraId="11783351" w14:textId="77777777" w:rsidTr="002F5F09">
        <w:trPr>
          <w:trHeight w:hRule="exact" w:val="288"/>
        </w:trPr>
        <w:tc>
          <w:tcPr>
            <w:tcW w:w="2087" w:type="dxa"/>
            <w:tcBorders>
              <w:top w:val="single" w:sz="12" w:space="0" w:color="auto"/>
              <w:left w:val="nil"/>
              <w:bottom w:val="nil"/>
              <w:right w:val="nil"/>
            </w:tcBorders>
            <w:shd w:val="clear" w:color="auto" w:fill="auto"/>
            <w:noWrap/>
            <w:tcMar>
              <w:top w:w="17" w:type="dxa"/>
              <w:left w:w="17" w:type="dxa"/>
              <w:bottom w:w="0" w:type="dxa"/>
              <w:right w:w="17" w:type="dxa"/>
            </w:tcMar>
            <w:vAlign w:val="bottom"/>
          </w:tcPr>
          <w:p w14:paraId="47EEFCD1" w14:textId="5DA0BFDF" w:rsidR="005118B5" w:rsidRPr="005118B5" w:rsidRDefault="005118B5" w:rsidP="00D422A0">
            <w:pPr>
              <w:spacing w:after="0" w:line="240" w:lineRule="auto"/>
              <w:rPr>
                <w:sz w:val="22"/>
                <w:szCs w:val="22"/>
              </w:rPr>
            </w:pPr>
            <w:r w:rsidRPr="005118B5">
              <w:rPr>
                <w:color w:val="000000"/>
                <w:sz w:val="22"/>
                <w:szCs w:val="22"/>
              </w:rPr>
              <w:t>Louisiana</w:t>
            </w:r>
          </w:p>
        </w:tc>
        <w:tc>
          <w:tcPr>
            <w:tcW w:w="1620" w:type="dxa"/>
            <w:tcBorders>
              <w:top w:val="single" w:sz="12" w:space="0" w:color="auto"/>
              <w:left w:val="nil"/>
              <w:bottom w:val="nil"/>
              <w:right w:val="single" w:sz="12" w:space="0" w:color="auto"/>
            </w:tcBorders>
            <w:shd w:val="clear" w:color="auto" w:fill="auto"/>
            <w:noWrap/>
            <w:tcMar>
              <w:top w:w="17" w:type="dxa"/>
              <w:left w:w="17" w:type="dxa"/>
              <w:bottom w:w="0" w:type="dxa"/>
              <w:right w:w="17" w:type="dxa"/>
            </w:tcMar>
            <w:vAlign w:val="bottom"/>
          </w:tcPr>
          <w:p w14:paraId="3665B811" w14:textId="7AEDB94E" w:rsidR="005118B5" w:rsidRPr="005118B5" w:rsidRDefault="005118B5" w:rsidP="00D422A0">
            <w:pPr>
              <w:spacing w:after="0" w:line="240" w:lineRule="auto"/>
              <w:jc w:val="center"/>
              <w:rPr>
                <w:sz w:val="22"/>
                <w:szCs w:val="22"/>
              </w:rPr>
            </w:pPr>
            <w:r w:rsidRPr="005118B5">
              <w:rPr>
                <w:color w:val="000000"/>
                <w:sz w:val="22"/>
                <w:szCs w:val="22"/>
              </w:rPr>
              <w:t>48.5%</w:t>
            </w:r>
          </w:p>
        </w:tc>
        <w:tc>
          <w:tcPr>
            <w:tcW w:w="2070" w:type="dxa"/>
            <w:tcBorders>
              <w:top w:val="single" w:sz="12" w:space="0" w:color="auto"/>
              <w:left w:val="single" w:sz="12" w:space="0" w:color="auto"/>
              <w:bottom w:val="nil"/>
              <w:right w:val="nil"/>
            </w:tcBorders>
            <w:vAlign w:val="bottom"/>
          </w:tcPr>
          <w:p w14:paraId="77532B5B" w14:textId="04FBCED0" w:rsidR="005118B5" w:rsidRPr="005118B5" w:rsidRDefault="005118B5" w:rsidP="00D422A0">
            <w:pPr>
              <w:spacing w:after="0" w:line="240" w:lineRule="auto"/>
              <w:ind w:left="90"/>
              <w:rPr>
                <w:sz w:val="22"/>
                <w:szCs w:val="22"/>
              </w:rPr>
            </w:pPr>
            <w:r w:rsidRPr="005118B5">
              <w:rPr>
                <w:color w:val="000000"/>
                <w:sz w:val="22"/>
                <w:szCs w:val="22"/>
              </w:rPr>
              <w:t>New York</w:t>
            </w:r>
          </w:p>
        </w:tc>
        <w:tc>
          <w:tcPr>
            <w:tcW w:w="1890" w:type="dxa"/>
            <w:tcBorders>
              <w:top w:val="single" w:sz="12" w:space="0" w:color="auto"/>
              <w:left w:val="nil"/>
              <w:bottom w:val="nil"/>
              <w:right w:val="nil"/>
            </w:tcBorders>
            <w:vAlign w:val="bottom"/>
          </w:tcPr>
          <w:p w14:paraId="4CB33154" w14:textId="782C4FC0" w:rsidR="005118B5" w:rsidRPr="005118B5" w:rsidRDefault="005118B5" w:rsidP="00D422A0">
            <w:pPr>
              <w:spacing w:after="0" w:line="240" w:lineRule="auto"/>
              <w:jc w:val="center"/>
              <w:rPr>
                <w:sz w:val="22"/>
                <w:szCs w:val="22"/>
              </w:rPr>
            </w:pPr>
            <w:r w:rsidRPr="005118B5">
              <w:rPr>
                <w:color w:val="000000"/>
                <w:sz w:val="22"/>
                <w:szCs w:val="22"/>
              </w:rPr>
              <w:t>16.5%</w:t>
            </w:r>
          </w:p>
        </w:tc>
      </w:tr>
      <w:tr w:rsidR="005118B5" w:rsidRPr="00530545" w14:paraId="400E90CA"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4B556F0F" w14:textId="0CEAE9BD" w:rsidR="005118B5" w:rsidRPr="005118B5" w:rsidRDefault="005118B5" w:rsidP="00D422A0">
            <w:pPr>
              <w:spacing w:after="0" w:line="240" w:lineRule="auto"/>
              <w:rPr>
                <w:sz w:val="22"/>
                <w:szCs w:val="22"/>
              </w:rPr>
            </w:pPr>
            <w:r w:rsidRPr="005118B5">
              <w:rPr>
                <w:color w:val="000000"/>
                <w:sz w:val="22"/>
                <w:szCs w:val="22"/>
              </w:rPr>
              <w:t>Arkansas</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27927AFA" w14:textId="2B15A9A4" w:rsidR="005118B5" w:rsidRPr="005118B5" w:rsidRDefault="005118B5" w:rsidP="00D422A0">
            <w:pPr>
              <w:spacing w:after="0" w:line="240" w:lineRule="auto"/>
              <w:jc w:val="center"/>
              <w:rPr>
                <w:sz w:val="22"/>
                <w:szCs w:val="22"/>
              </w:rPr>
            </w:pPr>
            <w:r w:rsidRPr="005118B5">
              <w:rPr>
                <w:color w:val="000000"/>
                <w:sz w:val="22"/>
                <w:szCs w:val="22"/>
              </w:rPr>
              <w:t>45.7%</w:t>
            </w:r>
          </w:p>
        </w:tc>
        <w:tc>
          <w:tcPr>
            <w:tcW w:w="2070" w:type="dxa"/>
            <w:tcBorders>
              <w:top w:val="nil"/>
              <w:left w:val="single" w:sz="12" w:space="0" w:color="auto"/>
              <w:bottom w:val="nil"/>
              <w:right w:val="nil"/>
            </w:tcBorders>
            <w:vAlign w:val="bottom"/>
          </w:tcPr>
          <w:p w14:paraId="39848B35" w14:textId="02A35E1F" w:rsidR="005118B5" w:rsidRPr="005118B5" w:rsidRDefault="005118B5" w:rsidP="00D422A0">
            <w:pPr>
              <w:spacing w:after="0" w:line="240" w:lineRule="auto"/>
              <w:ind w:left="90"/>
              <w:rPr>
                <w:sz w:val="22"/>
                <w:szCs w:val="22"/>
              </w:rPr>
            </w:pPr>
            <w:r w:rsidRPr="005118B5">
              <w:rPr>
                <w:color w:val="000000"/>
                <w:sz w:val="22"/>
                <w:szCs w:val="22"/>
              </w:rPr>
              <w:t>Alaska</w:t>
            </w:r>
          </w:p>
        </w:tc>
        <w:tc>
          <w:tcPr>
            <w:tcW w:w="1890" w:type="dxa"/>
            <w:tcBorders>
              <w:top w:val="nil"/>
              <w:left w:val="nil"/>
              <w:bottom w:val="nil"/>
              <w:right w:val="nil"/>
            </w:tcBorders>
            <w:vAlign w:val="bottom"/>
          </w:tcPr>
          <w:p w14:paraId="2CDD478C" w14:textId="2EB8FA64" w:rsidR="005118B5" w:rsidRPr="005118B5" w:rsidRDefault="005118B5" w:rsidP="00D422A0">
            <w:pPr>
              <w:spacing w:after="0" w:line="240" w:lineRule="auto"/>
              <w:jc w:val="center"/>
              <w:rPr>
                <w:sz w:val="22"/>
                <w:szCs w:val="22"/>
              </w:rPr>
            </w:pPr>
            <w:r w:rsidRPr="005118B5">
              <w:rPr>
                <w:color w:val="000000"/>
                <w:sz w:val="22"/>
                <w:szCs w:val="22"/>
              </w:rPr>
              <w:t>12.8%</w:t>
            </w:r>
          </w:p>
        </w:tc>
      </w:tr>
      <w:tr w:rsidR="005118B5" w:rsidRPr="00530545" w14:paraId="1F593F57"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09D56170" w14:textId="7919B1F8" w:rsidR="005118B5" w:rsidRPr="005118B5" w:rsidRDefault="005118B5" w:rsidP="00D422A0">
            <w:pPr>
              <w:spacing w:after="0" w:line="240" w:lineRule="auto"/>
              <w:rPr>
                <w:sz w:val="22"/>
                <w:szCs w:val="22"/>
              </w:rPr>
            </w:pPr>
            <w:r w:rsidRPr="005118B5">
              <w:rPr>
                <w:color w:val="000000"/>
                <w:sz w:val="22"/>
                <w:szCs w:val="22"/>
              </w:rPr>
              <w:t>Oklahoma</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5A07C72C" w14:textId="69CD7C8A" w:rsidR="005118B5" w:rsidRPr="005118B5" w:rsidRDefault="005118B5" w:rsidP="00D422A0">
            <w:pPr>
              <w:spacing w:after="0" w:line="240" w:lineRule="auto"/>
              <w:jc w:val="center"/>
              <w:rPr>
                <w:sz w:val="22"/>
                <w:szCs w:val="22"/>
              </w:rPr>
            </w:pPr>
            <w:r w:rsidRPr="005118B5">
              <w:rPr>
                <w:color w:val="000000"/>
                <w:sz w:val="22"/>
                <w:szCs w:val="22"/>
              </w:rPr>
              <w:t>43.1%</w:t>
            </w:r>
          </w:p>
        </w:tc>
        <w:tc>
          <w:tcPr>
            <w:tcW w:w="2070" w:type="dxa"/>
            <w:tcBorders>
              <w:top w:val="nil"/>
              <w:left w:val="single" w:sz="12" w:space="0" w:color="auto"/>
              <w:bottom w:val="nil"/>
              <w:right w:val="nil"/>
            </w:tcBorders>
            <w:vAlign w:val="bottom"/>
          </w:tcPr>
          <w:p w14:paraId="7770D9BE" w14:textId="096A8854" w:rsidR="005118B5" w:rsidRPr="005118B5" w:rsidRDefault="005118B5" w:rsidP="00D422A0">
            <w:pPr>
              <w:spacing w:after="0" w:line="240" w:lineRule="auto"/>
              <w:ind w:left="90"/>
              <w:rPr>
                <w:sz w:val="22"/>
                <w:szCs w:val="22"/>
              </w:rPr>
            </w:pPr>
            <w:r w:rsidRPr="005118B5">
              <w:rPr>
                <w:color w:val="000000"/>
                <w:sz w:val="22"/>
                <w:szCs w:val="22"/>
              </w:rPr>
              <w:t>Iowa</w:t>
            </w:r>
          </w:p>
        </w:tc>
        <w:tc>
          <w:tcPr>
            <w:tcW w:w="1890" w:type="dxa"/>
            <w:tcBorders>
              <w:top w:val="nil"/>
              <w:left w:val="nil"/>
              <w:bottom w:val="nil"/>
              <w:right w:val="nil"/>
            </w:tcBorders>
            <w:vAlign w:val="bottom"/>
          </w:tcPr>
          <w:p w14:paraId="3F5E4A68" w14:textId="56FCA241" w:rsidR="005118B5" w:rsidRPr="005118B5" w:rsidRDefault="005118B5" w:rsidP="00D422A0">
            <w:pPr>
              <w:spacing w:after="0" w:line="240" w:lineRule="auto"/>
              <w:jc w:val="center"/>
              <w:rPr>
                <w:sz w:val="22"/>
                <w:szCs w:val="22"/>
              </w:rPr>
            </w:pPr>
            <w:r w:rsidRPr="005118B5">
              <w:rPr>
                <w:color w:val="000000"/>
                <w:sz w:val="22"/>
                <w:szCs w:val="22"/>
              </w:rPr>
              <w:t>12.4%</w:t>
            </w:r>
          </w:p>
        </w:tc>
      </w:tr>
      <w:tr w:rsidR="005118B5" w:rsidRPr="00530545" w14:paraId="52978408"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3DDFB1FD" w14:textId="0B2FA74F" w:rsidR="005118B5" w:rsidRPr="005118B5" w:rsidRDefault="005118B5" w:rsidP="00D422A0">
            <w:pPr>
              <w:spacing w:after="0" w:line="240" w:lineRule="auto"/>
              <w:rPr>
                <w:sz w:val="22"/>
                <w:szCs w:val="22"/>
              </w:rPr>
            </w:pPr>
            <w:r w:rsidRPr="005118B5">
              <w:rPr>
                <w:color w:val="000000"/>
                <w:sz w:val="22"/>
                <w:szCs w:val="22"/>
              </w:rPr>
              <w:t>New Mexico</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49BC1864" w14:textId="3E3227C3" w:rsidR="005118B5" w:rsidRPr="005118B5" w:rsidRDefault="005118B5" w:rsidP="00D422A0">
            <w:pPr>
              <w:spacing w:after="0" w:line="240" w:lineRule="auto"/>
              <w:jc w:val="center"/>
              <w:rPr>
                <w:sz w:val="22"/>
                <w:szCs w:val="22"/>
              </w:rPr>
            </w:pPr>
            <w:r w:rsidRPr="005118B5">
              <w:rPr>
                <w:color w:val="000000"/>
                <w:sz w:val="22"/>
                <w:szCs w:val="22"/>
              </w:rPr>
              <w:t>38.4%</w:t>
            </w:r>
          </w:p>
        </w:tc>
        <w:tc>
          <w:tcPr>
            <w:tcW w:w="2070" w:type="dxa"/>
            <w:tcBorders>
              <w:top w:val="nil"/>
              <w:left w:val="single" w:sz="12" w:space="0" w:color="auto"/>
              <w:bottom w:val="nil"/>
              <w:right w:val="nil"/>
            </w:tcBorders>
            <w:vAlign w:val="bottom"/>
          </w:tcPr>
          <w:p w14:paraId="50009A3B" w14:textId="34E98A1B" w:rsidR="005118B5" w:rsidRPr="005118B5" w:rsidRDefault="005118B5" w:rsidP="00D422A0">
            <w:pPr>
              <w:spacing w:after="0" w:line="240" w:lineRule="auto"/>
              <w:ind w:left="90"/>
              <w:rPr>
                <w:sz w:val="22"/>
                <w:szCs w:val="22"/>
              </w:rPr>
            </w:pPr>
            <w:r w:rsidRPr="005118B5">
              <w:rPr>
                <w:color w:val="000000"/>
                <w:sz w:val="22"/>
                <w:szCs w:val="22"/>
              </w:rPr>
              <w:t>Texas</w:t>
            </w:r>
          </w:p>
        </w:tc>
        <w:tc>
          <w:tcPr>
            <w:tcW w:w="1890" w:type="dxa"/>
            <w:tcBorders>
              <w:top w:val="nil"/>
              <w:left w:val="nil"/>
              <w:bottom w:val="nil"/>
              <w:right w:val="nil"/>
            </w:tcBorders>
            <w:vAlign w:val="bottom"/>
          </w:tcPr>
          <w:p w14:paraId="4229A479" w14:textId="7E63F643" w:rsidR="005118B5" w:rsidRPr="005118B5" w:rsidRDefault="005118B5" w:rsidP="00D422A0">
            <w:pPr>
              <w:spacing w:after="0" w:line="240" w:lineRule="auto"/>
              <w:jc w:val="center"/>
              <w:rPr>
                <w:sz w:val="22"/>
                <w:szCs w:val="22"/>
              </w:rPr>
            </w:pPr>
            <w:r w:rsidRPr="005118B5">
              <w:rPr>
                <w:color w:val="000000"/>
                <w:sz w:val="22"/>
                <w:szCs w:val="22"/>
              </w:rPr>
              <w:t>10.3%</w:t>
            </w:r>
          </w:p>
        </w:tc>
      </w:tr>
      <w:tr w:rsidR="005118B5" w:rsidRPr="00530545" w14:paraId="4336DCB4"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19B10B17" w14:textId="252C482C" w:rsidR="005118B5" w:rsidRPr="005118B5" w:rsidRDefault="005118B5" w:rsidP="00D422A0">
            <w:pPr>
              <w:spacing w:after="0" w:line="240" w:lineRule="auto"/>
              <w:rPr>
                <w:sz w:val="22"/>
                <w:szCs w:val="22"/>
              </w:rPr>
            </w:pPr>
            <w:r w:rsidRPr="005118B5">
              <w:rPr>
                <w:color w:val="000000"/>
                <w:sz w:val="22"/>
                <w:szCs w:val="22"/>
              </w:rPr>
              <w:t>Alabama</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38031F36" w14:textId="2ED97BC7" w:rsidR="005118B5" w:rsidRPr="005118B5" w:rsidRDefault="005118B5" w:rsidP="00D422A0">
            <w:pPr>
              <w:spacing w:after="0" w:line="240" w:lineRule="auto"/>
              <w:jc w:val="center"/>
              <w:rPr>
                <w:sz w:val="22"/>
                <w:szCs w:val="22"/>
              </w:rPr>
            </w:pPr>
            <w:r w:rsidRPr="005118B5">
              <w:rPr>
                <w:color w:val="000000"/>
                <w:sz w:val="22"/>
                <w:szCs w:val="22"/>
              </w:rPr>
              <w:t>36.8%</w:t>
            </w:r>
          </w:p>
        </w:tc>
        <w:tc>
          <w:tcPr>
            <w:tcW w:w="2070" w:type="dxa"/>
            <w:tcBorders>
              <w:top w:val="nil"/>
              <w:left w:val="single" w:sz="12" w:space="0" w:color="auto"/>
              <w:bottom w:val="nil"/>
              <w:right w:val="nil"/>
            </w:tcBorders>
            <w:vAlign w:val="bottom"/>
          </w:tcPr>
          <w:p w14:paraId="6AD13ABF" w14:textId="5BEB5AFB" w:rsidR="005118B5" w:rsidRPr="005118B5" w:rsidRDefault="005118B5" w:rsidP="00D422A0">
            <w:pPr>
              <w:spacing w:after="0" w:line="240" w:lineRule="auto"/>
              <w:ind w:left="90"/>
              <w:rPr>
                <w:sz w:val="22"/>
                <w:szCs w:val="22"/>
              </w:rPr>
            </w:pPr>
            <w:r w:rsidRPr="005118B5">
              <w:rPr>
                <w:color w:val="000000"/>
                <w:sz w:val="22"/>
                <w:szCs w:val="22"/>
              </w:rPr>
              <w:t>Hawaii</w:t>
            </w:r>
          </w:p>
        </w:tc>
        <w:tc>
          <w:tcPr>
            <w:tcW w:w="1890" w:type="dxa"/>
            <w:tcBorders>
              <w:top w:val="nil"/>
              <w:left w:val="nil"/>
              <w:bottom w:val="nil"/>
              <w:right w:val="nil"/>
            </w:tcBorders>
            <w:vAlign w:val="bottom"/>
          </w:tcPr>
          <w:p w14:paraId="77C7B34F" w14:textId="6F0E25B9" w:rsidR="005118B5" w:rsidRPr="005118B5" w:rsidRDefault="005118B5" w:rsidP="00D422A0">
            <w:pPr>
              <w:spacing w:after="0" w:line="240" w:lineRule="auto"/>
              <w:jc w:val="center"/>
              <w:rPr>
                <w:sz w:val="22"/>
                <w:szCs w:val="22"/>
              </w:rPr>
            </w:pPr>
            <w:r w:rsidRPr="005118B5">
              <w:rPr>
                <w:color w:val="000000"/>
                <w:sz w:val="22"/>
                <w:szCs w:val="22"/>
              </w:rPr>
              <w:t>10.1%</w:t>
            </w:r>
          </w:p>
        </w:tc>
      </w:tr>
      <w:tr w:rsidR="005118B5" w:rsidRPr="00530545" w14:paraId="5C5BB0BA"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2ABDBABC" w14:textId="686E592F" w:rsidR="005118B5" w:rsidRPr="005118B5" w:rsidRDefault="005118B5" w:rsidP="00D422A0">
            <w:pPr>
              <w:spacing w:after="0" w:line="240" w:lineRule="auto"/>
              <w:rPr>
                <w:sz w:val="22"/>
                <w:szCs w:val="22"/>
              </w:rPr>
            </w:pPr>
            <w:r w:rsidRPr="005118B5">
              <w:rPr>
                <w:color w:val="000000"/>
                <w:sz w:val="22"/>
                <w:szCs w:val="22"/>
              </w:rPr>
              <w:t>Colorado</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4BB193DD" w14:textId="6C603C62" w:rsidR="005118B5" w:rsidRPr="005118B5" w:rsidRDefault="005118B5" w:rsidP="00D422A0">
            <w:pPr>
              <w:spacing w:after="0" w:line="240" w:lineRule="auto"/>
              <w:jc w:val="center"/>
              <w:rPr>
                <w:sz w:val="22"/>
                <w:szCs w:val="22"/>
              </w:rPr>
            </w:pPr>
            <w:r w:rsidRPr="005118B5">
              <w:rPr>
                <w:color w:val="000000"/>
                <w:sz w:val="22"/>
                <w:szCs w:val="22"/>
              </w:rPr>
              <w:t>28.7%</w:t>
            </w:r>
          </w:p>
        </w:tc>
        <w:tc>
          <w:tcPr>
            <w:tcW w:w="2070" w:type="dxa"/>
            <w:tcBorders>
              <w:top w:val="nil"/>
              <w:left w:val="single" w:sz="12" w:space="0" w:color="auto"/>
              <w:bottom w:val="nil"/>
              <w:right w:val="nil"/>
            </w:tcBorders>
            <w:vAlign w:val="bottom"/>
          </w:tcPr>
          <w:p w14:paraId="76826FC1" w14:textId="0CCA228C" w:rsidR="005118B5" w:rsidRPr="005118B5" w:rsidRDefault="005118B5" w:rsidP="00D422A0">
            <w:pPr>
              <w:spacing w:after="0" w:line="240" w:lineRule="auto"/>
              <w:ind w:left="90"/>
              <w:rPr>
                <w:sz w:val="22"/>
                <w:szCs w:val="22"/>
              </w:rPr>
            </w:pPr>
            <w:r w:rsidRPr="005118B5">
              <w:rPr>
                <w:color w:val="000000"/>
                <w:sz w:val="22"/>
                <w:szCs w:val="22"/>
              </w:rPr>
              <w:t>California</w:t>
            </w:r>
          </w:p>
        </w:tc>
        <w:tc>
          <w:tcPr>
            <w:tcW w:w="1890" w:type="dxa"/>
            <w:tcBorders>
              <w:top w:val="nil"/>
              <w:left w:val="nil"/>
              <w:bottom w:val="nil"/>
              <w:right w:val="nil"/>
            </w:tcBorders>
            <w:vAlign w:val="bottom"/>
          </w:tcPr>
          <w:p w14:paraId="05064397" w14:textId="419BFD8C" w:rsidR="005118B5" w:rsidRPr="005118B5" w:rsidRDefault="005118B5" w:rsidP="00D422A0">
            <w:pPr>
              <w:spacing w:after="0" w:line="240" w:lineRule="auto"/>
              <w:jc w:val="center"/>
              <w:rPr>
                <w:sz w:val="22"/>
                <w:szCs w:val="22"/>
              </w:rPr>
            </w:pPr>
            <w:r w:rsidRPr="005118B5">
              <w:rPr>
                <w:color w:val="000000"/>
                <w:sz w:val="22"/>
                <w:szCs w:val="22"/>
              </w:rPr>
              <w:t>9.3%</w:t>
            </w:r>
          </w:p>
        </w:tc>
      </w:tr>
      <w:tr w:rsidR="005118B5" w:rsidRPr="00530545" w14:paraId="1594CFF6"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4497A43D" w14:textId="42F97369" w:rsidR="005118B5" w:rsidRPr="005118B5" w:rsidRDefault="005118B5" w:rsidP="00D422A0">
            <w:pPr>
              <w:spacing w:after="0" w:line="240" w:lineRule="auto"/>
              <w:rPr>
                <w:sz w:val="22"/>
                <w:szCs w:val="22"/>
              </w:rPr>
            </w:pPr>
            <w:r w:rsidRPr="005118B5">
              <w:rPr>
                <w:color w:val="000000"/>
                <w:sz w:val="22"/>
                <w:szCs w:val="22"/>
              </w:rPr>
              <w:t>Arizona</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08849BBE" w14:textId="76CD6E10" w:rsidR="005118B5" w:rsidRPr="005118B5" w:rsidRDefault="005118B5" w:rsidP="00D422A0">
            <w:pPr>
              <w:spacing w:after="0" w:line="240" w:lineRule="auto"/>
              <w:jc w:val="center"/>
              <w:rPr>
                <w:sz w:val="22"/>
                <w:szCs w:val="22"/>
              </w:rPr>
            </w:pPr>
            <w:r w:rsidRPr="005118B5">
              <w:rPr>
                <w:color w:val="000000"/>
                <w:sz w:val="22"/>
                <w:szCs w:val="22"/>
              </w:rPr>
              <w:t>26.6%</w:t>
            </w:r>
          </w:p>
        </w:tc>
        <w:tc>
          <w:tcPr>
            <w:tcW w:w="2070" w:type="dxa"/>
            <w:tcBorders>
              <w:top w:val="nil"/>
              <w:left w:val="single" w:sz="12" w:space="0" w:color="auto"/>
              <w:bottom w:val="nil"/>
              <w:right w:val="nil"/>
            </w:tcBorders>
            <w:vAlign w:val="bottom"/>
          </w:tcPr>
          <w:p w14:paraId="62578ADC" w14:textId="185AAF8A" w:rsidR="005118B5" w:rsidRPr="005118B5" w:rsidRDefault="005118B5" w:rsidP="00D422A0">
            <w:pPr>
              <w:spacing w:after="0" w:line="240" w:lineRule="auto"/>
              <w:ind w:left="90"/>
              <w:rPr>
                <w:sz w:val="22"/>
                <w:szCs w:val="22"/>
              </w:rPr>
            </w:pPr>
            <w:r w:rsidRPr="005118B5">
              <w:rPr>
                <w:color w:val="000000"/>
                <w:sz w:val="22"/>
                <w:szCs w:val="22"/>
              </w:rPr>
              <w:t>Nebraska</w:t>
            </w:r>
          </w:p>
        </w:tc>
        <w:tc>
          <w:tcPr>
            <w:tcW w:w="1890" w:type="dxa"/>
            <w:tcBorders>
              <w:top w:val="nil"/>
              <w:left w:val="nil"/>
              <w:bottom w:val="nil"/>
              <w:right w:val="nil"/>
            </w:tcBorders>
            <w:vAlign w:val="bottom"/>
          </w:tcPr>
          <w:p w14:paraId="5376F4A9" w14:textId="6A0D0624" w:rsidR="005118B5" w:rsidRPr="005118B5" w:rsidRDefault="005118B5" w:rsidP="00D422A0">
            <w:pPr>
              <w:spacing w:after="0" w:line="240" w:lineRule="auto"/>
              <w:jc w:val="center"/>
              <w:rPr>
                <w:sz w:val="22"/>
                <w:szCs w:val="22"/>
              </w:rPr>
            </w:pPr>
            <w:r w:rsidRPr="005118B5">
              <w:rPr>
                <w:color w:val="000000"/>
                <w:sz w:val="22"/>
                <w:szCs w:val="22"/>
              </w:rPr>
              <w:t>8.9%</w:t>
            </w:r>
          </w:p>
        </w:tc>
      </w:tr>
      <w:tr w:rsidR="005118B5" w:rsidRPr="00530545" w14:paraId="45C74824"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08FADEAC" w14:textId="420463BC" w:rsidR="005118B5" w:rsidRPr="005118B5" w:rsidRDefault="005118B5" w:rsidP="00D422A0">
            <w:pPr>
              <w:spacing w:after="0" w:line="240" w:lineRule="auto"/>
              <w:rPr>
                <w:sz w:val="22"/>
                <w:szCs w:val="22"/>
              </w:rPr>
            </w:pPr>
            <w:r w:rsidRPr="005118B5">
              <w:rPr>
                <w:color w:val="000000"/>
                <w:sz w:val="22"/>
                <w:szCs w:val="22"/>
              </w:rPr>
              <w:t>Tennessee</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1B3D18D8" w14:textId="3D72E9F4" w:rsidR="005118B5" w:rsidRPr="005118B5" w:rsidRDefault="005118B5" w:rsidP="00D422A0">
            <w:pPr>
              <w:spacing w:after="0" w:line="240" w:lineRule="auto"/>
              <w:jc w:val="center"/>
              <w:rPr>
                <w:sz w:val="22"/>
                <w:szCs w:val="22"/>
              </w:rPr>
            </w:pPr>
            <w:r w:rsidRPr="005118B5">
              <w:rPr>
                <w:color w:val="000000"/>
                <w:sz w:val="22"/>
                <w:szCs w:val="22"/>
              </w:rPr>
              <w:t>25.1%</w:t>
            </w:r>
          </w:p>
        </w:tc>
        <w:tc>
          <w:tcPr>
            <w:tcW w:w="2070" w:type="dxa"/>
            <w:tcBorders>
              <w:top w:val="nil"/>
              <w:left w:val="single" w:sz="12" w:space="0" w:color="auto"/>
              <w:bottom w:val="nil"/>
              <w:right w:val="nil"/>
            </w:tcBorders>
            <w:vAlign w:val="bottom"/>
          </w:tcPr>
          <w:p w14:paraId="11EEDE54" w14:textId="10B17816" w:rsidR="005118B5" w:rsidRPr="005118B5" w:rsidRDefault="005118B5" w:rsidP="00D422A0">
            <w:pPr>
              <w:spacing w:after="0" w:line="240" w:lineRule="auto"/>
              <w:ind w:left="90"/>
              <w:rPr>
                <w:sz w:val="22"/>
                <w:szCs w:val="22"/>
              </w:rPr>
            </w:pPr>
            <w:r w:rsidRPr="005118B5">
              <w:rPr>
                <w:color w:val="000000"/>
                <w:sz w:val="22"/>
                <w:szCs w:val="22"/>
              </w:rPr>
              <w:t>Nevada</w:t>
            </w:r>
          </w:p>
        </w:tc>
        <w:tc>
          <w:tcPr>
            <w:tcW w:w="1890" w:type="dxa"/>
            <w:tcBorders>
              <w:top w:val="nil"/>
              <w:left w:val="nil"/>
              <w:bottom w:val="nil"/>
              <w:right w:val="nil"/>
            </w:tcBorders>
            <w:vAlign w:val="bottom"/>
          </w:tcPr>
          <w:p w14:paraId="13D3F76A" w14:textId="035891C7" w:rsidR="005118B5" w:rsidRPr="005118B5" w:rsidRDefault="005118B5" w:rsidP="00D422A0">
            <w:pPr>
              <w:spacing w:after="0" w:line="240" w:lineRule="auto"/>
              <w:jc w:val="center"/>
              <w:rPr>
                <w:sz w:val="22"/>
                <w:szCs w:val="22"/>
              </w:rPr>
            </w:pPr>
            <w:r w:rsidRPr="005118B5">
              <w:rPr>
                <w:color w:val="000000"/>
                <w:sz w:val="22"/>
                <w:szCs w:val="22"/>
              </w:rPr>
              <w:t>7.5%</w:t>
            </w:r>
          </w:p>
        </w:tc>
      </w:tr>
      <w:tr w:rsidR="005118B5" w:rsidRPr="00530545" w14:paraId="7E80276A"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0927747C" w14:textId="7C861A7E" w:rsidR="005118B5" w:rsidRPr="005118B5" w:rsidRDefault="005118B5" w:rsidP="00D422A0">
            <w:pPr>
              <w:spacing w:after="0" w:line="240" w:lineRule="auto"/>
              <w:rPr>
                <w:sz w:val="22"/>
                <w:szCs w:val="22"/>
              </w:rPr>
            </w:pPr>
            <w:r w:rsidRPr="005118B5">
              <w:rPr>
                <w:color w:val="000000"/>
                <w:sz w:val="22"/>
                <w:szCs w:val="22"/>
              </w:rPr>
              <w:t>Georgia</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49AC5FA2" w14:textId="3FB34058" w:rsidR="005118B5" w:rsidRPr="005118B5" w:rsidRDefault="005118B5" w:rsidP="00D422A0">
            <w:pPr>
              <w:spacing w:after="0" w:line="240" w:lineRule="auto"/>
              <w:jc w:val="center"/>
              <w:rPr>
                <w:sz w:val="22"/>
                <w:szCs w:val="22"/>
              </w:rPr>
            </w:pPr>
            <w:r w:rsidRPr="005118B5">
              <w:rPr>
                <w:color w:val="000000"/>
                <w:sz w:val="22"/>
                <w:szCs w:val="22"/>
              </w:rPr>
              <w:t>24.8%</w:t>
            </w:r>
          </w:p>
        </w:tc>
        <w:tc>
          <w:tcPr>
            <w:tcW w:w="2070" w:type="dxa"/>
            <w:tcBorders>
              <w:top w:val="nil"/>
              <w:left w:val="single" w:sz="12" w:space="0" w:color="auto"/>
              <w:bottom w:val="nil"/>
              <w:right w:val="nil"/>
            </w:tcBorders>
            <w:vAlign w:val="bottom"/>
          </w:tcPr>
          <w:p w14:paraId="74DDB898" w14:textId="77DD3217" w:rsidR="005118B5" w:rsidRPr="005118B5" w:rsidRDefault="005118B5" w:rsidP="00D422A0">
            <w:pPr>
              <w:spacing w:after="0" w:line="240" w:lineRule="auto"/>
              <w:ind w:left="90"/>
              <w:rPr>
                <w:sz w:val="22"/>
                <w:szCs w:val="22"/>
              </w:rPr>
            </w:pPr>
            <w:r w:rsidRPr="005118B5">
              <w:rPr>
                <w:color w:val="000000"/>
                <w:sz w:val="22"/>
                <w:szCs w:val="22"/>
              </w:rPr>
              <w:t>Ohio</w:t>
            </w:r>
          </w:p>
        </w:tc>
        <w:tc>
          <w:tcPr>
            <w:tcW w:w="1890" w:type="dxa"/>
            <w:tcBorders>
              <w:top w:val="nil"/>
              <w:left w:val="nil"/>
              <w:bottom w:val="nil"/>
              <w:right w:val="nil"/>
            </w:tcBorders>
            <w:vAlign w:val="bottom"/>
          </w:tcPr>
          <w:p w14:paraId="78FF8AE3" w14:textId="7BD7A266" w:rsidR="005118B5" w:rsidRPr="005118B5" w:rsidRDefault="005118B5" w:rsidP="00D422A0">
            <w:pPr>
              <w:spacing w:after="0" w:line="240" w:lineRule="auto"/>
              <w:jc w:val="center"/>
              <w:rPr>
                <w:sz w:val="22"/>
                <w:szCs w:val="22"/>
              </w:rPr>
            </w:pPr>
            <w:r w:rsidRPr="005118B5">
              <w:rPr>
                <w:color w:val="000000"/>
                <w:sz w:val="22"/>
                <w:szCs w:val="22"/>
              </w:rPr>
              <w:t>7.3%</w:t>
            </w:r>
          </w:p>
        </w:tc>
      </w:tr>
      <w:tr w:rsidR="005118B5" w:rsidRPr="00530545" w14:paraId="278B19F4"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1574FE94" w14:textId="5AB85173" w:rsidR="005118B5" w:rsidRPr="005118B5" w:rsidRDefault="005118B5" w:rsidP="00D422A0">
            <w:pPr>
              <w:spacing w:after="0" w:line="240" w:lineRule="auto"/>
              <w:rPr>
                <w:sz w:val="22"/>
                <w:szCs w:val="22"/>
              </w:rPr>
            </w:pPr>
            <w:r w:rsidRPr="005118B5">
              <w:rPr>
                <w:color w:val="000000"/>
                <w:sz w:val="22"/>
                <w:szCs w:val="22"/>
              </w:rPr>
              <w:t>Missouri</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44572AFD" w14:textId="6C198EAD" w:rsidR="005118B5" w:rsidRPr="005118B5" w:rsidRDefault="005118B5" w:rsidP="00D422A0">
            <w:pPr>
              <w:spacing w:after="0" w:line="240" w:lineRule="auto"/>
              <w:jc w:val="center"/>
              <w:rPr>
                <w:sz w:val="22"/>
                <w:szCs w:val="22"/>
              </w:rPr>
            </w:pPr>
            <w:r w:rsidRPr="005118B5">
              <w:rPr>
                <w:color w:val="000000"/>
                <w:sz w:val="22"/>
                <w:szCs w:val="22"/>
              </w:rPr>
              <w:t>24.0%</w:t>
            </w:r>
          </w:p>
        </w:tc>
        <w:tc>
          <w:tcPr>
            <w:tcW w:w="2070" w:type="dxa"/>
            <w:tcBorders>
              <w:top w:val="nil"/>
              <w:left w:val="single" w:sz="12" w:space="0" w:color="auto"/>
              <w:bottom w:val="nil"/>
              <w:right w:val="nil"/>
            </w:tcBorders>
            <w:vAlign w:val="bottom"/>
          </w:tcPr>
          <w:p w14:paraId="5F1900BA" w14:textId="1A7E219C" w:rsidR="005118B5" w:rsidRPr="005118B5" w:rsidRDefault="005118B5" w:rsidP="00D422A0">
            <w:pPr>
              <w:spacing w:after="0" w:line="240" w:lineRule="auto"/>
              <w:ind w:left="90"/>
              <w:rPr>
                <w:sz w:val="22"/>
                <w:szCs w:val="22"/>
              </w:rPr>
            </w:pPr>
            <w:r w:rsidRPr="005118B5">
              <w:rPr>
                <w:color w:val="000000"/>
                <w:sz w:val="22"/>
                <w:szCs w:val="22"/>
              </w:rPr>
              <w:t>Virginia</w:t>
            </w:r>
          </w:p>
        </w:tc>
        <w:tc>
          <w:tcPr>
            <w:tcW w:w="1890" w:type="dxa"/>
            <w:tcBorders>
              <w:top w:val="nil"/>
              <w:left w:val="nil"/>
              <w:bottom w:val="nil"/>
              <w:right w:val="nil"/>
            </w:tcBorders>
            <w:vAlign w:val="bottom"/>
          </w:tcPr>
          <w:p w14:paraId="5D3DD116" w14:textId="73DC2F91" w:rsidR="005118B5" w:rsidRPr="005118B5" w:rsidRDefault="005118B5" w:rsidP="00D422A0">
            <w:pPr>
              <w:spacing w:after="0" w:line="240" w:lineRule="auto"/>
              <w:jc w:val="center"/>
              <w:rPr>
                <w:sz w:val="22"/>
                <w:szCs w:val="22"/>
              </w:rPr>
            </w:pPr>
            <w:r w:rsidRPr="005118B5">
              <w:rPr>
                <w:color w:val="000000"/>
                <w:sz w:val="22"/>
                <w:szCs w:val="22"/>
              </w:rPr>
              <w:t>7.1%</w:t>
            </w:r>
          </w:p>
        </w:tc>
      </w:tr>
      <w:tr w:rsidR="005118B5" w:rsidRPr="00530545" w14:paraId="5AA9A475"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1E6F5AC4" w14:textId="2B838440" w:rsidR="005118B5" w:rsidRPr="005118B5" w:rsidRDefault="005118B5" w:rsidP="00D422A0">
            <w:pPr>
              <w:spacing w:after="0" w:line="240" w:lineRule="auto"/>
              <w:rPr>
                <w:sz w:val="22"/>
                <w:szCs w:val="22"/>
              </w:rPr>
            </w:pPr>
            <w:r w:rsidRPr="005118B5">
              <w:rPr>
                <w:color w:val="000000"/>
                <w:sz w:val="22"/>
                <w:szCs w:val="22"/>
              </w:rPr>
              <w:t>South Dakota</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30F9E2BA" w14:textId="6F755966" w:rsidR="005118B5" w:rsidRPr="005118B5" w:rsidRDefault="005118B5" w:rsidP="00D422A0">
            <w:pPr>
              <w:spacing w:after="0" w:line="240" w:lineRule="auto"/>
              <w:jc w:val="center"/>
              <w:rPr>
                <w:sz w:val="22"/>
                <w:szCs w:val="22"/>
              </w:rPr>
            </w:pPr>
            <w:r w:rsidRPr="005118B5">
              <w:rPr>
                <w:color w:val="000000"/>
                <w:sz w:val="22"/>
                <w:szCs w:val="22"/>
              </w:rPr>
              <w:t>22.7%</w:t>
            </w:r>
          </w:p>
        </w:tc>
        <w:tc>
          <w:tcPr>
            <w:tcW w:w="2070" w:type="dxa"/>
            <w:tcBorders>
              <w:top w:val="nil"/>
              <w:left w:val="single" w:sz="12" w:space="0" w:color="auto"/>
              <w:bottom w:val="nil"/>
              <w:right w:val="nil"/>
            </w:tcBorders>
            <w:vAlign w:val="bottom"/>
          </w:tcPr>
          <w:p w14:paraId="7D7BC505" w14:textId="6119BBF8" w:rsidR="005118B5" w:rsidRPr="005118B5" w:rsidRDefault="005118B5" w:rsidP="00D422A0">
            <w:pPr>
              <w:spacing w:after="0" w:line="240" w:lineRule="auto"/>
              <w:ind w:left="90"/>
              <w:rPr>
                <w:sz w:val="22"/>
                <w:szCs w:val="22"/>
              </w:rPr>
            </w:pPr>
            <w:r w:rsidRPr="005118B5">
              <w:rPr>
                <w:color w:val="000000"/>
                <w:sz w:val="22"/>
                <w:szCs w:val="22"/>
              </w:rPr>
              <w:t>South Carolina</w:t>
            </w:r>
          </w:p>
        </w:tc>
        <w:tc>
          <w:tcPr>
            <w:tcW w:w="1890" w:type="dxa"/>
            <w:tcBorders>
              <w:top w:val="nil"/>
              <w:left w:val="nil"/>
              <w:bottom w:val="nil"/>
              <w:right w:val="nil"/>
            </w:tcBorders>
            <w:vAlign w:val="bottom"/>
          </w:tcPr>
          <w:p w14:paraId="10424DA6" w14:textId="334D0152" w:rsidR="005118B5" w:rsidRPr="005118B5" w:rsidRDefault="005118B5" w:rsidP="00D422A0">
            <w:pPr>
              <w:spacing w:after="0" w:line="240" w:lineRule="auto"/>
              <w:jc w:val="center"/>
              <w:rPr>
                <w:sz w:val="22"/>
                <w:szCs w:val="22"/>
              </w:rPr>
            </w:pPr>
            <w:r w:rsidRPr="005118B5">
              <w:rPr>
                <w:color w:val="000000"/>
                <w:sz w:val="22"/>
                <w:szCs w:val="22"/>
              </w:rPr>
              <w:t>6.2%</w:t>
            </w:r>
          </w:p>
        </w:tc>
      </w:tr>
      <w:tr w:rsidR="005118B5" w:rsidRPr="00530545" w14:paraId="25E0C099"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3916FD76" w14:textId="03F38935" w:rsidR="005118B5" w:rsidRPr="005118B5" w:rsidRDefault="005118B5" w:rsidP="00D422A0">
            <w:pPr>
              <w:spacing w:after="0" w:line="240" w:lineRule="auto"/>
              <w:rPr>
                <w:sz w:val="22"/>
                <w:szCs w:val="22"/>
              </w:rPr>
            </w:pPr>
            <w:r w:rsidRPr="005118B5">
              <w:rPr>
                <w:color w:val="000000"/>
                <w:sz w:val="22"/>
                <w:szCs w:val="22"/>
              </w:rPr>
              <w:t>North Carolina</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4206735B" w14:textId="30E36024" w:rsidR="005118B5" w:rsidRPr="005118B5" w:rsidRDefault="005118B5" w:rsidP="00D422A0">
            <w:pPr>
              <w:spacing w:after="0" w:line="240" w:lineRule="auto"/>
              <w:jc w:val="center"/>
              <w:rPr>
                <w:sz w:val="22"/>
                <w:szCs w:val="22"/>
              </w:rPr>
            </w:pPr>
            <w:r w:rsidRPr="005118B5">
              <w:rPr>
                <w:color w:val="000000"/>
                <w:sz w:val="22"/>
                <w:szCs w:val="22"/>
              </w:rPr>
              <w:t>19.2%</w:t>
            </w:r>
          </w:p>
        </w:tc>
        <w:tc>
          <w:tcPr>
            <w:tcW w:w="2070" w:type="dxa"/>
            <w:tcBorders>
              <w:top w:val="nil"/>
              <w:left w:val="single" w:sz="12" w:space="0" w:color="auto"/>
              <w:bottom w:val="nil"/>
              <w:right w:val="nil"/>
            </w:tcBorders>
            <w:vAlign w:val="bottom"/>
          </w:tcPr>
          <w:p w14:paraId="0C843B96" w14:textId="2C3873AB" w:rsidR="005118B5" w:rsidRPr="005118B5" w:rsidRDefault="005118B5" w:rsidP="00D422A0">
            <w:pPr>
              <w:spacing w:after="0" w:line="240" w:lineRule="auto"/>
              <w:ind w:left="90"/>
              <w:rPr>
                <w:sz w:val="22"/>
                <w:szCs w:val="22"/>
              </w:rPr>
            </w:pPr>
            <w:r w:rsidRPr="005118B5">
              <w:rPr>
                <w:color w:val="000000"/>
                <w:sz w:val="22"/>
                <w:szCs w:val="22"/>
              </w:rPr>
              <w:t>Florida</w:t>
            </w:r>
          </w:p>
        </w:tc>
        <w:tc>
          <w:tcPr>
            <w:tcW w:w="1890" w:type="dxa"/>
            <w:tcBorders>
              <w:top w:val="nil"/>
              <w:left w:val="nil"/>
              <w:bottom w:val="nil"/>
              <w:right w:val="nil"/>
            </w:tcBorders>
            <w:vAlign w:val="bottom"/>
          </w:tcPr>
          <w:p w14:paraId="47EE8E95" w14:textId="0CBA2889" w:rsidR="005118B5" w:rsidRPr="005118B5" w:rsidRDefault="005118B5" w:rsidP="00D422A0">
            <w:pPr>
              <w:spacing w:after="0" w:line="240" w:lineRule="auto"/>
              <w:jc w:val="center"/>
              <w:rPr>
                <w:sz w:val="22"/>
                <w:szCs w:val="22"/>
              </w:rPr>
            </w:pPr>
            <w:r w:rsidRPr="005118B5">
              <w:rPr>
                <w:color w:val="000000"/>
                <w:sz w:val="22"/>
                <w:szCs w:val="22"/>
              </w:rPr>
              <w:t>6.2%</w:t>
            </w:r>
          </w:p>
        </w:tc>
      </w:tr>
      <w:tr w:rsidR="005118B5" w:rsidRPr="00530545" w14:paraId="6EF1BECE"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3A497896" w14:textId="1DEC0D29" w:rsidR="005118B5" w:rsidRPr="005118B5" w:rsidRDefault="005118B5" w:rsidP="00D422A0">
            <w:pPr>
              <w:spacing w:after="0" w:line="240" w:lineRule="auto"/>
              <w:rPr>
                <w:sz w:val="22"/>
                <w:szCs w:val="22"/>
              </w:rPr>
            </w:pPr>
            <w:r w:rsidRPr="005118B5">
              <w:rPr>
                <w:color w:val="000000"/>
                <w:sz w:val="22"/>
                <w:szCs w:val="22"/>
              </w:rPr>
              <w:t>Washington</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2FA3E584" w14:textId="03C1ADB2" w:rsidR="005118B5" w:rsidRPr="005118B5" w:rsidRDefault="005118B5" w:rsidP="00D422A0">
            <w:pPr>
              <w:spacing w:after="0" w:line="240" w:lineRule="auto"/>
              <w:jc w:val="center"/>
              <w:rPr>
                <w:sz w:val="22"/>
                <w:szCs w:val="22"/>
              </w:rPr>
            </w:pPr>
            <w:r w:rsidRPr="005118B5">
              <w:rPr>
                <w:color w:val="000000"/>
                <w:sz w:val="22"/>
                <w:szCs w:val="22"/>
              </w:rPr>
              <w:t>18.8%</w:t>
            </w:r>
          </w:p>
        </w:tc>
        <w:tc>
          <w:tcPr>
            <w:tcW w:w="2070" w:type="dxa"/>
            <w:tcBorders>
              <w:top w:val="nil"/>
              <w:left w:val="single" w:sz="12" w:space="0" w:color="auto"/>
              <w:bottom w:val="nil"/>
              <w:right w:val="nil"/>
            </w:tcBorders>
            <w:vAlign w:val="bottom"/>
          </w:tcPr>
          <w:p w14:paraId="3DA8B652" w14:textId="5CB1D933" w:rsidR="005118B5" w:rsidRPr="005118B5" w:rsidRDefault="005118B5" w:rsidP="00D422A0">
            <w:pPr>
              <w:spacing w:after="0" w:line="240" w:lineRule="auto"/>
              <w:ind w:left="90"/>
              <w:rPr>
                <w:sz w:val="22"/>
                <w:szCs w:val="22"/>
              </w:rPr>
            </w:pPr>
            <w:r w:rsidRPr="005118B5">
              <w:rPr>
                <w:color w:val="000000"/>
                <w:sz w:val="22"/>
                <w:szCs w:val="22"/>
              </w:rPr>
              <w:t>Illinois</w:t>
            </w:r>
          </w:p>
        </w:tc>
        <w:tc>
          <w:tcPr>
            <w:tcW w:w="1890" w:type="dxa"/>
            <w:tcBorders>
              <w:top w:val="nil"/>
              <w:left w:val="nil"/>
              <w:bottom w:val="nil"/>
              <w:right w:val="nil"/>
            </w:tcBorders>
            <w:vAlign w:val="bottom"/>
          </w:tcPr>
          <w:p w14:paraId="0C673891" w14:textId="2DE653AB" w:rsidR="005118B5" w:rsidRPr="005118B5" w:rsidRDefault="005118B5" w:rsidP="00D422A0">
            <w:pPr>
              <w:spacing w:after="0" w:line="240" w:lineRule="auto"/>
              <w:jc w:val="center"/>
              <w:rPr>
                <w:sz w:val="22"/>
                <w:szCs w:val="22"/>
              </w:rPr>
            </w:pPr>
            <w:r w:rsidRPr="005118B5">
              <w:rPr>
                <w:color w:val="000000"/>
                <w:sz w:val="22"/>
                <w:szCs w:val="22"/>
              </w:rPr>
              <w:t>5.3%</w:t>
            </w:r>
          </w:p>
        </w:tc>
      </w:tr>
      <w:tr w:rsidR="005118B5" w:rsidRPr="00530545" w14:paraId="7F116E46"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4B31E483" w14:textId="38314A4D" w:rsidR="005118B5" w:rsidRPr="005118B5" w:rsidRDefault="005118B5" w:rsidP="00D422A0">
            <w:pPr>
              <w:spacing w:after="0" w:line="240" w:lineRule="auto"/>
              <w:rPr>
                <w:sz w:val="22"/>
                <w:szCs w:val="22"/>
              </w:rPr>
            </w:pPr>
            <w:r w:rsidRPr="005118B5">
              <w:rPr>
                <w:color w:val="000000"/>
                <w:sz w:val="22"/>
                <w:szCs w:val="22"/>
              </w:rPr>
              <w:t>Utah</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54186336" w14:textId="55FC2E22" w:rsidR="005118B5" w:rsidRPr="005118B5" w:rsidRDefault="005118B5" w:rsidP="00D422A0">
            <w:pPr>
              <w:spacing w:after="0" w:line="240" w:lineRule="auto"/>
              <w:jc w:val="center"/>
              <w:rPr>
                <w:sz w:val="22"/>
                <w:szCs w:val="22"/>
              </w:rPr>
            </w:pPr>
            <w:r w:rsidRPr="005118B5">
              <w:rPr>
                <w:color w:val="000000"/>
                <w:sz w:val="22"/>
                <w:szCs w:val="22"/>
              </w:rPr>
              <w:t>18.3%</w:t>
            </w:r>
          </w:p>
        </w:tc>
        <w:tc>
          <w:tcPr>
            <w:tcW w:w="2070" w:type="dxa"/>
            <w:tcBorders>
              <w:top w:val="nil"/>
              <w:left w:val="single" w:sz="12" w:space="0" w:color="auto"/>
              <w:bottom w:val="nil"/>
              <w:right w:val="nil"/>
            </w:tcBorders>
            <w:vAlign w:val="bottom"/>
          </w:tcPr>
          <w:p w14:paraId="46A2DE7E" w14:textId="78248E4D" w:rsidR="005118B5" w:rsidRPr="005118B5" w:rsidRDefault="005118B5" w:rsidP="00D422A0">
            <w:pPr>
              <w:spacing w:after="0" w:line="240" w:lineRule="auto"/>
              <w:ind w:left="90"/>
              <w:rPr>
                <w:sz w:val="22"/>
                <w:szCs w:val="22"/>
              </w:rPr>
            </w:pPr>
            <w:r w:rsidRPr="005118B5">
              <w:rPr>
                <w:color w:val="000000"/>
                <w:sz w:val="22"/>
                <w:szCs w:val="22"/>
              </w:rPr>
              <w:t>Wisconsin</w:t>
            </w:r>
          </w:p>
        </w:tc>
        <w:tc>
          <w:tcPr>
            <w:tcW w:w="1890" w:type="dxa"/>
            <w:tcBorders>
              <w:top w:val="nil"/>
              <w:left w:val="nil"/>
              <w:bottom w:val="nil"/>
              <w:right w:val="nil"/>
            </w:tcBorders>
            <w:vAlign w:val="bottom"/>
          </w:tcPr>
          <w:p w14:paraId="713E5360" w14:textId="2D740F3E" w:rsidR="005118B5" w:rsidRPr="005118B5" w:rsidRDefault="005118B5" w:rsidP="00D422A0">
            <w:pPr>
              <w:spacing w:after="0" w:line="240" w:lineRule="auto"/>
              <w:jc w:val="center"/>
              <w:rPr>
                <w:sz w:val="22"/>
                <w:szCs w:val="22"/>
              </w:rPr>
            </w:pPr>
            <w:r w:rsidRPr="005118B5">
              <w:rPr>
                <w:color w:val="000000"/>
                <w:sz w:val="22"/>
                <w:szCs w:val="22"/>
              </w:rPr>
              <w:t>2.8%</w:t>
            </w:r>
          </w:p>
        </w:tc>
      </w:tr>
      <w:tr w:rsidR="005118B5" w:rsidRPr="00530545" w14:paraId="66B0D382" w14:textId="77777777" w:rsidTr="002F5F09">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5AC082EB" w14:textId="4682B71A" w:rsidR="005118B5" w:rsidRPr="005118B5" w:rsidRDefault="005118B5" w:rsidP="00D422A0">
            <w:pPr>
              <w:spacing w:after="0" w:line="240" w:lineRule="auto"/>
              <w:rPr>
                <w:sz w:val="22"/>
                <w:szCs w:val="22"/>
              </w:rPr>
            </w:pPr>
            <w:r w:rsidRPr="005118B5">
              <w:rPr>
                <w:color w:val="000000"/>
                <w:sz w:val="22"/>
                <w:szCs w:val="22"/>
              </w:rPr>
              <w:t>Kansas</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266B4538" w14:textId="1FB737BD" w:rsidR="005118B5" w:rsidRPr="005118B5" w:rsidRDefault="005118B5" w:rsidP="00D422A0">
            <w:pPr>
              <w:spacing w:after="0" w:line="240" w:lineRule="auto"/>
              <w:jc w:val="center"/>
              <w:rPr>
                <w:sz w:val="22"/>
                <w:szCs w:val="22"/>
              </w:rPr>
            </w:pPr>
            <w:r w:rsidRPr="005118B5">
              <w:rPr>
                <w:color w:val="000000"/>
                <w:sz w:val="22"/>
                <w:szCs w:val="22"/>
              </w:rPr>
              <w:t>17.7%</w:t>
            </w:r>
          </w:p>
        </w:tc>
        <w:tc>
          <w:tcPr>
            <w:tcW w:w="2070" w:type="dxa"/>
            <w:tcBorders>
              <w:top w:val="nil"/>
              <w:left w:val="single" w:sz="12" w:space="0" w:color="auto"/>
              <w:bottom w:val="nil"/>
              <w:right w:val="nil"/>
            </w:tcBorders>
            <w:vAlign w:val="bottom"/>
          </w:tcPr>
          <w:p w14:paraId="7C4B32A2" w14:textId="58798D52" w:rsidR="005118B5" w:rsidRPr="005118B5" w:rsidRDefault="005118B5" w:rsidP="00D422A0">
            <w:pPr>
              <w:spacing w:after="0" w:line="240" w:lineRule="auto"/>
              <w:ind w:left="90"/>
              <w:rPr>
                <w:sz w:val="22"/>
                <w:szCs w:val="22"/>
              </w:rPr>
            </w:pPr>
            <w:r w:rsidRPr="005118B5">
              <w:rPr>
                <w:color w:val="000000"/>
                <w:sz w:val="22"/>
                <w:szCs w:val="22"/>
              </w:rPr>
              <w:t>Pennsylvania</w:t>
            </w:r>
          </w:p>
        </w:tc>
        <w:tc>
          <w:tcPr>
            <w:tcW w:w="1890" w:type="dxa"/>
            <w:tcBorders>
              <w:top w:val="nil"/>
              <w:left w:val="nil"/>
              <w:bottom w:val="nil"/>
              <w:right w:val="nil"/>
            </w:tcBorders>
            <w:vAlign w:val="bottom"/>
          </w:tcPr>
          <w:p w14:paraId="6BE26104" w14:textId="4A2F6DC9" w:rsidR="005118B5" w:rsidRPr="005118B5" w:rsidRDefault="005118B5" w:rsidP="00D422A0">
            <w:pPr>
              <w:spacing w:after="0" w:line="240" w:lineRule="auto"/>
              <w:jc w:val="center"/>
              <w:rPr>
                <w:sz w:val="22"/>
                <w:szCs w:val="22"/>
              </w:rPr>
            </w:pPr>
            <w:r w:rsidRPr="005118B5">
              <w:rPr>
                <w:color w:val="000000"/>
                <w:sz w:val="22"/>
                <w:szCs w:val="22"/>
              </w:rPr>
              <w:t>2.7%</w:t>
            </w:r>
          </w:p>
        </w:tc>
      </w:tr>
      <w:tr w:rsidR="005118B5" w:rsidRPr="00530545" w14:paraId="00BFEBD7" w14:textId="77777777" w:rsidTr="000C4ADA">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28AF0236" w14:textId="52E21896" w:rsidR="005118B5" w:rsidRPr="005118B5" w:rsidRDefault="005118B5" w:rsidP="00D422A0">
            <w:pPr>
              <w:spacing w:after="0" w:line="240" w:lineRule="auto"/>
              <w:rPr>
                <w:sz w:val="22"/>
                <w:szCs w:val="22"/>
              </w:rPr>
            </w:pPr>
            <w:r w:rsidRPr="005118B5">
              <w:rPr>
                <w:color w:val="000000"/>
                <w:sz w:val="22"/>
                <w:szCs w:val="22"/>
              </w:rPr>
              <w:t>North Dakota</w:t>
            </w:r>
          </w:p>
        </w:tc>
        <w:tc>
          <w:tcPr>
            <w:tcW w:w="162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5CF49F3E" w14:textId="46D624E8" w:rsidR="005118B5" w:rsidRPr="005118B5" w:rsidRDefault="005118B5" w:rsidP="00D422A0">
            <w:pPr>
              <w:spacing w:after="0" w:line="240" w:lineRule="auto"/>
              <w:jc w:val="center"/>
              <w:rPr>
                <w:sz w:val="22"/>
                <w:szCs w:val="22"/>
              </w:rPr>
            </w:pPr>
            <w:r w:rsidRPr="005118B5">
              <w:rPr>
                <w:color w:val="000000"/>
                <w:sz w:val="22"/>
                <w:szCs w:val="22"/>
              </w:rPr>
              <w:t>17.6%</w:t>
            </w:r>
          </w:p>
        </w:tc>
        <w:tc>
          <w:tcPr>
            <w:tcW w:w="2070" w:type="dxa"/>
            <w:tcBorders>
              <w:top w:val="nil"/>
              <w:left w:val="single" w:sz="12" w:space="0" w:color="auto"/>
              <w:bottom w:val="nil"/>
              <w:right w:val="nil"/>
            </w:tcBorders>
            <w:vAlign w:val="bottom"/>
          </w:tcPr>
          <w:p w14:paraId="2F8DEE42" w14:textId="1893A08C" w:rsidR="005118B5" w:rsidRPr="005118B5" w:rsidRDefault="005118B5" w:rsidP="00D422A0">
            <w:pPr>
              <w:spacing w:after="0" w:line="240" w:lineRule="auto"/>
              <w:ind w:left="90"/>
              <w:rPr>
                <w:sz w:val="22"/>
                <w:szCs w:val="22"/>
              </w:rPr>
            </w:pPr>
            <w:r w:rsidRPr="005118B5">
              <w:rPr>
                <w:color w:val="000000"/>
                <w:sz w:val="22"/>
                <w:szCs w:val="22"/>
              </w:rPr>
              <w:t>Vermont</w:t>
            </w:r>
          </w:p>
        </w:tc>
        <w:tc>
          <w:tcPr>
            <w:tcW w:w="1890" w:type="dxa"/>
            <w:tcBorders>
              <w:top w:val="nil"/>
              <w:left w:val="nil"/>
              <w:bottom w:val="nil"/>
              <w:right w:val="nil"/>
            </w:tcBorders>
            <w:vAlign w:val="bottom"/>
          </w:tcPr>
          <w:p w14:paraId="72FA208E" w14:textId="7282DD3E" w:rsidR="005118B5" w:rsidRPr="005118B5" w:rsidRDefault="005118B5" w:rsidP="00D422A0">
            <w:pPr>
              <w:spacing w:after="0" w:line="240" w:lineRule="auto"/>
              <w:jc w:val="center"/>
              <w:rPr>
                <w:sz w:val="22"/>
                <w:szCs w:val="22"/>
              </w:rPr>
            </w:pPr>
            <w:r w:rsidRPr="005118B5">
              <w:rPr>
                <w:color w:val="000000"/>
                <w:sz w:val="22"/>
                <w:szCs w:val="22"/>
              </w:rPr>
              <w:t>2.1%</w:t>
            </w:r>
          </w:p>
        </w:tc>
      </w:tr>
      <w:tr w:rsidR="005118B5" w:rsidRPr="00530545" w14:paraId="06D220AE" w14:textId="77777777" w:rsidTr="000C4ADA">
        <w:trPr>
          <w:trHeight w:hRule="exact" w:val="288"/>
        </w:trPr>
        <w:tc>
          <w:tcPr>
            <w:tcW w:w="2087" w:type="dxa"/>
            <w:tcBorders>
              <w:top w:val="nil"/>
              <w:left w:val="nil"/>
              <w:bottom w:val="single" w:sz="12" w:space="0" w:color="auto"/>
              <w:right w:val="nil"/>
            </w:tcBorders>
            <w:shd w:val="clear" w:color="auto" w:fill="auto"/>
            <w:noWrap/>
            <w:tcMar>
              <w:top w:w="17" w:type="dxa"/>
              <w:left w:w="17" w:type="dxa"/>
              <w:bottom w:w="0" w:type="dxa"/>
              <w:right w:w="17" w:type="dxa"/>
            </w:tcMar>
            <w:vAlign w:val="bottom"/>
          </w:tcPr>
          <w:p w14:paraId="5DC73B25" w14:textId="2052C022" w:rsidR="005118B5" w:rsidRPr="005118B5" w:rsidRDefault="005118B5" w:rsidP="00D422A0">
            <w:pPr>
              <w:spacing w:after="0" w:line="240" w:lineRule="auto"/>
              <w:rPr>
                <w:sz w:val="22"/>
                <w:szCs w:val="22"/>
              </w:rPr>
            </w:pPr>
            <w:r w:rsidRPr="005118B5">
              <w:rPr>
                <w:color w:val="000000"/>
                <w:sz w:val="22"/>
                <w:szCs w:val="22"/>
              </w:rPr>
              <w:t>Wyoming</w:t>
            </w:r>
          </w:p>
        </w:tc>
        <w:tc>
          <w:tcPr>
            <w:tcW w:w="1620" w:type="dxa"/>
            <w:tcBorders>
              <w:top w:val="nil"/>
              <w:left w:val="nil"/>
              <w:bottom w:val="single" w:sz="12" w:space="0" w:color="auto"/>
              <w:right w:val="single" w:sz="12" w:space="0" w:color="auto"/>
            </w:tcBorders>
            <w:shd w:val="clear" w:color="auto" w:fill="auto"/>
            <w:noWrap/>
            <w:tcMar>
              <w:top w:w="17" w:type="dxa"/>
              <w:left w:w="17" w:type="dxa"/>
              <w:bottom w:w="0" w:type="dxa"/>
              <w:right w:w="17" w:type="dxa"/>
            </w:tcMar>
            <w:vAlign w:val="bottom"/>
          </w:tcPr>
          <w:p w14:paraId="3F34E272" w14:textId="21A1A8C0" w:rsidR="005118B5" w:rsidRPr="005118B5" w:rsidRDefault="005118B5" w:rsidP="00D422A0">
            <w:pPr>
              <w:spacing w:after="0" w:line="240" w:lineRule="auto"/>
              <w:jc w:val="center"/>
              <w:rPr>
                <w:sz w:val="22"/>
                <w:szCs w:val="22"/>
              </w:rPr>
            </w:pPr>
            <w:r w:rsidRPr="005118B5">
              <w:rPr>
                <w:color w:val="000000"/>
                <w:sz w:val="22"/>
                <w:szCs w:val="22"/>
              </w:rPr>
              <w:t>17.4%</w:t>
            </w:r>
          </w:p>
        </w:tc>
        <w:tc>
          <w:tcPr>
            <w:tcW w:w="2070" w:type="dxa"/>
            <w:tcBorders>
              <w:top w:val="nil"/>
              <w:left w:val="single" w:sz="12" w:space="0" w:color="auto"/>
              <w:bottom w:val="nil"/>
              <w:right w:val="nil"/>
            </w:tcBorders>
            <w:vAlign w:val="bottom"/>
          </w:tcPr>
          <w:p w14:paraId="6ADFF2D9" w14:textId="216E912E" w:rsidR="005118B5" w:rsidRPr="005118B5" w:rsidRDefault="005118B5" w:rsidP="00D422A0">
            <w:pPr>
              <w:spacing w:after="0" w:line="240" w:lineRule="auto"/>
              <w:ind w:left="90"/>
              <w:rPr>
                <w:sz w:val="22"/>
                <w:szCs w:val="22"/>
              </w:rPr>
            </w:pPr>
            <w:r w:rsidRPr="005118B5">
              <w:rPr>
                <w:color w:val="000000"/>
                <w:sz w:val="22"/>
                <w:szCs w:val="22"/>
              </w:rPr>
              <w:t>Minnesota</w:t>
            </w:r>
          </w:p>
        </w:tc>
        <w:tc>
          <w:tcPr>
            <w:tcW w:w="1890" w:type="dxa"/>
            <w:tcBorders>
              <w:top w:val="nil"/>
              <w:left w:val="nil"/>
              <w:bottom w:val="nil"/>
              <w:right w:val="nil"/>
            </w:tcBorders>
            <w:vAlign w:val="bottom"/>
          </w:tcPr>
          <w:p w14:paraId="2C745AF5" w14:textId="29C45CB7" w:rsidR="005118B5" w:rsidRPr="005118B5" w:rsidRDefault="005118B5" w:rsidP="00D422A0">
            <w:pPr>
              <w:spacing w:after="0" w:line="240" w:lineRule="auto"/>
              <w:jc w:val="center"/>
              <w:rPr>
                <w:sz w:val="22"/>
                <w:szCs w:val="22"/>
              </w:rPr>
            </w:pPr>
            <w:r w:rsidRPr="005118B5">
              <w:rPr>
                <w:color w:val="000000"/>
                <w:sz w:val="22"/>
                <w:szCs w:val="22"/>
              </w:rPr>
              <w:t>1.6%</w:t>
            </w:r>
          </w:p>
        </w:tc>
      </w:tr>
      <w:tr w:rsidR="000C4ADA" w:rsidRPr="00530545" w14:paraId="149A6D5C" w14:textId="77777777" w:rsidTr="002F5F09">
        <w:trPr>
          <w:trHeight w:hRule="exact" w:val="288"/>
        </w:trPr>
        <w:tc>
          <w:tcPr>
            <w:tcW w:w="7667" w:type="dxa"/>
            <w:gridSpan w:val="4"/>
            <w:tcBorders>
              <w:top w:val="single" w:sz="12" w:space="0" w:color="auto"/>
              <w:left w:val="nil"/>
              <w:bottom w:val="nil"/>
              <w:right w:val="nil"/>
            </w:tcBorders>
            <w:shd w:val="clear" w:color="auto" w:fill="auto"/>
            <w:noWrap/>
            <w:tcMar>
              <w:top w:w="17" w:type="dxa"/>
              <w:left w:w="17" w:type="dxa"/>
              <w:bottom w:w="0" w:type="dxa"/>
              <w:right w:w="17" w:type="dxa"/>
            </w:tcMar>
            <w:vAlign w:val="bottom"/>
          </w:tcPr>
          <w:p w14:paraId="577458E2" w14:textId="61DD1BAC" w:rsidR="000C4ADA" w:rsidRPr="00530545" w:rsidRDefault="000C4ADA" w:rsidP="00D422A0">
            <w:pPr>
              <w:spacing w:after="0" w:line="480" w:lineRule="auto"/>
              <w:rPr>
                <w:color w:val="000000"/>
                <w:sz w:val="23"/>
                <w:szCs w:val="23"/>
              </w:rPr>
            </w:pPr>
            <w:r w:rsidRPr="00530545">
              <w:rPr>
                <w:color w:val="000000"/>
                <w:sz w:val="23"/>
                <w:szCs w:val="23"/>
              </w:rPr>
              <w:t xml:space="preserve">Source: Bureau of the Census, </w:t>
            </w:r>
            <w:r w:rsidRPr="00530545">
              <w:rPr>
                <w:i/>
                <w:color w:val="000000"/>
                <w:sz w:val="23"/>
                <w:szCs w:val="23"/>
              </w:rPr>
              <w:t>Government Finances: FY 20</w:t>
            </w:r>
            <w:r>
              <w:rPr>
                <w:i/>
                <w:color w:val="000000"/>
                <w:sz w:val="23"/>
                <w:szCs w:val="23"/>
              </w:rPr>
              <w:t>12</w:t>
            </w:r>
          </w:p>
          <w:p w14:paraId="15FFE254" w14:textId="77777777" w:rsidR="000C4ADA" w:rsidRPr="00530545" w:rsidRDefault="000C4ADA" w:rsidP="00D422A0">
            <w:pPr>
              <w:spacing w:after="0" w:line="240" w:lineRule="auto"/>
              <w:rPr>
                <w:sz w:val="20"/>
                <w:szCs w:val="20"/>
              </w:rPr>
            </w:pPr>
          </w:p>
        </w:tc>
      </w:tr>
    </w:tbl>
    <w:p w14:paraId="4D7D14BC" w14:textId="77777777" w:rsidR="00A23881" w:rsidRDefault="00A23881" w:rsidP="00D422A0">
      <w:pPr>
        <w:spacing w:after="0" w:line="360" w:lineRule="auto"/>
        <w:ind w:firstLine="720"/>
        <w:rPr>
          <w:color w:val="000000"/>
        </w:rPr>
      </w:pPr>
    </w:p>
    <w:p w14:paraId="1F7B6398" w14:textId="431D3B54" w:rsidR="00A23881" w:rsidRPr="00990451" w:rsidRDefault="00A23881" w:rsidP="0031678C">
      <w:pPr>
        <w:pStyle w:val="Heading2"/>
      </w:pPr>
      <w:bookmarkStart w:id="50" w:name="_Toc433373635"/>
      <w:r w:rsidRPr="00990451">
        <w:t>Local Sales Taxes in Selected States</w:t>
      </w:r>
      <w:bookmarkEnd w:id="50"/>
    </w:p>
    <w:p w14:paraId="6A518072" w14:textId="71AC9E87" w:rsidR="00990451" w:rsidRDefault="009C6FFF" w:rsidP="00D422A0">
      <w:pPr>
        <w:spacing w:after="0" w:line="360" w:lineRule="auto"/>
        <w:ind w:firstLine="720"/>
        <w:rPr>
          <w:color w:val="000000"/>
        </w:rPr>
      </w:pPr>
      <w:r>
        <w:rPr>
          <w:color w:val="000000"/>
        </w:rPr>
        <w:t>There is significant variation across states in h</w:t>
      </w:r>
      <w:r w:rsidR="00096C9D" w:rsidRPr="00710363">
        <w:rPr>
          <w:color w:val="000000"/>
        </w:rPr>
        <w:t xml:space="preserve">ow local sales taxes are imposed and </w:t>
      </w:r>
      <w:r>
        <w:rPr>
          <w:color w:val="000000"/>
        </w:rPr>
        <w:t>the</w:t>
      </w:r>
      <w:r w:rsidR="00ED2F68">
        <w:rPr>
          <w:color w:val="000000"/>
        </w:rPr>
        <w:t xml:space="preserve"> purposes for which the revenue can used. The following illustrates this diversity. </w:t>
      </w:r>
    </w:p>
    <w:p w14:paraId="5379CE1F" w14:textId="6B7A3F53" w:rsidR="00A23881" w:rsidRPr="00990451" w:rsidRDefault="00A23881" w:rsidP="0031678C">
      <w:pPr>
        <w:pStyle w:val="Heading3"/>
      </w:pPr>
      <w:bookmarkStart w:id="51" w:name="_Toc433373636"/>
      <w:r w:rsidRPr="00990451">
        <w:t>Georgia</w:t>
      </w:r>
      <w:bookmarkEnd w:id="51"/>
    </w:p>
    <w:p w14:paraId="12A5362B" w14:textId="138DFA20" w:rsidR="009C6FFF" w:rsidRDefault="00ED2F68" w:rsidP="00D422A0">
      <w:pPr>
        <w:spacing w:after="0" w:line="360" w:lineRule="auto"/>
        <w:ind w:firstLine="720"/>
        <w:rPr>
          <w:color w:val="000000"/>
        </w:rPr>
      </w:pPr>
      <w:r>
        <w:rPr>
          <w:color w:val="000000"/>
        </w:rPr>
        <w:t xml:space="preserve">Georgia allows </w:t>
      </w:r>
      <w:r w:rsidR="00096C9D" w:rsidRPr="00710363">
        <w:rPr>
          <w:color w:val="000000"/>
        </w:rPr>
        <w:t>s</w:t>
      </w:r>
      <w:r w:rsidR="009C6FFF">
        <w:rPr>
          <w:color w:val="000000"/>
        </w:rPr>
        <w:t>even</w:t>
      </w:r>
      <w:r w:rsidR="00096C9D" w:rsidRPr="00710363">
        <w:rPr>
          <w:color w:val="000000"/>
        </w:rPr>
        <w:t xml:space="preserve"> alternative local option sales taxes</w:t>
      </w:r>
      <w:r w:rsidR="00A23881">
        <w:rPr>
          <w:color w:val="000000"/>
        </w:rPr>
        <w:t>. These are</w:t>
      </w:r>
      <w:r w:rsidR="009C6FFF">
        <w:rPr>
          <w:color w:val="000000"/>
        </w:rPr>
        <w:t>:</w:t>
      </w:r>
    </w:p>
    <w:p w14:paraId="637B260C" w14:textId="31B5C81F" w:rsidR="009C6FFF" w:rsidRDefault="009C6FFF" w:rsidP="00D422A0">
      <w:pPr>
        <w:pStyle w:val="ListParagraph"/>
        <w:numPr>
          <w:ilvl w:val="0"/>
          <w:numId w:val="4"/>
        </w:numPr>
        <w:spacing w:after="0" w:line="360" w:lineRule="auto"/>
        <w:rPr>
          <w:color w:val="000000"/>
        </w:rPr>
      </w:pPr>
      <w:r>
        <w:rPr>
          <w:color w:val="000000"/>
        </w:rPr>
        <w:t>MARTA tax</w:t>
      </w:r>
      <w:r w:rsidR="00ED2F68">
        <w:rPr>
          <w:color w:val="000000"/>
        </w:rPr>
        <w:t>,</w:t>
      </w:r>
      <w:r>
        <w:rPr>
          <w:color w:val="000000"/>
        </w:rPr>
        <w:t xml:space="preserve"> used to </w:t>
      </w:r>
      <w:r w:rsidR="00096C9D" w:rsidRPr="009C6FFF">
        <w:rPr>
          <w:color w:val="000000"/>
        </w:rPr>
        <w:t xml:space="preserve">fund </w:t>
      </w:r>
      <w:r w:rsidR="004E13D4">
        <w:rPr>
          <w:color w:val="000000"/>
        </w:rPr>
        <w:t>the bus and rail system in</w:t>
      </w:r>
      <w:r w:rsidR="00096C9D" w:rsidRPr="009C6FFF">
        <w:rPr>
          <w:color w:val="000000"/>
        </w:rPr>
        <w:t xml:space="preserve"> </w:t>
      </w:r>
      <w:r>
        <w:rPr>
          <w:color w:val="000000"/>
        </w:rPr>
        <w:t>Fulton, DeKalb</w:t>
      </w:r>
      <w:r w:rsidR="00ED2F68">
        <w:rPr>
          <w:color w:val="000000"/>
        </w:rPr>
        <w:t>,</w:t>
      </w:r>
      <w:r>
        <w:rPr>
          <w:color w:val="000000"/>
        </w:rPr>
        <w:t xml:space="preserve"> and Clayton Counties.</w:t>
      </w:r>
    </w:p>
    <w:p w14:paraId="072ED40C" w14:textId="48C155E5" w:rsidR="009C6FFF" w:rsidRDefault="00096C9D" w:rsidP="00D422A0">
      <w:pPr>
        <w:pStyle w:val="ListParagraph"/>
        <w:numPr>
          <w:ilvl w:val="0"/>
          <w:numId w:val="4"/>
        </w:numPr>
        <w:spacing w:after="0" w:line="360" w:lineRule="auto"/>
        <w:rPr>
          <w:color w:val="000000"/>
        </w:rPr>
      </w:pPr>
      <w:r w:rsidRPr="009C6FFF">
        <w:rPr>
          <w:color w:val="000000"/>
        </w:rPr>
        <w:t>Local Option Sales Tax (LOST)</w:t>
      </w:r>
      <w:r w:rsidR="009C6FFF">
        <w:rPr>
          <w:color w:val="000000"/>
        </w:rPr>
        <w:t>, d</w:t>
      </w:r>
      <w:r w:rsidRPr="009C6FFF">
        <w:rPr>
          <w:color w:val="000000"/>
        </w:rPr>
        <w:t>esigned for property tax relief, with the revenue shared between the county and municipal governments</w:t>
      </w:r>
      <w:r w:rsidR="00A23881">
        <w:rPr>
          <w:color w:val="000000"/>
        </w:rPr>
        <w:t xml:space="preserve"> within the county</w:t>
      </w:r>
      <w:r w:rsidRPr="009C6FFF">
        <w:rPr>
          <w:color w:val="000000"/>
        </w:rPr>
        <w:t xml:space="preserve"> based on a negotiated sharing agreement; </w:t>
      </w:r>
    </w:p>
    <w:p w14:paraId="615DFEEF" w14:textId="2F6587F5" w:rsidR="009C6FFF" w:rsidRDefault="00096C9D" w:rsidP="00D422A0">
      <w:pPr>
        <w:pStyle w:val="ListParagraph"/>
        <w:numPr>
          <w:ilvl w:val="0"/>
          <w:numId w:val="4"/>
        </w:numPr>
        <w:spacing w:after="0" w:line="360" w:lineRule="auto"/>
        <w:rPr>
          <w:color w:val="000000"/>
        </w:rPr>
      </w:pPr>
      <w:r w:rsidRPr="009C6FFF">
        <w:rPr>
          <w:color w:val="000000"/>
        </w:rPr>
        <w:lastRenderedPageBreak/>
        <w:t>Special Purpose Local Option Sales Tax (SPLOST)</w:t>
      </w:r>
      <w:r w:rsidR="00ED2F68">
        <w:rPr>
          <w:color w:val="000000"/>
        </w:rPr>
        <w:t>,</w:t>
      </w:r>
      <w:r w:rsidRPr="009C6FFF">
        <w:rPr>
          <w:color w:val="000000"/>
        </w:rPr>
        <w:t xml:space="preserve"> used to fund capital improvements by the county and municipal governments; </w:t>
      </w:r>
    </w:p>
    <w:p w14:paraId="6C5BEF2A" w14:textId="5E7276FB" w:rsidR="009C6FFF" w:rsidRDefault="00096C9D" w:rsidP="00D422A0">
      <w:pPr>
        <w:pStyle w:val="ListParagraph"/>
        <w:numPr>
          <w:ilvl w:val="0"/>
          <w:numId w:val="4"/>
        </w:numPr>
        <w:spacing w:after="0" w:line="360" w:lineRule="auto"/>
        <w:rPr>
          <w:color w:val="000000"/>
        </w:rPr>
      </w:pPr>
      <w:r w:rsidRPr="009C6FFF">
        <w:rPr>
          <w:color w:val="000000"/>
        </w:rPr>
        <w:t xml:space="preserve">Education Special Purpose Local Option </w:t>
      </w:r>
      <w:r w:rsidR="00ED2F68">
        <w:rPr>
          <w:color w:val="000000"/>
        </w:rPr>
        <w:t>S</w:t>
      </w:r>
      <w:r w:rsidRPr="009C6FFF">
        <w:rPr>
          <w:color w:val="000000"/>
        </w:rPr>
        <w:t xml:space="preserve">ales </w:t>
      </w:r>
      <w:r w:rsidR="00ED2F68">
        <w:rPr>
          <w:color w:val="000000"/>
        </w:rPr>
        <w:t>T</w:t>
      </w:r>
      <w:r w:rsidRPr="009C6FFF">
        <w:rPr>
          <w:color w:val="000000"/>
        </w:rPr>
        <w:t>ax (ESPLOST)</w:t>
      </w:r>
      <w:r w:rsidR="00ED2F68">
        <w:rPr>
          <w:color w:val="000000"/>
        </w:rPr>
        <w:t>,</w:t>
      </w:r>
      <w:r w:rsidRPr="009C6FFF">
        <w:rPr>
          <w:color w:val="000000"/>
        </w:rPr>
        <w:t xml:space="preserve"> used for capital improvements for schools; </w:t>
      </w:r>
    </w:p>
    <w:p w14:paraId="370C575A" w14:textId="18FA2DA8" w:rsidR="009C6FFF" w:rsidRDefault="00096C9D" w:rsidP="00D422A0">
      <w:pPr>
        <w:pStyle w:val="ListParagraph"/>
        <w:numPr>
          <w:ilvl w:val="0"/>
          <w:numId w:val="4"/>
        </w:numPr>
        <w:spacing w:after="0" w:line="360" w:lineRule="auto"/>
        <w:rPr>
          <w:color w:val="000000"/>
        </w:rPr>
      </w:pPr>
      <w:r w:rsidRPr="009C6FFF">
        <w:rPr>
          <w:color w:val="000000"/>
        </w:rPr>
        <w:t>Homestead Option Sales Tax (HOST)</w:t>
      </w:r>
      <w:r w:rsidR="00ED2F68">
        <w:rPr>
          <w:color w:val="000000"/>
        </w:rPr>
        <w:t xml:space="preserve">, </w:t>
      </w:r>
      <w:r w:rsidRPr="009C6FFF">
        <w:rPr>
          <w:color w:val="000000"/>
        </w:rPr>
        <w:t xml:space="preserve">used to fund </w:t>
      </w:r>
      <w:r w:rsidR="00730813">
        <w:rPr>
          <w:color w:val="000000"/>
        </w:rPr>
        <w:t xml:space="preserve">county government </w:t>
      </w:r>
      <w:r w:rsidRPr="009C6FFF">
        <w:rPr>
          <w:color w:val="000000"/>
        </w:rPr>
        <w:t xml:space="preserve">homestead exemptions of up to 100 percent of </w:t>
      </w:r>
      <w:r w:rsidR="00ED2F68">
        <w:rPr>
          <w:color w:val="000000"/>
        </w:rPr>
        <w:t>taxable value</w:t>
      </w:r>
      <w:r w:rsidRPr="009C6FFF">
        <w:rPr>
          <w:color w:val="000000"/>
        </w:rPr>
        <w:t xml:space="preserve">; </w:t>
      </w:r>
    </w:p>
    <w:p w14:paraId="31939514" w14:textId="294E6720" w:rsidR="009C6FFF" w:rsidRDefault="00096C9D" w:rsidP="00D422A0">
      <w:pPr>
        <w:pStyle w:val="ListParagraph"/>
        <w:numPr>
          <w:ilvl w:val="0"/>
          <w:numId w:val="4"/>
        </w:numPr>
        <w:spacing w:after="0" w:line="360" w:lineRule="auto"/>
        <w:rPr>
          <w:color w:val="000000"/>
        </w:rPr>
      </w:pPr>
      <w:r w:rsidRPr="009C6FFF">
        <w:rPr>
          <w:color w:val="000000"/>
        </w:rPr>
        <w:t>Municipal Option Sales Tax (MOST)</w:t>
      </w:r>
      <w:r w:rsidR="00ED2F68">
        <w:rPr>
          <w:color w:val="000000"/>
        </w:rPr>
        <w:t>,</w:t>
      </w:r>
      <w:r w:rsidRPr="009C6FFF">
        <w:rPr>
          <w:color w:val="000000"/>
        </w:rPr>
        <w:t xml:space="preserve"> used to fund a</w:t>
      </w:r>
      <w:r w:rsidR="009C6FFF">
        <w:rPr>
          <w:color w:val="000000"/>
        </w:rPr>
        <w:t>n</w:t>
      </w:r>
      <w:r w:rsidRPr="009C6FFF">
        <w:rPr>
          <w:color w:val="000000"/>
        </w:rPr>
        <w:t xml:space="preserve"> upgrade of </w:t>
      </w:r>
      <w:r w:rsidR="00ED2F68">
        <w:rPr>
          <w:color w:val="000000"/>
        </w:rPr>
        <w:t>the city of Atlanta’s water-sewer system;</w:t>
      </w:r>
    </w:p>
    <w:p w14:paraId="72220CEB" w14:textId="7D28D177" w:rsidR="00096C9D" w:rsidRPr="009C6FFF" w:rsidRDefault="009C6FFF" w:rsidP="00D422A0">
      <w:pPr>
        <w:pStyle w:val="ListParagraph"/>
        <w:numPr>
          <w:ilvl w:val="0"/>
          <w:numId w:val="4"/>
        </w:numPr>
        <w:spacing w:after="0" w:line="360" w:lineRule="auto"/>
        <w:rPr>
          <w:color w:val="000000"/>
        </w:rPr>
      </w:pPr>
      <w:r>
        <w:rPr>
          <w:color w:val="000000"/>
        </w:rPr>
        <w:t>Transportatio</w:t>
      </w:r>
      <w:r w:rsidR="00C848A1">
        <w:rPr>
          <w:color w:val="000000"/>
        </w:rPr>
        <w:t>n Special Purpose Option Sales Tax (TSPOST)</w:t>
      </w:r>
      <w:r w:rsidR="00ED2F68">
        <w:rPr>
          <w:color w:val="000000"/>
        </w:rPr>
        <w:t>,</w:t>
      </w:r>
      <w:r w:rsidR="00C848A1">
        <w:rPr>
          <w:color w:val="000000"/>
        </w:rPr>
        <w:t xml:space="preserve"> used </w:t>
      </w:r>
      <w:r w:rsidR="00A23881" w:rsidRPr="009C6FFF">
        <w:rPr>
          <w:color w:val="000000"/>
        </w:rPr>
        <w:t>to fund transportation</w:t>
      </w:r>
      <w:r w:rsidR="00A23881">
        <w:rPr>
          <w:color w:val="000000"/>
        </w:rPr>
        <w:t xml:space="preserve"> projects</w:t>
      </w:r>
      <w:r w:rsidR="00A23881" w:rsidRPr="009C6FFF">
        <w:rPr>
          <w:color w:val="000000"/>
        </w:rPr>
        <w:t xml:space="preserve"> </w:t>
      </w:r>
      <w:r w:rsidR="00096C9D" w:rsidRPr="009C6FFF">
        <w:rPr>
          <w:color w:val="000000"/>
        </w:rPr>
        <w:t xml:space="preserve">within designated </w:t>
      </w:r>
      <w:r w:rsidR="00A23881">
        <w:rPr>
          <w:color w:val="000000"/>
        </w:rPr>
        <w:t xml:space="preserve">multi-county </w:t>
      </w:r>
      <w:r w:rsidR="00096C9D" w:rsidRPr="009C6FFF">
        <w:rPr>
          <w:color w:val="000000"/>
        </w:rPr>
        <w:t xml:space="preserve">regions. </w:t>
      </w:r>
    </w:p>
    <w:p w14:paraId="3A73A526" w14:textId="064A9DE1" w:rsidR="00E723B6" w:rsidRPr="00710363" w:rsidRDefault="00096C9D" w:rsidP="00D422A0">
      <w:pPr>
        <w:spacing w:after="0" w:line="360" w:lineRule="auto"/>
        <w:rPr>
          <w:color w:val="000000"/>
        </w:rPr>
      </w:pPr>
      <w:r w:rsidRPr="00710363">
        <w:rPr>
          <w:color w:val="000000"/>
        </w:rPr>
        <w:t xml:space="preserve">All of </w:t>
      </w:r>
      <w:r w:rsidR="00C848A1">
        <w:rPr>
          <w:color w:val="000000"/>
        </w:rPr>
        <w:t xml:space="preserve">Georgia’s </w:t>
      </w:r>
      <w:r w:rsidRPr="00710363">
        <w:rPr>
          <w:color w:val="000000"/>
        </w:rPr>
        <w:t xml:space="preserve">local sales taxes </w:t>
      </w:r>
      <w:r w:rsidR="00C848A1">
        <w:rPr>
          <w:color w:val="000000"/>
        </w:rPr>
        <w:t>are</w:t>
      </w:r>
      <w:r w:rsidRPr="00710363">
        <w:rPr>
          <w:color w:val="000000"/>
        </w:rPr>
        <w:t xml:space="preserve"> one percent, are county wide with the exception of the MOST and </w:t>
      </w:r>
      <w:r w:rsidR="00C848A1">
        <w:rPr>
          <w:color w:val="000000"/>
        </w:rPr>
        <w:t>TSPOST</w:t>
      </w:r>
      <w:r w:rsidRPr="00710363">
        <w:rPr>
          <w:color w:val="000000"/>
        </w:rPr>
        <w:t xml:space="preserve">, and must be approved through referendum. Some are permanent while others have term limits, but </w:t>
      </w:r>
      <w:r w:rsidR="001F6256">
        <w:rPr>
          <w:color w:val="000000"/>
        </w:rPr>
        <w:t>the</w:t>
      </w:r>
      <w:r w:rsidR="00730813">
        <w:rPr>
          <w:color w:val="000000"/>
        </w:rPr>
        <w:t xml:space="preserve"> temporary ones</w:t>
      </w:r>
      <w:r w:rsidR="001F6256">
        <w:rPr>
          <w:color w:val="000000"/>
        </w:rPr>
        <w:t xml:space="preserve"> </w:t>
      </w:r>
      <w:r w:rsidRPr="00710363">
        <w:rPr>
          <w:color w:val="000000"/>
        </w:rPr>
        <w:t xml:space="preserve">can be re-authorized through referendum. </w:t>
      </w:r>
    </w:p>
    <w:p w14:paraId="0113D32D" w14:textId="0207D078" w:rsidR="00A23881" w:rsidRPr="00990451" w:rsidRDefault="00A23881" w:rsidP="0031678C">
      <w:pPr>
        <w:pStyle w:val="Heading3"/>
      </w:pPr>
      <w:bookmarkStart w:id="52" w:name="_Toc433373637"/>
      <w:r w:rsidRPr="00990451">
        <w:t>California</w:t>
      </w:r>
      <w:bookmarkEnd w:id="52"/>
    </w:p>
    <w:p w14:paraId="0F5B978F" w14:textId="77976586" w:rsidR="00E723B6" w:rsidRDefault="004E13D4" w:rsidP="00D422A0">
      <w:pPr>
        <w:spacing w:after="0" w:line="360" w:lineRule="auto"/>
        <w:ind w:firstLine="720"/>
        <w:rPr>
          <w:color w:val="000000"/>
        </w:rPr>
      </w:pPr>
      <w:r>
        <w:rPr>
          <w:color w:val="000000"/>
        </w:rPr>
        <w:t>A</w:t>
      </w:r>
      <w:r w:rsidRPr="00710363">
        <w:rPr>
          <w:color w:val="000000"/>
        </w:rPr>
        <w:t>s early as 1944</w:t>
      </w:r>
      <w:r>
        <w:rPr>
          <w:color w:val="000000"/>
        </w:rPr>
        <w:t>, l</w:t>
      </w:r>
      <w:r w:rsidR="00096C9D">
        <w:rPr>
          <w:color w:val="000000"/>
        </w:rPr>
        <w:t xml:space="preserve">ocal governments </w:t>
      </w:r>
      <w:r w:rsidR="001F6256">
        <w:rPr>
          <w:color w:val="000000"/>
        </w:rPr>
        <w:t xml:space="preserve">in </w:t>
      </w:r>
      <w:r w:rsidR="001F6256" w:rsidRPr="00710363">
        <w:rPr>
          <w:color w:val="000000"/>
        </w:rPr>
        <w:t>California</w:t>
      </w:r>
      <w:r w:rsidR="001F6256">
        <w:rPr>
          <w:color w:val="000000"/>
        </w:rPr>
        <w:t xml:space="preserve"> </w:t>
      </w:r>
      <w:r w:rsidR="00C848A1">
        <w:rPr>
          <w:color w:val="000000"/>
        </w:rPr>
        <w:t xml:space="preserve">were allowed to </w:t>
      </w:r>
      <w:r w:rsidR="00096C9D">
        <w:rPr>
          <w:color w:val="000000"/>
        </w:rPr>
        <w:t>adopt their own sales tax ordinance, tax rates, and exemptions</w:t>
      </w:r>
      <w:r w:rsidR="001F6256">
        <w:rPr>
          <w:color w:val="000000"/>
        </w:rPr>
        <w:t>. B</w:t>
      </w:r>
      <w:r w:rsidR="00C848A1">
        <w:rPr>
          <w:color w:val="000000"/>
        </w:rPr>
        <w:t>ut in 1955, California</w:t>
      </w:r>
      <w:r w:rsidR="00C848A1" w:rsidRPr="00710363">
        <w:rPr>
          <w:color w:val="000000"/>
        </w:rPr>
        <w:t xml:space="preserve"> established the Bradley-Burns </w:t>
      </w:r>
      <w:r w:rsidR="00C848A1">
        <w:rPr>
          <w:color w:val="000000"/>
        </w:rPr>
        <w:t>uniform sales</w:t>
      </w:r>
      <w:r w:rsidR="00C848A1" w:rsidRPr="00710363">
        <w:rPr>
          <w:color w:val="000000"/>
        </w:rPr>
        <w:t xml:space="preserve"> tax </w:t>
      </w:r>
      <w:r w:rsidR="00C848A1">
        <w:rPr>
          <w:color w:val="000000"/>
        </w:rPr>
        <w:t xml:space="preserve">in </w:t>
      </w:r>
      <w:r w:rsidR="00096C9D" w:rsidRPr="00710363">
        <w:rPr>
          <w:color w:val="000000"/>
        </w:rPr>
        <w:t xml:space="preserve">order to </w:t>
      </w:r>
      <w:r w:rsidR="00C848A1">
        <w:rPr>
          <w:color w:val="000000"/>
        </w:rPr>
        <w:t xml:space="preserve">reduce the </w:t>
      </w:r>
      <w:r w:rsidR="00096C9D" w:rsidRPr="00710363">
        <w:rPr>
          <w:color w:val="000000"/>
        </w:rPr>
        <w:t xml:space="preserve">complexity of </w:t>
      </w:r>
      <w:r w:rsidR="00C848A1">
        <w:rPr>
          <w:color w:val="000000"/>
        </w:rPr>
        <w:t xml:space="preserve">the system. </w:t>
      </w:r>
      <w:r w:rsidR="00096C9D" w:rsidRPr="00710363">
        <w:rPr>
          <w:color w:val="000000"/>
        </w:rPr>
        <w:t xml:space="preserve">The Bradley-Burns sales tax is imposed at one percent and </w:t>
      </w:r>
      <w:r w:rsidR="00C848A1">
        <w:rPr>
          <w:color w:val="000000"/>
        </w:rPr>
        <w:t xml:space="preserve">is </w:t>
      </w:r>
      <w:r w:rsidR="00096C9D" w:rsidRPr="00710363">
        <w:rPr>
          <w:color w:val="000000"/>
        </w:rPr>
        <w:t>split 25 percent to the county government and 75 percent to the city or county depending on the location of the sale, with the revenue going to the general fund.</w:t>
      </w:r>
      <w:r w:rsidR="00A23881">
        <w:rPr>
          <w:rStyle w:val="FootnoteReference"/>
          <w:color w:val="000000"/>
        </w:rPr>
        <w:footnoteReference w:id="11"/>
      </w:r>
      <w:r w:rsidR="0073042B">
        <w:rPr>
          <w:color w:val="000000"/>
        </w:rPr>
        <w:t xml:space="preserve"> </w:t>
      </w:r>
      <w:r w:rsidR="00096C9D" w:rsidRPr="00710363">
        <w:rPr>
          <w:color w:val="000000"/>
        </w:rPr>
        <w:t>All counties in California have adopted a Bradley-Burns sales tax. In addition</w:t>
      </w:r>
      <w:r w:rsidR="0012720A">
        <w:rPr>
          <w:color w:val="000000"/>
        </w:rPr>
        <w:t>,</w:t>
      </w:r>
      <w:r w:rsidR="00C848A1">
        <w:rPr>
          <w:color w:val="000000"/>
        </w:rPr>
        <w:t xml:space="preserve"> a city or county can adopt</w:t>
      </w:r>
      <w:r w:rsidR="00C848A1" w:rsidRPr="00710363">
        <w:rPr>
          <w:color w:val="000000"/>
        </w:rPr>
        <w:t xml:space="preserve"> by referendum</w:t>
      </w:r>
      <w:r w:rsidR="00096C9D">
        <w:rPr>
          <w:color w:val="000000"/>
        </w:rPr>
        <w:t xml:space="preserve"> a </w:t>
      </w:r>
      <w:r w:rsidR="00096C9D" w:rsidRPr="00710363">
        <w:rPr>
          <w:color w:val="000000"/>
        </w:rPr>
        <w:t xml:space="preserve">local option sales tax of up to 1.5 percent. </w:t>
      </w:r>
    </w:p>
    <w:p w14:paraId="02DE2BDF" w14:textId="3EE62EB4" w:rsidR="00A23881" w:rsidRPr="00990451" w:rsidRDefault="00A23881" w:rsidP="0031678C">
      <w:pPr>
        <w:pStyle w:val="Heading3"/>
      </w:pPr>
      <w:bookmarkStart w:id="53" w:name="_Toc433373638"/>
      <w:r w:rsidRPr="00990451">
        <w:t>Utah</w:t>
      </w:r>
      <w:bookmarkEnd w:id="53"/>
    </w:p>
    <w:p w14:paraId="432699CC" w14:textId="061ECD01" w:rsidR="00E723B6" w:rsidRDefault="00096C9D" w:rsidP="00D422A0">
      <w:pPr>
        <w:spacing w:after="0" w:line="360" w:lineRule="auto"/>
        <w:ind w:firstLine="720"/>
        <w:rPr>
          <w:color w:val="000000"/>
        </w:rPr>
      </w:pPr>
      <w:r w:rsidRPr="00710363">
        <w:rPr>
          <w:color w:val="000000"/>
        </w:rPr>
        <w:t>Utah</w:t>
      </w:r>
      <w:r w:rsidR="00C848A1">
        <w:rPr>
          <w:color w:val="000000"/>
        </w:rPr>
        <w:t xml:space="preserve"> </w:t>
      </w:r>
      <w:r w:rsidR="00A23881">
        <w:rPr>
          <w:color w:val="000000"/>
        </w:rPr>
        <w:t xml:space="preserve">has 16 difference local sales taxes. </w:t>
      </w:r>
      <w:r w:rsidR="00391945">
        <w:rPr>
          <w:color w:val="000000"/>
        </w:rPr>
        <w:t xml:space="preserve">There is a </w:t>
      </w:r>
      <w:r w:rsidR="00981F02">
        <w:rPr>
          <w:color w:val="000000"/>
        </w:rPr>
        <w:t xml:space="preserve">one </w:t>
      </w:r>
      <w:r w:rsidR="00391945">
        <w:rPr>
          <w:color w:val="000000"/>
        </w:rPr>
        <w:t>percent sales tax that all jurisdictions impose.</w:t>
      </w:r>
      <w:r w:rsidR="0073042B">
        <w:rPr>
          <w:color w:val="000000"/>
        </w:rPr>
        <w:t xml:space="preserve"> </w:t>
      </w:r>
      <w:r w:rsidR="00391945">
        <w:rPr>
          <w:color w:val="000000"/>
        </w:rPr>
        <w:t>Local governments also have</w:t>
      </w:r>
      <w:r w:rsidR="00391945" w:rsidRPr="00710363">
        <w:rPr>
          <w:color w:val="000000"/>
        </w:rPr>
        <w:t xml:space="preserve"> authority to impose, subject to referendum, sales taxes for </w:t>
      </w:r>
      <w:r w:rsidR="00391945">
        <w:rPr>
          <w:color w:val="000000"/>
        </w:rPr>
        <w:t xml:space="preserve">other purposes. </w:t>
      </w:r>
      <w:r w:rsidR="00A23881">
        <w:rPr>
          <w:color w:val="000000"/>
        </w:rPr>
        <w:t xml:space="preserve">Six of </w:t>
      </w:r>
      <w:r w:rsidR="00391945">
        <w:rPr>
          <w:color w:val="000000"/>
        </w:rPr>
        <w:t xml:space="preserve">16 </w:t>
      </w:r>
      <w:r w:rsidR="00E723B6">
        <w:rPr>
          <w:color w:val="000000"/>
        </w:rPr>
        <w:t xml:space="preserve">local sales </w:t>
      </w:r>
      <w:r w:rsidR="00391945">
        <w:rPr>
          <w:color w:val="000000"/>
        </w:rPr>
        <w:t>tax</w:t>
      </w:r>
      <w:r w:rsidR="00B7618B">
        <w:rPr>
          <w:color w:val="000000"/>
        </w:rPr>
        <w:t>e</w:t>
      </w:r>
      <w:r w:rsidR="00391945">
        <w:rPr>
          <w:color w:val="000000"/>
        </w:rPr>
        <w:t>s are</w:t>
      </w:r>
      <w:r w:rsidR="00A23881">
        <w:rPr>
          <w:color w:val="000000"/>
        </w:rPr>
        <w:t xml:space="preserve"> for various types of transportation projects, </w:t>
      </w:r>
      <w:r w:rsidR="00391945">
        <w:rPr>
          <w:color w:val="000000"/>
        </w:rPr>
        <w:t>3</w:t>
      </w:r>
      <w:r w:rsidR="00A23881">
        <w:rPr>
          <w:color w:val="000000"/>
        </w:rPr>
        <w:t xml:space="preserve"> are</w:t>
      </w:r>
      <w:r w:rsidR="00E723B6">
        <w:rPr>
          <w:color w:val="000000"/>
        </w:rPr>
        <w:t xml:space="preserve"> for</w:t>
      </w:r>
      <w:r w:rsidR="00A23881">
        <w:rPr>
          <w:color w:val="000000"/>
        </w:rPr>
        <w:t xml:space="preserve"> </w:t>
      </w:r>
      <w:r w:rsidR="00391945">
        <w:rPr>
          <w:color w:val="000000"/>
        </w:rPr>
        <w:t xml:space="preserve">hospital and cultural support, while the rest are supplementary sales taxes for various classes of government. Total local sales tax rates vary from 1.25 percent to 3.65 percent, with the median rate being </w:t>
      </w:r>
      <w:r w:rsidR="00B7618B">
        <w:rPr>
          <w:color w:val="000000"/>
        </w:rPr>
        <w:t>1.6</w:t>
      </w:r>
      <w:r w:rsidR="00391945">
        <w:rPr>
          <w:color w:val="000000"/>
        </w:rPr>
        <w:t xml:space="preserve"> percent.</w:t>
      </w:r>
    </w:p>
    <w:p w14:paraId="124F0883" w14:textId="77777777" w:rsidR="009D2E18" w:rsidRDefault="009D2E18" w:rsidP="00D422A0">
      <w:pPr>
        <w:spacing w:after="0" w:line="360" w:lineRule="auto"/>
        <w:ind w:firstLine="720"/>
        <w:rPr>
          <w:color w:val="000000"/>
        </w:rPr>
      </w:pPr>
    </w:p>
    <w:p w14:paraId="3ABA2133" w14:textId="2D38D45F" w:rsidR="00391945" w:rsidRPr="00990451" w:rsidRDefault="00391945" w:rsidP="0031678C">
      <w:pPr>
        <w:pStyle w:val="Heading3"/>
      </w:pPr>
      <w:bookmarkStart w:id="54" w:name="_Toc433373639"/>
      <w:r w:rsidRPr="00990451">
        <w:lastRenderedPageBreak/>
        <w:t>Tennessee</w:t>
      </w:r>
      <w:bookmarkEnd w:id="54"/>
    </w:p>
    <w:p w14:paraId="5E3846B7" w14:textId="66AB54A3" w:rsidR="00096C9D" w:rsidRPr="00710363" w:rsidRDefault="00096C9D" w:rsidP="00495617">
      <w:pPr>
        <w:spacing w:after="0" w:line="360" w:lineRule="auto"/>
        <w:ind w:firstLine="720"/>
        <w:rPr>
          <w:color w:val="000000"/>
        </w:rPr>
      </w:pPr>
      <w:r w:rsidRPr="00710363">
        <w:rPr>
          <w:color w:val="000000"/>
        </w:rPr>
        <w:t>In Tennessee, countie</w:t>
      </w:r>
      <w:r w:rsidR="00F64FC2">
        <w:rPr>
          <w:color w:val="000000"/>
        </w:rPr>
        <w:t>s can impose a local sales tax</w:t>
      </w:r>
      <w:r w:rsidRPr="00710363">
        <w:rPr>
          <w:color w:val="000000"/>
        </w:rPr>
        <w:t xml:space="preserve"> up to a rate of 2.75 percent.</w:t>
      </w:r>
      <w:r w:rsidR="0073042B">
        <w:rPr>
          <w:color w:val="000000"/>
        </w:rPr>
        <w:t xml:space="preserve"> </w:t>
      </w:r>
      <w:r w:rsidRPr="00710363">
        <w:rPr>
          <w:color w:val="000000"/>
        </w:rPr>
        <w:t>Municipalities within that county can impose a tax at a rate equal to the difference between 2.75 percent and the county sales tax rate</w:t>
      </w:r>
      <w:r w:rsidR="00F64FC2">
        <w:rPr>
          <w:color w:val="000000"/>
        </w:rPr>
        <w:t xml:space="preserve">. </w:t>
      </w:r>
      <w:r w:rsidRPr="00710363">
        <w:rPr>
          <w:color w:val="000000"/>
        </w:rPr>
        <w:t>Half of the revenue is allocated to education</w:t>
      </w:r>
      <w:r w:rsidR="00F64FC2">
        <w:rPr>
          <w:color w:val="000000"/>
        </w:rPr>
        <w:t>, and some revenue</w:t>
      </w:r>
      <w:r w:rsidRPr="00710363">
        <w:rPr>
          <w:color w:val="000000"/>
        </w:rPr>
        <w:t xml:space="preserve"> is earmarked for tourism</w:t>
      </w:r>
      <w:r>
        <w:rPr>
          <w:color w:val="000000"/>
        </w:rPr>
        <w:t xml:space="preserve"> promotion</w:t>
      </w:r>
      <w:r w:rsidRPr="00710363">
        <w:rPr>
          <w:color w:val="000000"/>
        </w:rPr>
        <w:t xml:space="preserve">. </w:t>
      </w:r>
      <w:r w:rsidRPr="00710363">
        <w:rPr>
          <w:color w:val="000000"/>
        </w:rPr>
        <w:tab/>
        <w:t xml:space="preserve"> </w:t>
      </w:r>
    </w:p>
    <w:p w14:paraId="18669E46" w14:textId="05BD2A4D" w:rsidR="00556E63" w:rsidRPr="00990451" w:rsidRDefault="00391945" w:rsidP="0031678C">
      <w:pPr>
        <w:pStyle w:val="Heading2"/>
      </w:pPr>
      <w:bookmarkStart w:id="55" w:name="_Toc433373640"/>
      <w:r w:rsidRPr="00990451">
        <w:t xml:space="preserve">Designing </w:t>
      </w:r>
      <w:r w:rsidR="00274B04" w:rsidRPr="00990451">
        <w:t>a Local Sales Tax System</w:t>
      </w:r>
      <w:bookmarkEnd w:id="55"/>
    </w:p>
    <w:p w14:paraId="0D22E95D" w14:textId="63BED0B9" w:rsidR="00E723B6" w:rsidRDefault="00556E63" w:rsidP="00D422A0">
      <w:pPr>
        <w:spacing w:after="0" w:line="360" w:lineRule="auto"/>
        <w:rPr>
          <w:color w:val="000000"/>
        </w:rPr>
      </w:pPr>
      <w:r>
        <w:rPr>
          <w:color w:val="000000"/>
        </w:rPr>
        <w:tab/>
        <w:t>If Connecticut chooses to allow cities to adopt local sales tax</w:t>
      </w:r>
      <w:r w:rsidR="00274B04">
        <w:rPr>
          <w:color w:val="000000"/>
        </w:rPr>
        <w:t>es</w:t>
      </w:r>
      <w:r>
        <w:rPr>
          <w:color w:val="000000"/>
        </w:rPr>
        <w:t xml:space="preserve">, </w:t>
      </w:r>
      <w:r w:rsidR="003F1E9D">
        <w:rPr>
          <w:color w:val="000000"/>
        </w:rPr>
        <w:t xml:space="preserve">the state will have to </w:t>
      </w:r>
      <w:r w:rsidR="004E232E">
        <w:rPr>
          <w:color w:val="000000"/>
        </w:rPr>
        <w:t xml:space="preserve">specify the </w:t>
      </w:r>
      <w:r w:rsidR="003F1E9D">
        <w:rPr>
          <w:color w:val="000000"/>
        </w:rPr>
        <w:t xml:space="preserve">design </w:t>
      </w:r>
      <w:r w:rsidR="004E232E">
        <w:rPr>
          <w:color w:val="000000"/>
        </w:rPr>
        <w:t xml:space="preserve">of </w:t>
      </w:r>
      <w:r w:rsidR="004E13D4">
        <w:rPr>
          <w:color w:val="000000"/>
        </w:rPr>
        <w:t>the</w:t>
      </w:r>
      <w:r w:rsidR="003F1E9D">
        <w:rPr>
          <w:color w:val="000000"/>
        </w:rPr>
        <w:t xml:space="preserve"> local sales tax structure</w:t>
      </w:r>
      <w:r w:rsidR="00E723B6">
        <w:rPr>
          <w:color w:val="000000"/>
        </w:rPr>
        <w:t xml:space="preserve">, which </w:t>
      </w:r>
      <w:r w:rsidR="00F7223B">
        <w:rPr>
          <w:color w:val="000000"/>
        </w:rPr>
        <w:t xml:space="preserve">means </w:t>
      </w:r>
      <w:r w:rsidR="003F1E9D">
        <w:rPr>
          <w:color w:val="000000"/>
        </w:rPr>
        <w:t>selecting one of the options for each of several parameters</w:t>
      </w:r>
      <w:r w:rsidR="004E13D4">
        <w:rPr>
          <w:color w:val="000000"/>
        </w:rPr>
        <w:t xml:space="preserve"> or features</w:t>
      </w:r>
      <w:r w:rsidR="003F1E9D">
        <w:rPr>
          <w:color w:val="000000"/>
        </w:rPr>
        <w:t>.</w:t>
      </w:r>
      <w:r w:rsidR="0073042B">
        <w:rPr>
          <w:color w:val="000000"/>
        </w:rPr>
        <w:t xml:space="preserve"> </w:t>
      </w:r>
      <w:r w:rsidR="003F1E9D">
        <w:rPr>
          <w:color w:val="000000"/>
        </w:rPr>
        <w:t xml:space="preserve">This section lists the parameters that have </w:t>
      </w:r>
      <w:r w:rsidR="0062070E">
        <w:rPr>
          <w:color w:val="000000"/>
        </w:rPr>
        <w:t xml:space="preserve">to be </w:t>
      </w:r>
      <w:r w:rsidR="003F1E9D">
        <w:rPr>
          <w:color w:val="000000"/>
        </w:rPr>
        <w:t xml:space="preserve">determined and </w:t>
      </w:r>
      <w:r w:rsidR="004E232E">
        <w:rPr>
          <w:color w:val="000000"/>
        </w:rPr>
        <w:t xml:space="preserve">discusses </w:t>
      </w:r>
      <w:r w:rsidR="003F1E9D">
        <w:rPr>
          <w:color w:val="000000"/>
        </w:rPr>
        <w:t>the options for each</w:t>
      </w:r>
      <w:r w:rsidR="004E232E">
        <w:rPr>
          <w:color w:val="000000"/>
        </w:rPr>
        <w:t xml:space="preserve"> parameter</w:t>
      </w:r>
      <w:r w:rsidR="003F1E9D">
        <w:rPr>
          <w:color w:val="000000"/>
        </w:rPr>
        <w:t>.</w:t>
      </w:r>
      <w:r>
        <w:rPr>
          <w:color w:val="000000"/>
        </w:rPr>
        <w:t xml:space="preserve"> </w:t>
      </w:r>
      <w:r w:rsidR="00DC0A1A">
        <w:rPr>
          <w:color w:val="000000"/>
        </w:rPr>
        <w:t xml:space="preserve">In designing a local sales tax, consider should be given to the </w:t>
      </w:r>
      <w:r w:rsidR="00824B5C">
        <w:rPr>
          <w:color w:val="000000"/>
        </w:rPr>
        <w:t xml:space="preserve">provision of the </w:t>
      </w:r>
      <w:r w:rsidR="00DC0A1A">
        <w:rPr>
          <w:color w:val="000000"/>
        </w:rPr>
        <w:t>Streamline Sales Tax Project (SSTP). While Connecticut is not a member of the SSTP, if Congress were to pass something like the Marketplace Fairness Act, it provisions would likely be similar to those adopted by the SSTP, such as common sales tax base and single tax administrator</w:t>
      </w:r>
      <w:r w:rsidR="00824B5C">
        <w:rPr>
          <w:color w:val="000000"/>
        </w:rPr>
        <w:t xml:space="preserve"> for all sales taxes imposed in a state</w:t>
      </w:r>
      <w:r w:rsidR="00DC0A1A">
        <w:rPr>
          <w:color w:val="000000"/>
        </w:rPr>
        <w:t xml:space="preserve">. </w:t>
      </w:r>
    </w:p>
    <w:p w14:paraId="55084C9A" w14:textId="77777777" w:rsidR="00DD511A" w:rsidRDefault="003F1E9D" w:rsidP="0031678C">
      <w:pPr>
        <w:pStyle w:val="Heading3"/>
      </w:pPr>
      <w:bookmarkStart w:id="56" w:name="_Toc433373641"/>
      <w:r w:rsidRPr="00DD511A">
        <w:t xml:space="preserve">Sales Tax </w:t>
      </w:r>
      <w:r w:rsidR="00556E63" w:rsidRPr="00DD511A">
        <w:t>Base</w:t>
      </w:r>
      <w:bookmarkEnd w:id="56"/>
    </w:p>
    <w:p w14:paraId="04B9085E" w14:textId="3A6F9C5E" w:rsidR="00257095" w:rsidRPr="00DD511A" w:rsidRDefault="0073042B" w:rsidP="00DD511A">
      <w:pPr>
        <w:spacing w:after="0" w:line="360" w:lineRule="auto"/>
        <w:ind w:firstLine="720"/>
        <w:rPr>
          <w:color w:val="000000"/>
        </w:rPr>
      </w:pPr>
      <w:r w:rsidRPr="00DD511A">
        <w:rPr>
          <w:color w:val="000000"/>
        </w:rPr>
        <w:t xml:space="preserve"> </w:t>
      </w:r>
      <w:r w:rsidR="003F1E9D" w:rsidRPr="00DD511A">
        <w:rPr>
          <w:color w:val="000000"/>
        </w:rPr>
        <w:t>The state could allow e</w:t>
      </w:r>
      <w:r w:rsidR="00556E63" w:rsidRPr="00DD511A">
        <w:rPr>
          <w:color w:val="000000"/>
        </w:rPr>
        <w:t>ach city to de</w:t>
      </w:r>
      <w:r w:rsidR="003F1E9D" w:rsidRPr="00DD511A">
        <w:rPr>
          <w:color w:val="000000"/>
        </w:rPr>
        <w:t>cide wh</w:t>
      </w:r>
      <w:r w:rsidR="0062070E" w:rsidRPr="00DD511A">
        <w:rPr>
          <w:color w:val="000000"/>
        </w:rPr>
        <w:t>ich</w:t>
      </w:r>
      <w:r w:rsidR="00556E63" w:rsidRPr="00DD511A">
        <w:rPr>
          <w:color w:val="000000"/>
        </w:rPr>
        <w:t xml:space="preserve"> goods and services will be taxed</w:t>
      </w:r>
      <w:r w:rsidR="003F1E9D" w:rsidRPr="00DD511A">
        <w:rPr>
          <w:color w:val="000000"/>
        </w:rPr>
        <w:t xml:space="preserve"> (</w:t>
      </w:r>
      <w:r w:rsidR="0062070E" w:rsidRPr="00DD511A">
        <w:rPr>
          <w:color w:val="000000"/>
        </w:rPr>
        <w:t>which is the case</w:t>
      </w:r>
      <w:r w:rsidR="004E13D4" w:rsidRPr="00DD511A">
        <w:rPr>
          <w:color w:val="000000"/>
        </w:rPr>
        <w:t>, for example,</w:t>
      </w:r>
      <w:r w:rsidR="0062070E" w:rsidRPr="00DD511A">
        <w:rPr>
          <w:color w:val="000000"/>
        </w:rPr>
        <w:t xml:space="preserve"> in</w:t>
      </w:r>
      <w:r w:rsidR="003F1E9D" w:rsidRPr="00DD511A">
        <w:rPr>
          <w:color w:val="000000"/>
        </w:rPr>
        <w:t xml:space="preserve"> Alabama), </w:t>
      </w:r>
      <w:r w:rsidR="00556E63" w:rsidRPr="00DD511A">
        <w:rPr>
          <w:color w:val="000000"/>
        </w:rPr>
        <w:t xml:space="preserve">could require that the </w:t>
      </w:r>
      <w:r w:rsidR="003F1E9D" w:rsidRPr="00DD511A">
        <w:rPr>
          <w:color w:val="000000"/>
        </w:rPr>
        <w:t xml:space="preserve">sales tax </w:t>
      </w:r>
      <w:r w:rsidR="00556E63" w:rsidRPr="00DD511A">
        <w:rPr>
          <w:color w:val="000000"/>
        </w:rPr>
        <w:t>base be the same as the base for the state sales tax</w:t>
      </w:r>
      <w:r w:rsidR="003F1E9D" w:rsidRPr="00DD511A">
        <w:rPr>
          <w:color w:val="000000"/>
        </w:rPr>
        <w:t xml:space="preserve"> (</w:t>
      </w:r>
      <w:r w:rsidR="0062070E" w:rsidRPr="00DD511A">
        <w:rPr>
          <w:color w:val="000000"/>
        </w:rPr>
        <w:t>which is the case</w:t>
      </w:r>
      <w:r w:rsidR="003F1E9D" w:rsidRPr="00DD511A">
        <w:rPr>
          <w:color w:val="000000"/>
        </w:rPr>
        <w:t xml:space="preserve"> in most states), or specify specific differences </w:t>
      </w:r>
      <w:r w:rsidR="00F7223B" w:rsidRPr="00DD511A">
        <w:rPr>
          <w:color w:val="000000"/>
        </w:rPr>
        <w:t xml:space="preserve">between </w:t>
      </w:r>
      <w:r w:rsidR="003F1E9D" w:rsidRPr="00DD511A">
        <w:rPr>
          <w:color w:val="000000"/>
        </w:rPr>
        <w:t xml:space="preserve">the state and local sales tax </w:t>
      </w:r>
      <w:r w:rsidR="0062070E" w:rsidRPr="00DD511A">
        <w:rPr>
          <w:color w:val="000000"/>
        </w:rPr>
        <w:t>base</w:t>
      </w:r>
      <w:r w:rsidR="003F1E9D" w:rsidRPr="00DD511A">
        <w:rPr>
          <w:color w:val="000000"/>
        </w:rPr>
        <w:t xml:space="preserve"> (</w:t>
      </w:r>
      <w:r w:rsidR="0062070E" w:rsidRPr="00DD511A">
        <w:rPr>
          <w:color w:val="000000"/>
        </w:rPr>
        <w:t>as in the case of</w:t>
      </w:r>
      <w:r w:rsidR="003F1E9D" w:rsidRPr="00DD511A">
        <w:rPr>
          <w:color w:val="000000"/>
        </w:rPr>
        <w:t xml:space="preserve"> Georgia</w:t>
      </w:r>
      <w:r w:rsidR="00E723B6" w:rsidRPr="00DD511A">
        <w:rPr>
          <w:color w:val="000000"/>
        </w:rPr>
        <w:t xml:space="preserve"> and several other states</w:t>
      </w:r>
      <w:r w:rsidR="003F1E9D" w:rsidRPr="00DD511A">
        <w:rPr>
          <w:color w:val="000000"/>
        </w:rPr>
        <w:t>)</w:t>
      </w:r>
      <w:r w:rsidR="00556E63" w:rsidRPr="00DD511A">
        <w:rPr>
          <w:color w:val="000000"/>
        </w:rPr>
        <w:t>.</w:t>
      </w:r>
      <w:r w:rsidRPr="00DD511A">
        <w:rPr>
          <w:color w:val="000000"/>
        </w:rPr>
        <w:t xml:space="preserve"> </w:t>
      </w:r>
      <w:r w:rsidR="00257095" w:rsidRPr="00DD511A">
        <w:rPr>
          <w:color w:val="000000"/>
        </w:rPr>
        <w:t>In Georgia there are some differences in the state and local sales tax bases</w:t>
      </w:r>
      <w:r w:rsidR="0062070E" w:rsidRPr="00DD511A">
        <w:rPr>
          <w:color w:val="000000"/>
        </w:rPr>
        <w:t>, t</w:t>
      </w:r>
      <w:r w:rsidR="00257095" w:rsidRPr="00DD511A">
        <w:rPr>
          <w:color w:val="000000"/>
        </w:rPr>
        <w:t xml:space="preserve">he largest </w:t>
      </w:r>
      <w:r w:rsidR="0062070E" w:rsidRPr="00DD511A">
        <w:rPr>
          <w:color w:val="000000"/>
        </w:rPr>
        <w:t xml:space="preserve">being the exemption of food for home purchase for the state sales tax but not for most local sales taxes. </w:t>
      </w:r>
    </w:p>
    <w:p w14:paraId="17528ED0" w14:textId="0F5A4DAB" w:rsidR="00453EAF" w:rsidRDefault="00257095" w:rsidP="00495617">
      <w:pPr>
        <w:spacing w:after="0" w:line="360" w:lineRule="auto"/>
        <w:ind w:firstLine="720"/>
        <w:rPr>
          <w:bCs/>
        </w:rPr>
      </w:pPr>
      <w:r w:rsidRPr="00DD511A">
        <w:rPr>
          <w:color w:val="000000"/>
        </w:rPr>
        <w:t xml:space="preserve">Allowing cities to define their own tax base </w:t>
      </w:r>
      <w:r w:rsidR="00DC0A1A">
        <w:rPr>
          <w:color w:val="000000"/>
        </w:rPr>
        <w:t xml:space="preserve">creates </w:t>
      </w:r>
      <w:r w:rsidR="006468C5">
        <w:rPr>
          <w:color w:val="000000"/>
        </w:rPr>
        <w:t xml:space="preserve">issues since it could significantly </w:t>
      </w:r>
      <w:r w:rsidRPr="00DD511A">
        <w:rPr>
          <w:color w:val="000000"/>
        </w:rPr>
        <w:t>increase administrative and compliance costs</w:t>
      </w:r>
      <w:r w:rsidR="006468C5">
        <w:rPr>
          <w:color w:val="000000"/>
        </w:rPr>
        <w:t>, and thus most tax policy experts recommend a uniform base for all sales taxes within a state</w:t>
      </w:r>
      <w:r w:rsidR="004E232E" w:rsidRPr="00DD511A">
        <w:rPr>
          <w:color w:val="000000"/>
        </w:rPr>
        <w:t xml:space="preserve">. </w:t>
      </w:r>
      <w:r w:rsidR="00824B5C">
        <w:rPr>
          <w:color w:val="000000"/>
        </w:rPr>
        <w:t>D</w:t>
      </w:r>
      <w:r w:rsidRPr="00DD511A">
        <w:rPr>
          <w:bCs/>
        </w:rPr>
        <w:t>etermin</w:t>
      </w:r>
      <w:r w:rsidR="00CF3B32" w:rsidRPr="00DD511A">
        <w:rPr>
          <w:bCs/>
        </w:rPr>
        <w:t>ing</w:t>
      </w:r>
      <w:r w:rsidRPr="00DD511A">
        <w:rPr>
          <w:bCs/>
        </w:rPr>
        <w:t xml:space="preserve"> whether a product or service is taxed in any given jurisdiction </w:t>
      </w:r>
      <w:r w:rsidR="004E232E" w:rsidRPr="00DD511A">
        <w:rPr>
          <w:bCs/>
        </w:rPr>
        <w:t>is not costless</w:t>
      </w:r>
      <w:r w:rsidRPr="00DD511A">
        <w:rPr>
          <w:bCs/>
        </w:rPr>
        <w:t>.</w:t>
      </w:r>
      <w:r w:rsidR="0073042B" w:rsidRPr="00DD511A">
        <w:rPr>
          <w:bCs/>
        </w:rPr>
        <w:t xml:space="preserve"> </w:t>
      </w:r>
      <w:r w:rsidRPr="00DD511A">
        <w:rPr>
          <w:bCs/>
        </w:rPr>
        <w:t>Firm</w:t>
      </w:r>
      <w:r w:rsidR="004E232E" w:rsidRPr="00DD511A">
        <w:rPr>
          <w:bCs/>
        </w:rPr>
        <w:t>s</w:t>
      </w:r>
      <w:r w:rsidR="0062070E" w:rsidRPr="00DD511A">
        <w:rPr>
          <w:bCs/>
        </w:rPr>
        <w:t xml:space="preserve"> already struggle to determine the</w:t>
      </w:r>
      <w:r w:rsidRPr="00DD511A">
        <w:rPr>
          <w:bCs/>
        </w:rPr>
        <w:t xml:space="preserve"> </w:t>
      </w:r>
      <w:r w:rsidR="0062070E" w:rsidRPr="00DD511A">
        <w:rPr>
          <w:bCs/>
        </w:rPr>
        <w:t xml:space="preserve">local </w:t>
      </w:r>
      <w:r w:rsidRPr="00DD511A">
        <w:rPr>
          <w:bCs/>
        </w:rPr>
        <w:t>sales tax rate</w:t>
      </w:r>
      <w:r w:rsidR="0062070E" w:rsidRPr="00DD511A">
        <w:rPr>
          <w:bCs/>
        </w:rPr>
        <w:t>s</w:t>
      </w:r>
      <w:r w:rsidRPr="00DD511A">
        <w:rPr>
          <w:bCs/>
        </w:rPr>
        <w:t xml:space="preserve"> </w:t>
      </w:r>
      <w:r w:rsidR="0062070E" w:rsidRPr="00DD511A">
        <w:rPr>
          <w:bCs/>
        </w:rPr>
        <w:t xml:space="preserve">that </w:t>
      </w:r>
      <w:r w:rsidRPr="00DD511A">
        <w:rPr>
          <w:bCs/>
        </w:rPr>
        <w:t>appl</w:t>
      </w:r>
      <w:r w:rsidR="0062070E" w:rsidRPr="00DD511A">
        <w:rPr>
          <w:bCs/>
        </w:rPr>
        <w:t>y</w:t>
      </w:r>
      <w:r w:rsidRPr="00DD511A">
        <w:rPr>
          <w:bCs/>
        </w:rPr>
        <w:t xml:space="preserve"> </w:t>
      </w:r>
      <w:r w:rsidR="0062070E" w:rsidRPr="00DD511A">
        <w:rPr>
          <w:bCs/>
        </w:rPr>
        <w:t>at different locations</w:t>
      </w:r>
      <w:r w:rsidR="00CF3B32" w:rsidRPr="00DD511A">
        <w:rPr>
          <w:bCs/>
        </w:rPr>
        <w:t>, and t</w:t>
      </w:r>
      <w:r w:rsidRPr="00DD511A">
        <w:rPr>
          <w:bCs/>
        </w:rPr>
        <w:t xml:space="preserve">hat </w:t>
      </w:r>
      <w:r w:rsidR="0062070E" w:rsidRPr="00DD511A">
        <w:rPr>
          <w:bCs/>
        </w:rPr>
        <w:t xml:space="preserve">problem </w:t>
      </w:r>
      <w:r w:rsidR="004E13D4" w:rsidRPr="00DD511A">
        <w:rPr>
          <w:bCs/>
        </w:rPr>
        <w:t>is</w:t>
      </w:r>
      <w:r w:rsidR="0062070E" w:rsidRPr="00DD511A">
        <w:rPr>
          <w:bCs/>
        </w:rPr>
        <w:t xml:space="preserve"> compounded if firms</w:t>
      </w:r>
      <w:r w:rsidRPr="00DD511A">
        <w:rPr>
          <w:bCs/>
        </w:rPr>
        <w:t xml:space="preserve"> also ha</w:t>
      </w:r>
      <w:r w:rsidR="004E13D4" w:rsidRPr="00DD511A">
        <w:rPr>
          <w:bCs/>
        </w:rPr>
        <w:t>ve</w:t>
      </w:r>
      <w:r w:rsidRPr="00DD511A">
        <w:rPr>
          <w:bCs/>
        </w:rPr>
        <w:t xml:space="preserve"> to determine wh</w:t>
      </w:r>
      <w:r w:rsidR="00730813" w:rsidRPr="00DD511A">
        <w:rPr>
          <w:bCs/>
        </w:rPr>
        <w:t>ich</w:t>
      </w:r>
      <w:r w:rsidR="0062070E" w:rsidRPr="00DD511A">
        <w:rPr>
          <w:bCs/>
        </w:rPr>
        <w:t xml:space="preserve"> products the tax applie</w:t>
      </w:r>
      <w:r w:rsidR="006468C5">
        <w:rPr>
          <w:bCs/>
        </w:rPr>
        <w:t>s in each town</w:t>
      </w:r>
      <w:r w:rsidR="0062070E" w:rsidRPr="00DD511A">
        <w:rPr>
          <w:bCs/>
        </w:rPr>
        <w:t>.</w:t>
      </w:r>
    </w:p>
    <w:p w14:paraId="358415F3" w14:textId="77777777" w:rsidR="00DD511A" w:rsidRDefault="00EA4D78" w:rsidP="0031678C">
      <w:pPr>
        <w:pStyle w:val="Heading3"/>
        <w:rPr>
          <w:b/>
        </w:rPr>
      </w:pPr>
      <w:bookmarkStart w:id="57" w:name="_Toc433373642"/>
      <w:r w:rsidRPr="00DD511A">
        <w:t>Sales Tax Rate</w:t>
      </w:r>
      <w:bookmarkEnd w:id="57"/>
    </w:p>
    <w:p w14:paraId="599F96B2" w14:textId="3ED5D945" w:rsidR="00A422B9" w:rsidRDefault="00EA4D78" w:rsidP="00D422A0">
      <w:pPr>
        <w:spacing w:after="0" w:line="360" w:lineRule="auto"/>
        <w:ind w:firstLine="720"/>
        <w:rPr>
          <w:color w:val="000000"/>
        </w:rPr>
      </w:pPr>
      <w:r w:rsidRPr="00DD511A">
        <w:rPr>
          <w:color w:val="000000"/>
        </w:rPr>
        <w:t xml:space="preserve">The state could require that all municipalities that adopt a sales tax impose the same tax rate, for example, </w:t>
      </w:r>
      <w:r w:rsidR="00981F02" w:rsidRPr="00DD511A">
        <w:rPr>
          <w:color w:val="000000"/>
        </w:rPr>
        <w:t xml:space="preserve">one </w:t>
      </w:r>
      <w:r w:rsidRPr="00DD511A">
        <w:rPr>
          <w:color w:val="000000"/>
        </w:rPr>
        <w:t>percent</w:t>
      </w:r>
      <w:r w:rsidR="00D36F00">
        <w:rPr>
          <w:color w:val="000000"/>
        </w:rPr>
        <w:t>, o</w:t>
      </w:r>
      <w:r w:rsidRPr="00DD511A">
        <w:rPr>
          <w:color w:val="000000"/>
        </w:rPr>
        <w:t xml:space="preserve">r the state could allow each municipality to adopt its own sales tax rate, or to choose from a set of possible rates, for example, 0.5 percent, 1 percent, or 1.5 </w:t>
      </w:r>
      <w:r w:rsidRPr="00DD511A">
        <w:rPr>
          <w:color w:val="000000"/>
        </w:rPr>
        <w:lastRenderedPageBreak/>
        <w:t xml:space="preserve">percent. Allowing cities to choose alternative rates will increase compliance costs. </w:t>
      </w:r>
      <w:r w:rsidR="00F7223B" w:rsidRPr="00DD511A">
        <w:rPr>
          <w:color w:val="000000"/>
        </w:rPr>
        <w:t>However, l</w:t>
      </w:r>
      <w:r w:rsidRPr="00DD511A">
        <w:rPr>
          <w:bCs/>
        </w:rPr>
        <w:t>imiting the sales tax rate to, say, one percent means that a local government that would prefer a tax rate of 0.5 percent has to choose between a zero percent (i.e., not having a sales tax), and a one percent sales tax rate. Actual practice varies across states.</w:t>
      </w:r>
    </w:p>
    <w:p w14:paraId="5DE5EF7E" w14:textId="4ABA17E0" w:rsidR="00DD511A" w:rsidRDefault="00257095" w:rsidP="0031678C">
      <w:pPr>
        <w:pStyle w:val="Heading3"/>
      </w:pPr>
      <w:bookmarkStart w:id="58" w:name="_Toc433373643"/>
      <w:r w:rsidRPr="00DD511A">
        <w:t>Situs of Sales</w:t>
      </w:r>
      <w:bookmarkEnd w:id="58"/>
    </w:p>
    <w:p w14:paraId="47027A08" w14:textId="7D2E2B81" w:rsidR="000C4C8A" w:rsidRPr="00DD511A" w:rsidRDefault="00257095" w:rsidP="00DD511A">
      <w:pPr>
        <w:spacing w:after="0" w:line="360" w:lineRule="auto"/>
        <w:ind w:firstLine="720"/>
        <w:rPr>
          <w:bCs/>
        </w:rPr>
      </w:pPr>
      <w:r w:rsidRPr="00DD511A">
        <w:rPr>
          <w:color w:val="000000"/>
        </w:rPr>
        <w:t>The sales tax could be based on where the sale occurred (origin basis) or where the product is used (destination basis).</w:t>
      </w:r>
      <w:r w:rsidR="0073042B" w:rsidRPr="00DD511A">
        <w:rPr>
          <w:color w:val="000000"/>
        </w:rPr>
        <w:t xml:space="preserve"> </w:t>
      </w:r>
      <w:r w:rsidR="000C4C8A" w:rsidRPr="00DD511A">
        <w:rPr>
          <w:color w:val="000000"/>
        </w:rPr>
        <w:t>State</w:t>
      </w:r>
      <w:r w:rsidR="00225A2E" w:rsidRPr="00DD511A">
        <w:rPr>
          <w:color w:val="000000"/>
        </w:rPr>
        <w:t xml:space="preserve"> sales tax</w:t>
      </w:r>
      <w:r w:rsidR="000C4C8A" w:rsidRPr="00DD511A">
        <w:rPr>
          <w:color w:val="000000"/>
        </w:rPr>
        <w:t>es</w:t>
      </w:r>
      <w:r w:rsidR="00225A2E" w:rsidRPr="00DD511A">
        <w:rPr>
          <w:color w:val="000000"/>
        </w:rPr>
        <w:t xml:space="preserve"> </w:t>
      </w:r>
      <w:r w:rsidR="00F7223B" w:rsidRPr="00DD511A">
        <w:rPr>
          <w:color w:val="000000"/>
        </w:rPr>
        <w:t>are generally</w:t>
      </w:r>
      <w:r w:rsidR="00225A2E" w:rsidRPr="00DD511A">
        <w:rPr>
          <w:color w:val="000000"/>
        </w:rPr>
        <w:t xml:space="preserve"> imposed on a destination basis. </w:t>
      </w:r>
      <w:r w:rsidRPr="00DD511A">
        <w:rPr>
          <w:color w:val="000000"/>
        </w:rPr>
        <w:t>Thus,</w:t>
      </w:r>
      <w:r w:rsidR="00225A2E" w:rsidRPr="00DD511A">
        <w:rPr>
          <w:color w:val="000000"/>
        </w:rPr>
        <w:t xml:space="preserve"> </w:t>
      </w:r>
      <w:r w:rsidRPr="00DD511A">
        <w:rPr>
          <w:color w:val="000000"/>
        </w:rPr>
        <w:t xml:space="preserve">if the good or service is delivered, the transaction is assumed to have occurred where </w:t>
      </w:r>
      <w:r w:rsidR="00525016" w:rsidRPr="00DD511A">
        <w:rPr>
          <w:color w:val="000000"/>
        </w:rPr>
        <w:t xml:space="preserve">the product is </w:t>
      </w:r>
      <w:r w:rsidRPr="00DD511A">
        <w:rPr>
          <w:color w:val="000000"/>
        </w:rPr>
        <w:t xml:space="preserve">delivered. </w:t>
      </w:r>
      <w:r w:rsidR="000C4C8A" w:rsidRPr="00DD511A">
        <w:rPr>
          <w:color w:val="000000"/>
        </w:rPr>
        <w:t>Residents who purchase a product out</w:t>
      </w:r>
      <w:r w:rsidR="004E13D4" w:rsidRPr="00DD511A">
        <w:rPr>
          <w:color w:val="000000"/>
        </w:rPr>
        <w:t>-</w:t>
      </w:r>
      <w:r w:rsidR="000C4C8A" w:rsidRPr="00DD511A">
        <w:rPr>
          <w:color w:val="000000"/>
        </w:rPr>
        <w:t>of</w:t>
      </w:r>
      <w:r w:rsidR="004E13D4" w:rsidRPr="00DD511A">
        <w:rPr>
          <w:color w:val="000000"/>
        </w:rPr>
        <w:t>-</w:t>
      </w:r>
      <w:r w:rsidR="000C4C8A" w:rsidRPr="00DD511A">
        <w:rPr>
          <w:color w:val="000000"/>
        </w:rPr>
        <w:t>state, for example</w:t>
      </w:r>
      <w:r w:rsidR="004E13D4" w:rsidRPr="00DD511A">
        <w:rPr>
          <w:color w:val="000000"/>
        </w:rPr>
        <w:t>,</w:t>
      </w:r>
      <w:r w:rsidR="000C4C8A" w:rsidRPr="00DD511A">
        <w:rPr>
          <w:color w:val="000000"/>
        </w:rPr>
        <w:t xml:space="preserve"> a book from Amazon</w:t>
      </w:r>
      <w:r w:rsidR="004E13D4" w:rsidRPr="00DD511A">
        <w:rPr>
          <w:color w:val="000000"/>
        </w:rPr>
        <w:t>,</w:t>
      </w:r>
      <w:r w:rsidR="000C4C8A" w:rsidRPr="00DD511A">
        <w:rPr>
          <w:color w:val="000000"/>
        </w:rPr>
        <w:t xml:space="preserve"> are legally required to pay a use tax</w:t>
      </w:r>
      <w:r w:rsidR="004E13D4" w:rsidRPr="00DD511A">
        <w:rPr>
          <w:color w:val="000000"/>
        </w:rPr>
        <w:t xml:space="preserve"> to their home state</w:t>
      </w:r>
      <w:r w:rsidR="00F7223B" w:rsidRPr="00DD511A">
        <w:rPr>
          <w:color w:val="000000"/>
        </w:rPr>
        <w:t>.</w:t>
      </w:r>
      <w:r w:rsidR="000C4C8A" w:rsidRPr="00DD511A">
        <w:rPr>
          <w:color w:val="000000"/>
        </w:rPr>
        <w:t xml:space="preserve"> </w:t>
      </w:r>
    </w:p>
    <w:p w14:paraId="0E09E300" w14:textId="1DF6432B" w:rsidR="00257095" w:rsidRPr="00257095" w:rsidRDefault="000C4C8A" w:rsidP="00495617">
      <w:pPr>
        <w:spacing w:after="0" w:line="360" w:lineRule="auto"/>
        <w:ind w:firstLine="720"/>
        <w:rPr>
          <w:bCs/>
        </w:rPr>
      </w:pPr>
      <w:r w:rsidRPr="00DD511A">
        <w:rPr>
          <w:color w:val="000000"/>
        </w:rPr>
        <w:t xml:space="preserve">Using </w:t>
      </w:r>
      <w:r w:rsidR="004E13D4" w:rsidRPr="00DD511A">
        <w:rPr>
          <w:color w:val="000000"/>
        </w:rPr>
        <w:t xml:space="preserve">the </w:t>
      </w:r>
      <w:r w:rsidRPr="00DD511A">
        <w:rPr>
          <w:color w:val="000000"/>
        </w:rPr>
        <w:t>destination basis for siting sales fo</w:t>
      </w:r>
      <w:r w:rsidR="006B6B2D" w:rsidRPr="00DD511A">
        <w:rPr>
          <w:color w:val="000000"/>
        </w:rPr>
        <w:t xml:space="preserve">r local sales taxes imposes heavy demands on the vendor to determine the tax rate </w:t>
      </w:r>
      <w:r w:rsidR="00F7223B" w:rsidRPr="00DD511A">
        <w:rPr>
          <w:color w:val="000000"/>
        </w:rPr>
        <w:t xml:space="preserve">at </w:t>
      </w:r>
      <w:r w:rsidR="006B6B2D" w:rsidRPr="00DD511A">
        <w:rPr>
          <w:color w:val="000000"/>
        </w:rPr>
        <w:t xml:space="preserve">the point of delivery and </w:t>
      </w:r>
      <w:r w:rsidR="00F7223B" w:rsidRPr="00DD511A">
        <w:rPr>
          <w:color w:val="000000"/>
        </w:rPr>
        <w:t xml:space="preserve">to </w:t>
      </w:r>
      <w:r w:rsidR="006B6B2D" w:rsidRPr="00DD511A">
        <w:rPr>
          <w:color w:val="000000"/>
        </w:rPr>
        <w:t>maintain records of sales for each destination site</w:t>
      </w:r>
      <w:r w:rsidRPr="00DD511A">
        <w:rPr>
          <w:color w:val="000000"/>
        </w:rPr>
        <w:t>.</w:t>
      </w:r>
      <w:r w:rsidR="0073042B" w:rsidRPr="00DD511A">
        <w:rPr>
          <w:color w:val="000000"/>
        </w:rPr>
        <w:t xml:space="preserve"> </w:t>
      </w:r>
      <w:r w:rsidR="006B6B2D" w:rsidRPr="00DD511A">
        <w:rPr>
          <w:bCs/>
        </w:rPr>
        <w:t>If the tax is origin base there is an incentive for the vendor to locate in the municipality with a low local sales tax</w:t>
      </w:r>
      <w:r w:rsidR="00346721">
        <w:rPr>
          <w:bCs/>
        </w:rPr>
        <w:t xml:space="preserve"> rate</w:t>
      </w:r>
      <w:r w:rsidR="006B6B2D" w:rsidRPr="00DD511A">
        <w:rPr>
          <w:bCs/>
        </w:rPr>
        <w:t xml:space="preserve">; such an incentive does not exist when the tax is based on destination. </w:t>
      </w:r>
      <w:r w:rsidR="006B6B2D" w:rsidRPr="00DD511A">
        <w:rPr>
          <w:color w:val="000000"/>
        </w:rPr>
        <w:t xml:space="preserve">States are split between the two options. In states that use origin as the basis for the </w:t>
      </w:r>
      <w:r w:rsidR="00E80642">
        <w:rPr>
          <w:color w:val="000000"/>
        </w:rPr>
        <w:t xml:space="preserve">local sales </w:t>
      </w:r>
      <w:r w:rsidR="006B6B2D" w:rsidRPr="00DD511A">
        <w:rPr>
          <w:color w:val="000000"/>
        </w:rPr>
        <w:t>tax, e</w:t>
      </w:r>
      <w:r w:rsidRPr="00DD511A">
        <w:rPr>
          <w:color w:val="000000"/>
        </w:rPr>
        <w:t xml:space="preserve">xceptions are made </w:t>
      </w:r>
      <w:r w:rsidR="00F7223B" w:rsidRPr="00DD511A">
        <w:rPr>
          <w:color w:val="000000"/>
        </w:rPr>
        <w:t xml:space="preserve">for </w:t>
      </w:r>
      <w:r w:rsidR="006B6B2D" w:rsidRPr="00DD511A">
        <w:rPr>
          <w:color w:val="000000"/>
        </w:rPr>
        <w:t xml:space="preserve">sales such as automobile purchases so that </w:t>
      </w:r>
      <w:r w:rsidRPr="00DD511A">
        <w:rPr>
          <w:color w:val="000000"/>
        </w:rPr>
        <w:t>the situs is the residence of the buyer</w:t>
      </w:r>
      <w:r w:rsidR="00F7223B" w:rsidRPr="00DD511A">
        <w:rPr>
          <w:color w:val="000000"/>
        </w:rPr>
        <w:t>, thereby eliminating the location incentive</w:t>
      </w:r>
      <w:r w:rsidR="00730813" w:rsidRPr="00DD511A">
        <w:rPr>
          <w:color w:val="000000"/>
        </w:rPr>
        <w:t xml:space="preserve"> for auto dealers</w:t>
      </w:r>
      <w:r w:rsidR="00257095" w:rsidRPr="00DD511A">
        <w:rPr>
          <w:color w:val="000000"/>
        </w:rPr>
        <w:t>.</w:t>
      </w:r>
      <w:r w:rsidR="00CF3B32" w:rsidRPr="00DD511A">
        <w:rPr>
          <w:color w:val="000000"/>
        </w:rPr>
        <w:t xml:space="preserve"> </w:t>
      </w:r>
    </w:p>
    <w:p w14:paraId="58B4DE06" w14:textId="77777777" w:rsidR="00DD511A" w:rsidRDefault="00556E63" w:rsidP="0031678C">
      <w:pPr>
        <w:pStyle w:val="Heading3"/>
      </w:pPr>
      <w:bookmarkStart w:id="59" w:name="_Toc433373644"/>
      <w:r w:rsidRPr="00DD511A">
        <w:t xml:space="preserve">Optional versus </w:t>
      </w:r>
      <w:r w:rsidR="009E2923" w:rsidRPr="00DD511A">
        <w:t>M</w:t>
      </w:r>
      <w:r w:rsidRPr="00DD511A">
        <w:t>andate</w:t>
      </w:r>
      <w:r w:rsidR="009E2923" w:rsidRPr="00DD511A">
        <w:t>d Sales Tax</w:t>
      </w:r>
      <w:bookmarkEnd w:id="59"/>
    </w:p>
    <w:p w14:paraId="23E6C4BE" w14:textId="1CE7F112" w:rsidR="00A422B9" w:rsidRPr="00A422B9" w:rsidRDefault="00556E63" w:rsidP="00495617">
      <w:pPr>
        <w:spacing w:after="0" w:line="360" w:lineRule="auto"/>
        <w:ind w:firstLine="720"/>
        <w:rPr>
          <w:color w:val="000000"/>
        </w:rPr>
      </w:pPr>
      <w:r w:rsidRPr="00DD511A">
        <w:rPr>
          <w:color w:val="000000"/>
        </w:rPr>
        <w:t xml:space="preserve">The state could require that a sales tax </w:t>
      </w:r>
      <w:r w:rsidR="00753C1E" w:rsidRPr="00DD511A">
        <w:rPr>
          <w:color w:val="000000"/>
        </w:rPr>
        <w:t xml:space="preserve">of a fixed tax rate </w:t>
      </w:r>
      <w:r w:rsidRPr="00DD511A">
        <w:rPr>
          <w:color w:val="000000"/>
        </w:rPr>
        <w:t xml:space="preserve">be adopted by each </w:t>
      </w:r>
      <w:r w:rsidR="00CF3B32" w:rsidRPr="00DD511A">
        <w:rPr>
          <w:color w:val="000000"/>
        </w:rPr>
        <w:t>municipality</w:t>
      </w:r>
      <w:r w:rsidR="00D36F00">
        <w:rPr>
          <w:color w:val="000000"/>
        </w:rPr>
        <w:t>; this would be equivalent to a state grant with revenues distributed on a situs collection basis. O</w:t>
      </w:r>
      <w:r w:rsidRPr="00DD511A">
        <w:rPr>
          <w:color w:val="000000"/>
        </w:rPr>
        <w:t>r</w:t>
      </w:r>
      <w:r w:rsidR="00D36F00">
        <w:rPr>
          <w:color w:val="000000"/>
        </w:rPr>
        <w:t>,</w:t>
      </w:r>
      <w:r w:rsidRPr="00DD511A">
        <w:rPr>
          <w:color w:val="000000"/>
        </w:rPr>
        <w:t xml:space="preserve"> it could allow each </w:t>
      </w:r>
      <w:r w:rsidR="00CF3B32" w:rsidRPr="00DD511A">
        <w:rPr>
          <w:color w:val="000000"/>
        </w:rPr>
        <w:t>municipality</w:t>
      </w:r>
      <w:r w:rsidRPr="00DD511A">
        <w:rPr>
          <w:color w:val="000000"/>
        </w:rPr>
        <w:t xml:space="preserve"> to decide whether to adopt a sales tax.</w:t>
      </w:r>
      <w:r w:rsidR="0073042B" w:rsidRPr="00DD511A">
        <w:rPr>
          <w:color w:val="000000"/>
        </w:rPr>
        <w:t xml:space="preserve"> </w:t>
      </w:r>
      <w:r w:rsidR="00753C1E" w:rsidRPr="00DD511A">
        <w:rPr>
          <w:color w:val="000000"/>
        </w:rPr>
        <w:t xml:space="preserve">Mandating that all </w:t>
      </w:r>
      <w:r w:rsidR="00CF3B32" w:rsidRPr="00DD511A">
        <w:rPr>
          <w:color w:val="000000"/>
        </w:rPr>
        <w:t>municipalities</w:t>
      </w:r>
      <w:r w:rsidR="00753C1E" w:rsidRPr="00DD511A">
        <w:rPr>
          <w:color w:val="000000"/>
        </w:rPr>
        <w:t xml:space="preserve"> adopt a sales tax with the same tax rate would mean that the sales tax rate would be uniform across the state, which reduces administrative and compliance costs.</w:t>
      </w:r>
      <w:r w:rsidR="0073042B" w:rsidRPr="00DD511A">
        <w:rPr>
          <w:color w:val="000000"/>
        </w:rPr>
        <w:t xml:space="preserve"> </w:t>
      </w:r>
      <w:r w:rsidR="00525016" w:rsidRPr="00DD511A">
        <w:rPr>
          <w:color w:val="000000"/>
        </w:rPr>
        <w:t>However, t</w:t>
      </w:r>
      <w:r w:rsidR="00753C1E" w:rsidRPr="00DD511A">
        <w:rPr>
          <w:color w:val="000000"/>
        </w:rPr>
        <w:t xml:space="preserve">his benefit would come at the expense of fiscal freedom on the part of the cities to set their own tax structure. </w:t>
      </w:r>
      <w:r w:rsidR="00EA4D78" w:rsidRPr="00DD511A">
        <w:rPr>
          <w:color w:val="000000"/>
        </w:rPr>
        <w:t>In most states, the local sales tax is a local government option.</w:t>
      </w:r>
    </w:p>
    <w:p w14:paraId="686FDBBF" w14:textId="77777777" w:rsidR="00DD511A" w:rsidRDefault="00C0760E" w:rsidP="0031678C">
      <w:pPr>
        <w:pStyle w:val="Heading3"/>
      </w:pPr>
      <w:bookmarkStart w:id="60" w:name="_Toc433373645"/>
      <w:r w:rsidRPr="00DD511A">
        <w:t>Should a Referendum Be Required</w:t>
      </w:r>
      <w:r w:rsidR="00225A2E" w:rsidRPr="00DD511A">
        <w:t>?</w:t>
      </w:r>
      <w:bookmarkEnd w:id="60"/>
      <w:r w:rsidR="0073042B" w:rsidRPr="00DD511A">
        <w:t xml:space="preserve"> </w:t>
      </w:r>
    </w:p>
    <w:p w14:paraId="5380D027" w14:textId="4D81D319" w:rsidR="00A422B9" w:rsidRDefault="00D96D29" w:rsidP="00495617">
      <w:pPr>
        <w:spacing w:after="0" w:line="360" w:lineRule="auto"/>
        <w:ind w:firstLine="720"/>
        <w:rPr>
          <w:color w:val="000000"/>
        </w:rPr>
      </w:pPr>
      <w:r w:rsidRPr="00DD511A">
        <w:rPr>
          <w:color w:val="000000"/>
        </w:rPr>
        <w:t xml:space="preserve">The state needs to determine whether the municipality’s elected officials can adopt a sales tax on their own or whether to require voter approval through a referendum. This is a political and not an economic issue; the choice depends </w:t>
      </w:r>
      <w:r w:rsidR="00EA4D78" w:rsidRPr="00DD511A">
        <w:rPr>
          <w:color w:val="000000"/>
        </w:rPr>
        <w:t xml:space="preserve">at least in part </w:t>
      </w:r>
      <w:r w:rsidRPr="00DD511A">
        <w:rPr>
          <w:color w:val="000000"/>
        </w:rPr>
        <w:t>on whether the state believes that voters should have a direct rather than an indirect say in setting a municipality’s tax structure.</w:t>
      </w:r>
      <w:r w:rsidR="00EA4D78" w:rsidRPr="00DD511A">
        <w:rPr>
          <w:color w:val="000000"/>
        </w:rPr>
        <w:t xml:space="preserve"> The general practice is to require a referendum, although there are exceptions.</w:t>
      </w:r>
    </w:p>
    <w:p w14:paraId="1E4123A2" w14:textId="77777777" w:rsidR="00DD511A" w:rsidRDefault="00E47E6D" w:rsidP="0031678C">
      <w:pPr>
        <w:pStyle w:val="Heading3"/>
      </w:pPr>
      <w:bookmarkStart w:id="61" w:name="_Toc433373646"/>
      <w:r w:rsidRPr="00DD511A">
        <w:lastRenderedPageBreak/>
        <w:t xml:space="preserve">Who </w:t>
      </w:r>
      <w:r w:rsidR="003D4E5E" w:rsidRPr="00DD511A">
        <w:t xml:space="preserve">Should </w:t>
      </w:r>
      <w:r w:rsidR="00CF3B32" w:rsidRPr="00DD511A">
        <w:t>Administer the Local Sales Tax</w:t>
      </w:r>
      <w:r w:rsidRPr="00DD511A">
        <w:t>?</w:t>
      </w:r>
      <w:bookmarkEnd w:id="61"/>
      <w:r w:rsidR="0073042B" w:rsidRPr="00DD511A">
        <w:t xml:space="preserve"> </w:t>
      </w:r>
    </w:p>
    <w:p w14:paraId="218A3FF2" w14:textId="16625E6F" w:rsidR="00A422B9" w:rsidRPr="00A422B9" w:rsidRDefault="00C0760E" w:rsidP="00495617">
      <w:pPr>
        <w:spacing w:after="0" w:line="360" w:lineRule="auto"/>
        <w:ind w:firstLine="720"/>
        <w:rPr>
          <w:color w:val="000000"/>
        </w:rPr>
      </w:pPr>
      <w:r w:rsidRPr="00DD511A">
        <w:rPr>
          <w:color w:val="000000"/>
        </w:rPr>
        <w:t>C</w:t>
      </w:r>
      <w:r w:rsidR="00AF737D" w:rsidRPr="00DD511A">
        <w:rPr>
          <w:color w:val="000000"/>
        </w:rPr>
        <w:t>ollecting</w:t>
      </w:r>
      <w:r w:rsidR="003D4E5E" w:rsidRPr="00DD511A">
        <w:rPr>
          <w:color w:val="000000"/>
        </w:rPr>
        <w:t xml:space="preserve"> sales tax revenue</w:t>
      </w:r>
      <w:r w:rsidRPr="00DD511A">
        <w:rPr>
          <w:color w:val="000000"/>
        </w:rPr>
        <w:t>, and generally enforcing compliance with the</w:t>
      </w:r>
      <w:r w:rsidR="00AF737D" w:rsidRPr="00DD511A">
        <w:rPr>
          <w:color w:val="000000"/>
        </w:rPr>
        <w:t xml:space="preserve"> </w:t>
      </w:r>
      <w:r w:rsidR="003D4E5E" w:rsidRPr="00DD511A">
        <w:rPr>
          <w:color w:val="000000"/>
        </w:rPr>
        <w:t xml:space="preserve">tax, </w:t>
      </w:r>
      <w:r w:rsidR="00AF737D" w:rsidRPr="00DD511A">
        <w:rPr>
          <w:color w:val="000000"/>
        </w:rPr>
        <w:t xml:space="preserve">could be done by the state or by each </w:t>
      </w:r>
      <w:r w:rsidR="00CF3B32" w:rsidRPr="00DD511A">
        <w:rPr>
          <w:color w:val="000000"/>
        </w:rPr>
        <w:t>municipality</w:t>
      </w:r>
      <w:r w:rsidR="00AF737D" w:rsidRPr="00DD511A">
        <w:rPr>
          <w:color w:val="000000"/>
        </w:rPr>
        <w:t xml:space="preserve">. </w:t>
      </w:r>
      <w:r w:rsidR="003D4E5E" w:rsidRPr="00DD511A">
        <w:rPr>
          <w:color w:val="000000"/>
        </w:rPr>
        <w:t>The</w:t>
      </w:r>
      <w:r w:rsidR="00AF737D" w:rsidRPr="00DD511A">
        <w:rPr>
          <w:color w:val="000000"/>
        </w:rPr>
        <w:t xml:space="preserve"> administrative costs would be lower if the state collect</w:t>
      </w:r>
      <w:r w:rsidR="003D4E5E" w:rsidRPr="00DD511A">
        <w:rPr>
          <w:color w:val="000000"/>
        </w:rPr>
        <w:t>ed</w:t>
      </w:r>
      <w:r w:rsidR="00AF737D" w:rsidRPr="00DD511A">
        <w:rPr>
          <w:color w:val="000000"/>
        </w:rPr>
        <w:t xml:space="preserve"> local sales tax</w:t>
      </w:r>
      <w:r w:rsidR="003D4E5E" w:rsidRPr="00DD511A">
        <w:rPr>
          <w:color w:val="000000"/>
        </w:rPr>
        <w:t>es as part of</w:t>
      </w:r>
      <w:r w:rsidR="00AF737D" w:rsidRPr="00DD511A">
        <w:rPr>
          <w:color w:val="000000"/>
        </w:rPr>
        <w:t xml:space="preserve"> its current sales tax collection</w:t>
      </w:r>
      <w:r w:rsidR="003D4E5E" w:rsidRPr="00DD511A">
        <w:rPr>
          <w:color w:val="000000"/>
        </w:rPr>
        <w:t xml:space="preserve"> responsibilities. </w:t>
      </w:r>
      <w:r w:rsidR="00A10708" w:rsidRPr="00DD511A">
        <w:rPr>
          <w:color w:val="000000"/>
        </w:rPr>
        <w:t>This would be particularly true for municipalities with small sales tax bases.</w:t>
      </w:r>
      <w:r w:rsidR="0073042B" w:rsidRPr="00DD511A">
        <w:rPr>
          <w:color w:val="000000"/>
        </w:rPr>
        <w:t xml:space="preserve"> </w:t>
      </w:r>
      <w:r w:rsidR="003D4E5E" w:rsidRPr="00DD511A">
        <w:rPr>
          <w:color w:val="000000"/>
        </w:rPr>
        <w:t xml:space="preserve">However, it is possible </w:t>
      </w:r>
      <w:r w:rsidR="00AF737D" w:rsidRPr="00DD511A">
        <w:rPr>
          <w:color w:val="000000"/>
        </w:rPr>
        <w:t xml:space="preserve">that local governments might be more aggressive in collecting </w:t>
      </w:r>
      <w:r w:rsidRPr="00DD511A">
        <w:rPr>
          <w:color w:val="000000"/>
        </w:rPr>
        <w:t xml:space="preserve">and enforcing </w:t>
      </w:r>
      <w:r w:rsidR="003D4E5E" w:rsidRPr="00DD511A">
        <w:rPr>
          <w:color w:val="000000"/>
        </w:rPr>
        <w:t xml:space="preserve">local </w:t>
      </w:r>
      <w:r w:rsidR="00AF737D" w:rsidRPr="00DD511A">
        <w:rPr>
          <w:color w:val="000000"/>
        </w:rPr>
        <w:t>sales taxes since they are more directly affected by the collection rate.</w:t>
      </w:r>
      <w:r w:rsidR="00F64FC2" w:rsidRPr="00DD511A">
        <w:rPr>
          <w:color w:val="000000"/>
        </w:rPr>
        <w:t xml:space="preserve"> </w:t>
      </w:r>
      <w:r w:rsidR="00602969" w:rsidRPr="00DD511A">
        <w:rPr>
          <w:color w:val="000000"/>
        </w:rPr>
        <w:t>Local administration</w:t>
      </w:r>
      <w:r w:rsidR="00A10708" w:rsidRPr="00DD511A">
        <w:rPr>
          <w:color w:val="000000"/>
        </w:rPr>
        <w:t xml:space="preserve"> would require </w:t>
      </w:r>
      <w:r w:rsidR="00602969" w:rsidRPr="00DD511A">
        <w:rPr>
          <w:color w:val="000000"/>
        </w:rPr>
        <w:t>that the town employ a staff with the requisite skills, including the</w:t>
      </w:r>
      <w:r w:rsidR="00A10708" w:rsidRPr="00DD511A">
        <w:rPr>
          <w:color w:val="000000"/>
        </w:rPr>
        <w:t xml:space="preserve"> ab</w:t>
      </w:r>
      <w:r w:rsidR="00DD511A">
        <w:rPr>
          <w:color w:val="000000"/>
        </w:rPr>
        <w:t xml:space="preserve">ility </w:t>
      </w:r>
      <w:r w:rsidR="00A10708" w:rsidRPr="00DD511A">
        <w:rPr>
          <w:color w:val="000000"/>
        </w:rPr>
        <w:t xml:space="preserve">to conduct </w:t>
      </w:r>
      <w:r w:rsidR="006468C5">
        <w:rPr>
          <w:color w:val="000000"/>
        </w:rPr>
        <w:t xml:space="preserve">sales tax </w:t>
      </w:r>
      <w:r w:rsidR="00A10708" w:rsidRPr="00DD511A">
        <w:rPr>
          <w:color w:val="000000"/>
        </w:rPr>
        <w:t xml:space="preserve">audits. </w:t>
      </w:r>
      <w:r w:rsidRPr="00DD511A">
        <w:rPr>
          <w:color w:val="000000"/>
        </w:rPr>
        <w:t>W</w:t>
      </w:r>
      <w:r w:rsidR="00F64FC2" w:rsidRPr="00DD511A">
        <w:rPr>
          <w:color w:val="000000"/>
        </w:rPr>
        <w:t>hile there are some issues</w:t>
      </w:r>
      <w:r w:rsidRPr="00DD511A">
        <w:rPr>
          <w:color w:val="000000"/>
        </w:rPr>
        <w:t xml:space="preserve"> associated with state administration of local sales taxes, </w:t>
      </w:r>
      <w:r w:rsidR="00CF3B32" w:rsidRPr="004107A5">
        <w:t>Due and Mikesell</w:t>
      </w:r>
      <w:r w:rsidR="00CF3B32">
        <w:t xml:space="preserve"> (</w:t>
      </w:r>
      <w:r w:rsidR="00CF3B32" w:rsidRPr="004107A5">
        <w:t>1994</w:t>
      </w:r>
      <w:r w:rsidR="00CF3B32">
        <w:t xml:space="preserve">) suggest </w:t>
      </w:r>
      <w:r w:rsidRPr="00DD511A">
        <w:rPr>
          <w:color w:val="000000"/>
        </w:rPr>
        <w:t>these issues</w:t>
      </w:r>
      <w:r w:rsidR="00F64FC2" w:rsidRPr="00DD511A">
        <w:rPr>
          <w:color w:val="000000"/>
        </w:rPr>
        <w:t xml:space="preserve"> are not overwhelming</w:t>
      </w:r>
      <w:r w:rsidR="006468C5">
        <w:rPr>
          <w:color w:val="000000"/>
        </w:rPr>
        <w:t>; most tax policy experts argue for state administration of local sales taxes</w:t>
      </w:r>
      <w:r w:rsidR="00F64FC2" w:rsidRPr="00DD511A">
        <w:rPr>
          <w:color w:val="000000"/>
        </w:rPr>
        <w:t>.</w:t>
      </w:r>
      <w:r w:rsidR="00A10708" w:rsidRPr="00DD511A">
        <w:rPr>
          <w:color w:val="000000"/>
        </w:rPr>
        <w:t xml:space="preserve"> Some of the issue</w:t>
      </w:r>
      <w:r w:rsidR="00E80642">
        <w:rPr>
          <w:color w:val="000000"/>
        </w:rPr>
        <w:t>s</w:t>
      </w:r>
      <w:r w:rsidR="00A10708" w:rsidRPr="00DD511A">
        <w:rPr>
          <w:color w:val="000000"/>
        </w:rPr>
        <w:t xml:space="preserve"> with state administration concern the timeliness of the transfer of tax collections to the local government, whether the state audits </w:t>
      </w:r>
      <w:r w:rsidR="00602969" w:rsidRPr="00DD511A">
        <w:rPr>
          <w:color w:val="000000"/>
        </w:rPr>
        <w:t xml:space="preserve">vendors </w:t>
      </w:r>
      <w:r w:rsidR="00A10708" w:rsidRPr="00DD511A">
        <w:rPr>
          <w:color w:val="000000"/>
        </w:rPr>
        <w:t xml:space="preserve">to </w:t>
      </w:r>
      <w:r w:rsidR="00E80642">
        <w:rPr>
          <w:color w:val="000000"/>
        </w:rPr>
        <w:t>en</w:t>
      </w:r>
      <w:r w:rsidR="00A10708" w:rsidRPr="00DD511A">
        <w:rPr>
          <w:color w:val="000000"/>
        </w:rPr>
        <w:t xml:space="preserve">sure that vendors have paid the required local sales tax, </w:t>
      </w:r>
      <w:r w:rsidR="00A5507B" w:rsidRPr="00DD511A">
        <w:rPr>
          <w:color w:val="000000"/>
        </w:rPr>
        <w:t xml:space="preserve">and </w:t>
      </w:r>
      <w:r w:rsidR="00A10708" w:rsidRPr="00DD511A">
        <w:rPr>
          <w:color w:val="000000"/>
        </w:rPr>
        <w:t xml:space="preserve">how to allocate sales tax collections that are less than the total </w:t>
      </w:r>
      <w:r w:rsidR="00F7223B" w:rsidRPr="00DD511A">
        <w:rPr>
          <w:color w:val="000000"/>
        </w:rPr>
        <w:t xml:space="preserve">(state plus local) </w:t>
      </w:r>
      <w:r w:rsidR="00A10708" w:rsidRPr="00DD511A">
        <w:rPr>
          <w:color w:val="000000"/>
        </w:rPr>
        <w:t>sales tax liability</w:t>
      </w:r>
      <w:r w:rsidR="00A5507B" w:rsidRPr="00DD511A">
        <w:rPr>
          <w:color w:val="000000"/>
        </w:rPr>
        <w:t xml:space="preserve"> or when the location of the sale is not provided. </w:t>
      </w:r>
      <w:r w:rsidR="00A10708" w:rsidRPr="00DD511A">
        <w:rPr>
          <w:color w:val="000000"/>
        </w:rPr>
        <w:t>In most states, the state administers local sales taxes, although Louisiana is an exception.</w:t>
      </w:r>
      <w:r w:rsidR="00602969" w:rsidRPr="00DD511A">
        <w:rPr>
          <w:color w:val="000000"/>
        </w:rPr>
        <w:t xml:space="preserve"> </w:t>
      </w:r>
    </w:p>
    <w:p w14:paraId="32AFCFDE" w14:textId="77777777" w:rsidR="00DD511A" w:rsidRDefault="00C0760E" w:rsidP="0031678C">
      <w:pPr>
        <w:pStyle w:val="Heading3"/>
        <w:rPr>
          <w:b/>
        </w:rPr>
      </w:pPr>
      <w:bookmarkStart w:id="62" w:name="_Toc433373647"/>
      <w:r w:rsidRPr="00DD511A">
        <w:t>Use of t</w:t>
      </w:r>
      <w:r w:rsidR="005C22CE" w:rsidRPr="00DD511A">
        <w:t xml:space="preserve">he </w:t>
      </w:r>
      <w:r w:rsidRPr="00DD511A">
        <w:t>R</w:t>
      </w:r>
      <w:r w:rsidR="005C22CE" w:rsidRPr="00DD511A">
        <w:t>evenue</w:t>
      </w:r>
      <w:bookmarkEnd w:id="62"/>
    </w:p>
    <w:p w14:paraId="783A49A1" w14:textId="6E9C67BD" w:rsidR="003D4E5E" w:rsidRPr="00DD511A" w:rsidRDefault="005C22CE" w:rsidP="00DD511A">
      <w:pPr>
        <w:spacing w:after="0" w:line="360" w:lineRule="auto"/>
        <w:ind w:firstLine="720"/>
        <w:rPr>
          <w:color w:val="000000"/>
        </w:rPr>
      </w:pPr>
      <w:r w:rsidRPr="00DD511A">
        <w:rPr>
          <w:color w:val="000000"/>
        </w:rPr>
        <w:t xml:space="preserve">The state can specify that the sales tax revenue can be used </w:t>
      </w:r>
      <w:r w:rsidR="00C0760E" w:rsidRPr="00DD511A">
        <w:rPr>
          <w:color w:val="000000"/>
        </w:rPr>
        <w:t xml:space="preserve">only </w:t>
      </w:r>
      <w:r w:rsidRPr="00DD511A">
        <w:rPr>
          <w:color w:val="000000"/>
        </w:rPr>
        <w:t xml:space="preserve">for specific purposes, or allow the revenue to be used </w:t>
      </w:r>
      <w:r w:rsidR="00A26C7A" w:rsidRPr="00DD511A">
        <w:rPr>
          <w:color w:val="000000"/>
        </w:rPr>
        <w:t>to fund</w:t>
      </w:r>
      <w:r w:rsidRPr="00DD511A">
        <w:rPr>
          <w:color w:val="000000"/>
        </w:rPr>
        <w:t xml:space="preserve"> any </w:t>
      </w:r>
      <w:r w:rsidR="006468C5">
        <w:rPr>
          <w:color w:val="000000"/>
        </w:rPr>
        <w:t xml:space="preserve">government </w:t>
      </w:r>
      <w:r w:rsidRPr="00DD511A">
        <w:rPr>
          <w:color w:val="000000"/>
        </w:rPr>
        <w:t xml:space="preserve">activity allowed by law. </w:t>
      </w:r>
      <w:r w:rsidR="003D4E5E" w:rsidRPr="00DD511A">
        <w:rPr>
          <w:bCs/>
        </w:rPr>
        <w:t>Typically sales tax revenue is earmarked for specific services or categories of services.</w:t>
      </w:r>
      <w:r w:rsidR="0073042B" w:rsidRPr="00DD511A">
        <w:rPr>
          <w:bCs/>
        </w:rPr>
        <w:t xml:space="preserve"> </w:t>
      </w:r>
      <w:r w:rsidRPr="00DD511A">
        <w:rPr>
          <w:color w:val="000000"/>
        </w:rPr>
        <w:t xml:space="preserve">This is a political issue relating to how much authority and freedom </w:t>
      </w:r>
      <w:r w:rsidR="004E13D4" w:rsidRPr="00DD511A">
        <w:rPr>
          <w:color w:val="000000"/>
        </w:rPr>
        <w:t>local</w:t>
      </w:r>
      <w:r w:rsidRPr="00DD511A">
        <w:rPr>
          <w:color w:val="000000"/>
        </w:rPr>
        <w:t xml:space="preserve"> governments should have</w:t>
      </w:r>
      <w:r w:rsidR="003D4E5E" w:rsidRPr="00DD511A">
        <w:rPr>
          <w:color w:val="000000"/>
        </w:rPr>
        <w:t xml:space="preserve"> in deciding how to use its revenue</w:t>
      </w:r>
      <w:r w:rsidRPr="00DD511A">
        <w:rPr>
          <w:color w:val="000000"/>
        </w:rPr>
        <w:t>.</w:t>
      </w:r>
      <w:r w:rsidR="0073042B" w:rsidRPr="00DD511A">
        <w:rPr>
          <w:color w:val="000000"/>
        </w:rPr>
        <w:t xml:space="preserve"> </w:t>
      </w:r>
    </w:p>
    <w:p w14:paraId="236EABEA" w14:textId="6B1C4B0A" w:rsidR="00225A2E" w:rsidRPr="00DD511A" w:rsidRDefault="008D4469" w:rsidP="00DD511A">
      <w:pPr>
        <w:spacing w:after="0" w:line="360" w:lineRule="auto"/>
        <w:ind w:firstLine="720"/>
        <w:rPr>
          <w:color w:val="000000"/>
        </w:rPr>
      </w:pPr>
      <w:r w:rsidRPr="00DD511A">
        <w:rPr>
          <w:bCs/>
        </w:rPr>
        <w:t xml:space="preserve">Restrictions on the use of sales tax revenue may not have much effect in practice. </w:t>
      </w:r>
      <w:r w:rsidR="00CF3B32" w:rsidRPr="00DD511A">
        <w:rPr>
          <w:bCs/>
        </w:rPr>
        <w:t xml:space="preserve">Suppose that the use of the revenue is restricted to </w:t>
      </w:r>
      <w:r w:rsidRPr="00DD511A">
        <w:rPr>
          <w:bCs/>
        </w:rPr>
        <w:t xml:space="preserve">a </w:t>
      </w:r>
      <w:r w:rsidR="00CF3B32" w:rsidRPr="00DD511A">
        <w:rPr>
          <w:bCs/>
        </w:rPr>
        <w:t>specific public service</w:t>
      </w:r>
      <w:r w:rsidR="00A5507B" w:rsidRPr="00DD511A">
        <w:rPr>
          <w:bCs/>
        </w:rPr>
        <w:t>, and s</w:t>
      </w:r>
      <w:r w:rsidRPr="00DD511A">
        <w:rPr>
          <w:bCs/>
        </w:rPr>
        <w:t>uppose</w:t>
      </w:r>
      <w:r w:rsidR="00A5507B" w:rsidRPr="00DD511A">
        <w:rPr>
          <w:bCs/>
        </w:rPr>
        <w:t xml:space="preserve"> further</w:t>
      </w:r>
      <w:r w:rsidRPr="00DD511A">
        <w:rPr>
          <w:bCs/>
        </w:rPr>
        <w:t xml:space="preserve"> that </w:t>
      </w:r>
      <w:r w:rsidR="00F64FC2" w:rsidRPr="00DD511A">
        <w:rPr>
          <w:bCs/>
        </w:rPr>
        <w:t>sales tax revenue is less than the current existing expenditures on the designated activit</w:t>
      </w:r>
      <w:r w:rsidR="00A26C7A" w:rsidRPr="00DD511A">
        <w:rPr>
          <w:bCs/>
        </w:rPr>
        <w:t>ies</w:t>
      </w:r>
      <w:r w:rsidRPr="00DD511A">
        <w:rPr>
          <w:bCs/>
        </w:rPr>
        <w:t>. G</w:t>
      </w:r>
      <w:r w:rsidRPr="00DD511A">
        <w:rPr>
          <w:color w:val="000000"/>
        </w:rPr>
        <w:t>iven that other revenue sources are fungible, the local government can simply replace existing revenue with sales tax revenue and use the freed up</w:t>
      </w:r>
      <w:r w:rsidR="00A5507B" w:rsidRPr="00DD511A">
        <w:rPr>
          <w:color w:val="000000"/>
        </w:rPr>
        <w:t xml:space="preserve"> revenue</w:t>
      </w:r>
      <w:r w:rsidRPr="00DD511A">
        <w:rPr>
          <w:color w:val="000000"/>
        </w:rPr>
        <w:t xml:space="preserve"> for other purposes. On the other hand, i</w:t>
      </w:r>
      <w:r w:rsidRPr="00DD511A">
        <w:rPr>
          <w:bCs/>
        </w:rPr>
        <w:t>f the revenue from the sales tax exceeds the desired expenditure level on the allowable services, expenditures on the allowable services will be</w:t>
      </w:r>
      <w:r w:rsidR="00A5507B" w:rsidRPr="00DD511A">
        <w:rPr>
          <w:bCs/>
        </w:rPr>
        <w:t xml:space="preserve"> larger than the local government desires</w:t>
      </w:r>
      <w:r w:rsidRPr="00DD511A">
        <w:rPr>
          <w:bCs/>
        </w:rPr>
        <w:t>.</w:t>
      </w:r>
      <w:r w:rsidR="0073042B" w:rsidRPr="00DD511A">
        <w:rPr>
          <w:bCs/>
        </w:rPr>
        <w:t xml:space="preserve"> </w:t>
      </w:r>
    </w:p>
    <w:p w14:paraId="62EB5427" w14:textId="08B0A492" w:rsidR="00A26C7A" w:rsidRDefault="00CC5572" w:rsidP="00495617">
      <w:pPr>
        <w:spacing w:after="0" w:line="360" w:lineRule="auto"/>
        <w:ind w:firstLine="720"/>
        <w:rPr>
          <w:color w:val="000000"/>
        </w:rPr>
      </w:pPr>
      <w:r w:rsidRPr="00DD511A">
        <w:rPr>
          <w:color w:val="000000"/>
        </w:rPr>
        <w:t>One common</w:t>
      </w:r>
      <w:r w:rsidR="003D4E5E" w:rsidRPr="00DD511A">
        <w:rPr>
          <w:color w:val="000000"/>
        </w:rPr>
        <w:t>ly</w:t>
      </w:r>
      <w:r w:rsidRPr="00DD511A">
        <w:rPr>
          <w:color w:val="000000"/>
        </w:rPr>
        <w:t xml:space="preserve"> designated use of sales tax revenue is to reduce property taxes.</w:t>
      </w:r>
      <w:r w:rsidR="00A73F17" w:rsidRPr="00DD511A">
        <w:rPr>
          <w:color w:val="000000"/>
        </w:rPr>
        <w:t xml:space="preserve"> For example, in Georgia local governments are required to roll back property taxes by the amount of the prior year’s LOST revenue. However, Zhao and Jung (2008) estimate that only 17 percent of </w:t>
      </w:r>
      <w:r w:rsidR="00A73F17" w:rsidRPr="00DD511A">
        <w:rPr>
          <w:color w:val="000000"/>
        </w:rPr>
        <w:lastRenderedPageBreak/>
        <w:t>LOST revenues are used for property tax reduction.</w:t>
      </w:r>
      <w:r w:rsidR="0073042B" w:rsidRPr="00DD511A">
        <w:rPr>
          <w:color w:val="000000"/>
        </w:rPr>
        <w:t xml:space="preserve"> </w:t>
      </w:r>
      <w:r w:rsidR="00A73F17" w:rsidRPr="00DD511A">
        <w:rPr>
          <w:color w:val="000000"/>
        </w:rPr>
        <w:t xml:space="preserve">The rollback </w:t>
      </w:r>
      <w:r w:rsidR="00A5507B" w:rsidRPr="00DD511A">
        <w:rPr>
          <w:color w:val="000000"/>
        </w:rPr>
        <w:t xml:space="preserve">in Georgia </w:t>
      </w:r>
      <w:r w:rsidR="00A73F17" w:rsidRPr="00DD511A">
        <w:rPr>
          <w:color w:val="000000"/>
        </w:rPr>
        <w:t>is from the property tax rate that the jurisdiction sets. Knowing that it must rollback the property tax rate, the jurisdiction can set an artificially higher</w:t>
      </w:r>
      <w:r w:rsidR="0063799E" w:rsidRPr="00DD511A">
        <w:rPr>
          <w:color w:val="000000"/>
        </w:rPr>
        <w:t xml:space="preserve"> property tax</w:t>
      </w:r>
      <w:r w:rsidR="00A73F17" w:rsidRPr="00DD511A">
        <w:rPr>
          <w:color w:val="000000"/>
        </w:rPr>
        <w:t xml:space="preserve"> rate</w:t>
      </w:r>
      <w:r w:rsidR="004E13D4" w:rsidRPr="00DD511A">
        <w:rPr>
          <w:color w:val="000000"/>
        </w:rPr>
        <w:t xml:space="preserve"> and rollback from that rate</w:t>
      </w:r>
      <w:r w:rsidR="005A78BD" w:rsidRPr="00DD511A">
        <w:rPr>
          <w:color w:val="000000"/>
        </w:rPr>
        <w:t xml:space="preserve">. Thus, in effect the local government can set any property tax levy it wants. </w:t>
      </w:r>
      <w:r w:rsidR="007F5BD5" w:rsidRPr="00DD511A">
        <w:rPr>
          <w:color w:val="000000"/>
        </w:rPr>
        <w:t>Sales tax revenue could be used to reduce property taxes on certain classes of property, as with the Georgia HOST.</w:t>
      </w:r>
    </w:p>
    <w:p w14:paraId="389BF19B" w14:textId="0110BD9F" w:rsidR="00A10708" w:rsidRPr="00DD511A" w:rsidRDefault="00A10708" w:rsidP="0031678C">
      <w:pPr>
        <w:pStyle w:val="Heading3"/>
      </w:pPr>
      <w:bookmarkStart w:id="63" w:name="_Toc433373648"/>
      <w:r w:rsidRPr="00DD511A">
        <w:t>Geographic Coverage</w:t>
      </w:r>
      <w:bookmarkEnd w:id="63"/>
    </w:p>
    <w:p w14:paraId="46AA27E4" w14:textId="70FDD2D8" w:rsidR="0063799E" w:rsidRDefault="0063799E" w:rsidP="00495617">
      <w:pPr>
        <w:spacing w:after="0" w:line="360" w:lineRule="auto"/>
        <w:ind w:firstLine="720"/>
        <w:rPr>
          <w:color w:val="000000"/>
        </w:rPr>
      </w:pPr>
      <w:r w:rsidRPr="00DD511A">
        <w:rPr>
          <w:color w:val="000000"/>
        </w:rPr>
        <w:t xml:space="preserve">It has been implicitly assumed </w:t>
      </w:r>
      <w:r w:rsidR="00A10708" w:rsidRPr="00DD511A">
        <w:rPr>
          <w:color w:val="000000"/>
        </w:rPr>
        <w:t xml:space="preserve">to this point </w:t>
      </w:r>
      <w:r w:rsidRPr="00DD511A">
        <w:rPr>
          <w:color w:val="000000"/>
        </w:rPr>
        <w:t xml:space="preserve">that the revenue would go to the </w:t>
      </w:r>
      <w:r w:rsidR="00824B5C">
        <w:rPr>
          <w:color w:val="000000"/>
        </w:rPr>
        <w:t xml:space="preserve">host town, i.e., the </w:t>
      </w:r>
      <w:r w:rsidRPr="00DD511A">
        <w:rPr>
          <w:color w:val="000000"/>
        </w:rPr>
        <w:t>municipality from which the revenue was collected. However, it would be possible to impose the local sales tax in some defined region</w:t>
      </w:r>
      <w:r w:rsidR="00AA24CC">
        <w:rPr>
          <w:color w:val="000000"/>
        </w:rPr>
        <w:t xml:space="preserve"> (or perhaps in entire the state)</w:t>
      </w:r>
      <w:r w:rsidRPr="00DD511A">
        <w:rPr>
          <w:color w:val="000000"/>
        </w:rPr>
        <w:t xml:space="preserve"> and split the revenue by formula among the municipalities in the region.</w:t>
      </w:r>
      <w:r w:rsidR="0073042B" w:rsidRPr="00DD511A">
        <w:rPr>
          <w:color w:val="000000"/>
        </w:rPr>
        <w:t xml:space="preserve"> </w:t>
      </w:r>
      <w:r w:rsidRPr="00DD511A">
        <w:rPr>
          <w:color w:val="000000"/>
        </w:rPr>
        <w:t>For example, the regions might be comprised of retail centers and the surrounding municipalities.</w:t>
      </w:r>
      <w:r w:rsidR="0073042B" w:rsidRPr="00DD511A">
        <w:rPr>
          <w:color w:val="000000"/>
        </w:rPr>
        <w:t xml:space="preserve"> </w:t>
      </w:r>
      <w:r w:rsidR="00B9279D" w:rsidRPr="00DD511A">
        <w:rPr>
          <w:color w:val="000000"/>
        </w:rPr>
        <w:t xml:space="preserve">How the revenue would be allocated to the various municipalities depends on the objective of the allocation, since that would determine the factors that would be used in the formula. </w:t>
      </w:r>
      <w:r w:rsidRPr="00DD511A">
        <w:rPr>
          <w:color w:val="000000"/>
        </w:rPr>
        <w:t>There are many formulas that could be used</w:t>
      </w:r>
      <w:r w:rsidR="00B9279D" w:rsidRPr="00DD511A">
        <w:rPr>
          <w:color w:val="000000"/>
        </w:rPr>
        <w:t xml:space="preserve"> to allocate the revenue. F</w:t>
      </w:r>
      <w:r w:rsidRPr="00DD511A">
        <w:rPr>
          <w:color w:val="000000"/>
        </w:rPr>
        <w:t xml:space="preserve">or example, </w:t>
      </w:r>
      <w:r w:rsidR="00B9279D" w:rsidRPr="00DD511A">
        <w:rPr>
          <w:color w:val="000000"/>
        </w:rPr>
        <w:t xml:space="preserve">the state could adopt a formula that </w:t>
      </w:r>
      <w:r w:rsidRPr="00DD511A">
        <w:rPr>
          <w:color w:val="000000"/>
        </w:rPr>
        <w:t>allocate</w:t>
      </w:r>
      <w:r w:rsidR="00B9279D" w:rsidRPr="00DD511A">
        <w:rPr>
          <w:color w:val="000000"/>
        </w:rPr>
        <w:t>d</w:t>
      </w:r>
      <w:r w:rsidRPr="00DD511A">
        <w:rPr>
          <w:color w:val="000000"/>
        </w:rPr>
        <w:t xml:space="preserve"> half of the revenue to the </w:t>
      </w:r>
      <w:r w:rsidR="00824B5C">
        <w:rPr>
          <w:color w:val="000000"/>
        </w:rPr>
        <w:t xml:space="preserve">host </w:t>
      </w:r>
      <w:r w:rsidRPr="00DD511A">
        <w:rPr>
          <w:color w:val="000000"/>
        </w:rPr>
        <w:t xml:space="preserve">municipality </w:t>
      </w:r>
      <w:r w:rsidR="00B9279D" w:rsidRPr="00DD511A">
        <w:rPr>
          <w:color w:val="000000"/>
        </w:rPr>
        <w:t>and half on a per capita basis</w:t>
      </w:r>
      <w:r w:rsidR="004E13D4" w:rsidRPr="00DD511A">
        <w:rPr>
          <w:color w:val="000000"/>
        </w:rPr>
        <w:t xml:space="preserve"> through</w:t>
      </w:r>
      <w:r w:rsidR="006468C5">
        <w:rPr>
          <w:color w:val="000000"/>
        </w:rPr>
        <w:t>out</w:t>
      </w:r>
      <w:r w:rsidR="004E13D4" w:rsidRPr="00DD511A">
        <w:rPr>
          <w:color w:val="000000"/>
        </w:rPr>
        <w:t xml:space="preserve"> the region</w:t>
      </w:r>
      <w:r w:rsidR="00B9279D" w:rsidRPr="00DD511A">
        <w:rPr>
          <w:color w:val="000000"/>
        </w:rPr>
        <w:t xml:space="preserve">. Or, the formula could be based on the inverse of the property tax base per capita, so that more of the sales tax revenue goes to municipalities with smaller </w:t>
      </w:r>
      <w:r w:rsidR="00814D33" w:rsidRPr="00DD511A">
        <w:rPr>
          <w:color w:val="000000"/>
        </w:rPr>
        <w:t xml:space="preserve">per capita </w:t>
      </w:r>
      <w:r w:rsidR="00B9279D" w:rsidRPr="00DD511A">
        <w:rPr>
          <w:color w:val="000000"/>
        </w:rPr>
        <w:t>property tax bases.</w:t>
      </w:r>
    </w:p>
    <w:p w14:paraId="79083601" w14:textId="74342EA2" w:rsidR="00A26C7A" w:rsidRPr="00756C88" w:rsidRDefault="00A26C7A" w:rsidP="0031678C">
      <w:pPr>
        <w:pStyle w:val="Heading2"/>
      </w:pPr>
      <w:bookmarkStart w:id="64" w:name="_Toc433373649"/>
      <w:r w:rsidRPr="00756C88">
        <w:t xml:space="preserve">Economic </w:t>
      </w:r>
      <w:r w:rsidR="00CD4B8B" w:rsidRPr="00756C88">
        <w:t>Issues Associated with</w:t>
      </w:r>
      <w:r w:rsidRPr="00756C88">
        <w:t xml:space="preserve"> Local Sales Taxes</w:t>
      </w:r>
      <w:bookmarkEnd w:id="64"/>
    </w:p>
    <w:p w14:paraId="13BA22D3" w14:textId="430CB1DD" w:rsidR="004803C4" w:rsidRDefault="00A26C7A" w:rsidP="00495617">
      <w:pPr>
        <w:spacing w:after="0" w:line="360" w:lineRule="auto"/>
        <w:ind w:firstLine="720"/>
        <w:rPr>
          <w:color w:val="000000"/>
        </w:rPr>
      </w:pPr>
      <w:r>
        <w:rPr>
          <w:color w:val="000000"/>
        </w:rPr>
        <w:t xml:space="preserve">There are </w:t>
      </w:r>
      <w:r w:rsidR="00756C88">
        <w:rPr>
          <w:color w:val="000000"/>
        </w:rPr>
        <w:t>four</w:t>
      </w:r>
      <w:r>
        <w:rPr>
          <w:color w:val="000000"/>
        </w:rPr>
        <w:t xml:space="preserve"> economic issues </w:t>
      </w:r>
      <w:r w:rsidR="00346721">
        <w:rPr>
          <w:color w:val="000000"/>
        </w:rPr>
        <w:t xml:space="preserve">associated with the adoption of a local sales tax </w:t>
      </w:r>
      <w:r w:rsidR="007F5BD5">
        <w:rPr>
          <w:color w:val="000000"/>
        </w:rPr>
        <w:t xml:space="preserve">that we </w:t>
      </w:r>
      <w:r>
        <w:rPr>
          <w:color w:val="000000"/>
        </w:rPr>
        <w:t>consider</w:t>
      </w:r>
      <w:r w:rsidR="00346721">
        <w:rPr>
          <w:color w:val="000000"/>
        </w:rPr>
        <w:t>:</w:t>
      </w:r>
      <w:r>
        <w:rPr>
          <w:color w:val="000000"/>
        </w:rPr>
        <w:t xml:space="preserve"> </w:t>
      </w:r>
      <w:r w:rsidR="00756C88">
        <w:rPr>
          <w:color w:val="000000"/>
        </w:rPr>
        <w:t xml:space="preserve">incentive effects, </w:t>
      </w:r>
      <w:r>
        <w:rPr>
          <w:color w:val="000000"/>
        </w:rPr>
        <w:t>the amount of r</w:t>
      </w:r>
      <w:r w:rsidR="005C22CE" w:rsidRPr="00A26C7A">
        <w:rPr>
          <w:color w:val="000000"/>
        </w:rPr>
        <w:t>evenue</w:t>
      </w:r>
      <w:r>
        <w:rPr>
          <w:color w:val="000000"/>
        </w:rPr>
        <w:t xml:space="preserve"> generated</w:t>
      </w:r>
      <w:r w:rsidR="000A2012">
        <w:rPr>
          <w:color w:val="000000"/>
        </w:rPr>
        <w:t xml:space="preserve">, </w:t>
      </w:r>
      <w:r w:rsidR="000A2012" w:rsidRPr="000A2012">
        <w:rPr>
          <w:color w:val="000000"/>
        </w:rPr>
        <w:t>equity</w:t>
      </w:r>
      <w:r w:rsidR="005F1035">
        <w:rPr>
          <w:color w:val="000000"/>
        </w:rPr>
        <w:t>/fairness</w:t>
      </w:r>
      <w:r w:rsidR="000A2012" w:rsidRPr="000A2012">
        <w:rPr>
          <w:color w:val="000000"/>
        </w:rPr>
        <w:t xml:space="preserve">, </w:t>
      </w:r>
      <w:r w:rsidR="00151943">
        <w:rPr>
          <w:color w:val="000000"/>
        </w:rPr>
        <w:t xml:space="preserve">and </w:t>
      </w:r>
      <w:r w:rsidR="00D939D6">
        <w:rPr>
          <w:color w:val="000000"/>
        </w:rPr>
        <w:t xml:space="preserve">the </w:t>
      </w:r>
      <w:r w:rsidR="00DB13EE">
        <w:rPr>
          <w:color w:val="000000"/>
        </w:rPr>
        <w:t>e</w:t>
      </w:r>
      <w:r w:rsidR="00151943">
        <w:rPr>
          <w:color w:val="000000"/>
        </w:rPr>
        <w:t xml:space="preserve">ffect on </w:t>
      </w:r>
      <w:r w:rsidR="000A2012" w:rsidRPr="000A2012">
        <w:rPr>
          <w:color w:val="000000"/>
        </w:rPr>
        <w:t>fiscal disparities</w:t>
      </w:r>
      <w:r w:rsidR="00182C9A">
        <w:rPr>
          <w:color w:val="000000"/>
        </w:rPr>
        <w:t xml:space="preserve">. </w:t>
      </w:r>
    </w:p>
    <w:p w14:paraId="66D6A442" w14:textId="53686D3D" w:rsidR="004803C4" w:rsidRPr="004803C4" w:rsidRDefault="004803C4" w:rsidP="0031678C">
      <w:pPr>
        <w:pStyle w:val="Heading3"/>
      </w:pPr>
      <w:bookmarkStart w:id="65" w:name="_Toc433373650"/>
      <w:r w:rsidRPr="004803C4">
        <w:t>Incentive Effects</w:t>
      </w:r>
      <w:bookmarkEnd w:id="65"/>
    </w:p>
    <w:p w14:paraId="18BC8E31" w14:textId="49ED40E7" w:rsidR="004803C4" w:rsidRDefault="004803C4" w:rsidP="004803C4">
      <w:pPr>
        <w:spacing w:after="0" w:line="360" w:lineRule="auto"/>
        <w:ind w:firstLine="720"/>
        <w:rPr>
          <w:color w:val="000000"/>
        </w:rPr>
      </w:pPr>
      <w:r>
        <w:rPr>
          <w:color w:val="000000"/>
        </w:rPr>
        <w:t>E</w:t>
      </w:r>
      <w:r w:rsidRPr="00A50ECC">
        <w:rPr>
          <w:color w:val="000000"/>
        </w:rPr>
        <w:t xml:space="preserve">conomic theory suggests that </w:t>
      </w:r>
      <w:r>
        <w:rPr>
          <w:color w:val="000000"/>
        </w:rPr>
        <w:t>an</w:t>
      </w:r>
      <w:r w:rsidRPr="00A50ECC">
        <w:rPr>
          <w:color w:val="000000"/>
        </w:rPr>
        <w:t xml:space="preserve"> increase in the sales tax rate will reduce the sales tax base since the increase in the sales tax rate is the same </w:t>
      </w:r>
      <w:r>
        <w:rPr>
          <w:color w:val="000000"/>
        </w:rPr>
        <w:t xml:space="preserve">as </w:t>
      </w:r>
      <w:r w:rsidRPr="00A50ECC">
        <w:rPr>
          <w:color w:val="000000"/>
        </w:rPr>
        <w:t>a price increase.</w:t>
      </w:r>
      <w:r>
        <w:rPr>
          <w:color w:val="000000"/>
        </w:rPr>
        <w:t xml:space="preserve"> </w:t>
      </w:r>
      <w:r w:rsidRPr="00A50ECC">
        <w:rPr>
          <w:color w:val="000000"/>
        </w:rPr>
        <w:t>It is reasonable to assume that the price elasticity of the sales tax base is between 0.7 and 1.0.</w:t>
      </w:r>
      <w:r>
        <w:rPr>
          <w:color w:val="000000"/>
        </w:rPr>
        <w:t xml:space="preserve"> </w:t>
      </w:r>
      <w:r w:rsidRPr="00A50ECC">
        <w:rPr>
          <w:color w:val="000000"/>
        </w:rPr>
        <w:t xml:space="preserve">These elasticities suggest that the adoption of a </w:t>
      </w:r>
      <w:r>
        <w:rPr>
          <w:color w:val="000000"/>
        </w:rPr>
        <w:t xml:space="preserve">one </w:t>
      </w:r>
      <w:r w:rsidRPr="00A50ECC">
        <w:rPr>
          <w:color w:val="000000"/>
        </w:rPr>
        <w:t xml:space="preserve">percent local sales tax rate statewide would result in a decrease in the sales tax base of between 0.66 percent and 0.94 percent. </w:t>
      </w:r>
    </w:p>
    <w:p w14:paraId="2CAF2ACE" w14:textId="05636493" w:rsidR="004803C4" w:rsidRDefault="004803C4" w:rsidP="004803C4">
      <w:pPr>
        <w:spacing w:after="0" w:line="360" w:lineRule="auto"/>
        <w:ind w:firstLine="720"/>
        <w:rPr>
          <w:color w:val="000000"/>
        </w:rPr>
      </w:pPr>
      <w:r w:rsidRPr="00A50ECC">
        <w:rPr>
          <w:color w:val="000000"/>
        </w:rPr>
        <w:lastRenderedPageBreak/>
        <w:t xml:space="preserve">The current </w:t>
      </w:r>
      <w:r w:rsidR="00BB6ED8">
        <w:rPr>
          <w:color w:val="000000"/>
        </w:rPr>
        <w:t xml:space="preserve">basic </w:t>
      </w:r>
      <w:r w:rsidRPr="00A50ECC">
        <w:rPr>
          <w:color w:val="000000"/>
        </w:rPr>
        <w:t>sales tax rate in Connecticut is 6.35 percent,</w:t>
      </w:r>
      <w:r>
        <w:rPr>
          <w:rStyle w:val="FootnoteReference"/>
          <w:color w:val="000000"/>
        </w:rPr>
        <w:footnoteReference w:id="12"/>
      </w:r>
      <w:r w:rsidRPr="00A50ECC">
        <w:rPr>
          <w:color w:val="000000"/>
        </w:rPr>
        <w:t xml:space="preserve"> and </w:t>
      </w:r>
      <w:r w:rsidR="00814D33">
        <w:rPr>
          <w:color w:val="000000"/>
        </w:rPr>
        <w:t xml:space="preserve">state </w:t>
      </w:r>
      <w:r w:rsidRPr="00A50ECC">
        <w:rPr>
          <w:color w:val="000000"/>
        </w:rPr>
        <w:t xml:space="preserve">sales tax revenues </w:t>
      </w:r>
      <w:r w:rsidR="00BB6ED8">
        <w:rPr>
          <w:color w:val="000000"/>
        </w:rPr>
        <w:t xml:space="preserve">due </w:t>
      </w:r>
      <w:r w:rsidRPr="00A50ECC">
        <w:rPr>
          <w:color w:val="000000"/>
        </w:rPr>
        <w:t xml:space="preserve">in fiscal year 2013-14 was </w:t>
      </w:r>
      <w:r>
        <w:rPr>
          <w:color w:val="000000"/>
        </w:rPr>
        <w:t>$</w:t>
      </w:r>
      <w:r w:rsidR="00BB6ED8">
        <w:rPr>
          <w:color w:val="000000"/>
        </w:rPr>
        <w:t>3,869</w:t>
      </w:r>
      <w:r w:rsidRPr="00A50ECC">
        <w:rPr>
          <w:color w:val="000000"/>
        </w:rPr>
        <w:t>.</w:t>
      </w:r>
      <w:r w:rsidR="00BB6ED8">
        <w:rPr>
          <w:color w:val="000000"/>
        </w:rPr>
        <w:t>3 million.</w:t>
      </w:r>
      <w:r w:rsidR="00BB6ED8">
        <w:rPr>
          <w:rStyle w:val="FootnoteReference"/>
          <w:color w:val="000000"/>
        </w:rPr>
        <w:footnoteReference w:id="13"/>
      </w:r>
      <w:r>
        <w:rPr>
          <w:color w:val="000000"/>
        </w:rPr>
        <w:t xml:space="preserve"> </w:t>
      </w:r>
      <w:r w:rsidRPr="00A50ECC">
        <w:rPr>
          <w:color w:val="000000"/>
        </w:rPr>
        <w:t xml:space="preserve">A </w:t>
      </w:r>
      <w:r>
        <w:rPr>
          <w:color w:val="000000"/>
        </w:rPr>
        <w:t xml:space="preserve">one </w:t>
      </w:r>
      <w:r w:rsidRPr="00A50ECC">
        <w:rPr>
          <w:color w:val="000000"/>
        </w:rPr>
        <w:t xml:space="preserve">percent local sales tax adopted statewide would </w:t>
      </w:r>
      <w:r w:rsidR="00BB6ED8">
        <w:rPr>
          <w:color w:val="000000"/>
        </w:rPr>
        <w:t xml:space="preserve">increase the basic statewide sales tax rate by </w:t>
      </w:r>
      <w:r w:rsidRPr="00A50ECC">
        <w:rPr>
          <w:color w:val="000000"/>
        </w:rPr>
        <w:t>15.</w:t>
      </w:r>
      <w:r w:rsidR="00BB6ED8">
        <w:rPr>
          <w:color w:val="000000"/>
        </w:rPr>
        <w:t>7</w:t>
      </w:r>
      <w:r w:rsidRPr="00A50ECC">
        <w:rPr>
          <w:color w:val="000000"/>
        </w:rPr>
        <w:t xml:space="preserve"> percent</w:t>
      </w:r>
      <w:r w:rsidR="00BB6ED8">
        <w:rPr>
          <w:color w:val="000000"/>
        </w:rPr>
        <w:t>.</w:t>
      </w:r>
      <w:r w:rsidRPr="00A50ECC">
        <w:rPr>
          <w:color w:val="000000"/>
        </w:rPr>
        <w:t xml:space="preserve"> </w:t>
      </w:r>
      <w:r w:rsidR="00BB6ED8">
        <w:rPr>
          <w:color w:val="000000"/>
        </w:rPr>
        <w:t>I</w:t>
      </w:r>
      <w:r w:rsidR="00BB6ED8" w:rsidRPr="00A50ECC">
        <w:rPr>
          <w:color w:val="000000"/>
        </w:rPr>
        <w:t>n the absence of any loss of sales tax base</w:t>
      </w:r>
      <w:r w:rsidR="00BB6ED8">
        <w:rPr>
          <w:color w:val="000000"/>
        </w:rPr>
        <w:t xml:space="preserve"> due to the tax rate increase,</w:t>
      </w:r>
      <w:r w:rsidR="00BB6ED8" w:rsidRPr="00A50ECC">
        <w:rPr>
          <w:color w:val="000000"/>
        </w:rPr>
        <w:t xml:space="preserve"> </w:t>
      </w:r>
      <w:r w:rsidRPr="00A50ECC">
        <w:rPr>
          <w:color w:val="000000"/>
        </w:rPr>
        <w:t>the sales tax revenue</w:t>
      </w:r>
      <w:r w:rsidR="00BB6ED8">
        <w:rPr>
          <w:color w:val="000000"/>
        </w:rPr>
        <w:t xml:space="preserve"> would increase by 15.7 percent, or by</w:t>
      </w:r>
      <w:r w:rsidRPr="00A50ECC">
        <w:rPr>
          <w:color w:val="000000"/>
        </w:rPr>
        <w:t xml:space="preserve"> </w:t>
      </w:r>
      <w:r w:rsidRPr="00BB6ED8">
        <w:rPr>
          <w:color w:val="000000"/>
        </w:rPr>
        <w:t>$6</w:t>
      </w:r>
      <w:r w:rsidR="00BB6ED8" w:rsidRPr="00BB6ED8">
        <w:rPr>
          <w:color w:val="000000"/>
        </w:rPr>
        <w:t>07.4</w:t>
      </w:r>
      <w:r w:rsidRPr="00A50ECC">
        <w:rPr>
          <w:color w:val="000000"/>
        </w:rPr>
        <w:t xml:space="preserve"> million. </w:t>
      </w:r>
      <w:r w:rsidR="00BB6ED8">
        <w:rPr>
          <w:color w:val="000000"/>
        </w:rPr>
        <w:t xml:space="preserve">However, assuming price elasticities of 0.7 and 1.0 implies that </w:t>
      </w:r>
      <w:r w:rsidRPr="00A50ECC">
        <w:rPr>
          <w:color w:val="000000"/>
        </w:rPr>
        <w:t xml:space="preserve">total sales tax revenue would increase by 15.0 </w:t>
      </w:r>
      <w:r w:rsidR="00BB6ED8">
        <w:rPr>
          <w:color w:val="000000"/>
        </w:rPr>
        <w:t>and</w:t>
      </w:r>
      <w:r w:rsidRPr="00A50ECC">
        <w:rPr>
          <w:color w:val="000000"/>
        </w:rPr>
        <w:t xml:space="preserve"> 14.7 percent, </w:t>
      </w:r>
      <w:r w:rsidR="00BB6ED8">
        <w:rPr>
          <w:color w:val="000000"/>
        </w:rPr>
        <w:t xml:space="preserve">respectively. This </w:t>
      </w:r>
      <w:r w:rsidRPr="00A50ECC">
        <w:rPr>
          <w:color w:val="000000"/>
        </w:rPr>
        <w:t xml:space="preserve">would consist of new revenue to </w:t>
      </w:r>
      <w:r w:rsidR="00BB6ED8">
        <w:rPr>
          <w:color w:val="000000"/>
        </w:rPr>
        <w:t>town</w:t>
      </w:r>
      <w:r w:rsidRPr="00A50ECC">
        <w:rPr>
          <w:color w:val="000000"/>
        </w:rPr>
        <w:t>s but a loss of revenue to the state of between 0.66 and 0.94 percent.</w:t>
      </w:r>
      <w:r>
        <w:rPr>
          <w:color w:val="000000"/>
        </w:rPr>
        <w:t xml:space="preserve"> </w:t>
      </w:r>
      <w:r w:rsidRPr="00A50ECC">
        <w:rPr>
          <w:color w:val="000000"/>
        </w:rPr>
        <w:t xml:space="preserve">Assuming a price elasticity of 1.0, the local sales tax revenue from a </w:t>
      </w:r>
      <w:r>
        <w:rPr>
          <w:color w:val="000000"/>
        </w:rPr>
        <w:t xml:space="preserve">one </w:t>
      </w:r>
      <w:r w:rsidRPr="00A50ECC">
        <w:rPr>
          <w:color w:val="000000"/>
        </w:rPr>
        <w:t xml:space="preserve">percent local sales tax would be </w:t>
      </w:r>
      <w:r w:rsidRPr="007B0989">
        <w:rPr>
          <w:color w:val="000000"/>
        </w:rPr>
        <w:t>$6</w:t>
      </w:r>
      <w:r w:rsidR="007B0989" w:rsidRPr="007B0989">
        <w:rPr>
          <w:color w:val="000000"/>
        </w:rPr>
        <w:t>0</w:t>
      </w:r>
      <w:r w:rsidR="00540CC2">
        <w:rPr>
          <w:color w:val="000000"/>
        </w:rPr>
        <w:t>3.9</w:t>
      </w:r>
      <w:r w:rsidRPr="00A50ECC">
        <w:rPr>
          <w:color w:val="000000"/>
        </w:rPr>
        <w:t xml:space="preserve"> million. State sales tax revenue would fall by </w:t>
      </w:r>
      <w:r w:rsidRPr="007B0989">
        <w:rPr>
          <w:color w:val="000000"/>
        </w:rPr>
        <w:t>$3</w:t>
      </w:r>
      <w:r w:rsidR="007B0989" w:rsidRPr="007B0989">
        <w:rPr>
          <w:color w:val="000000"/>
        </w:rPr>
        <w:t>6.4</w:t>
      </w:r>
      <w:r w:rsidRPr="00A50ECC">
        <w:rPr>
          <w:color w:val="000000"/>
        </w:rPr>
        <w:t xml:space="preserve"> million.</w:t>
      </w:r>
    </w:p>
    <w:p w14:paraId="0E8702A5" w14:textId="4458FCBC" w:rsidR="004803C4" w:rsidRDefault="004803C4" w:rsidP="004803C4">
      <w:pPr>
        <w:spacing w:after="0" w:line="360" w:lineRule="auto"/>
        <w:ind w:firstLine="720"/>
      </w:pPr>
      <w:r w:rsidRPr="00710363">
        <w:rPr>
          <w:color w:val="000000"/>
        </w:rPr>
        <w:t>There is a substantial literature on the mobility of sales tax base</w:t>
      </w:r>
      <w:r>
        <w:rPr>
          <w:color w:val="000000"/>
        </w:rPr>
        <w:t>s</w:t>
      </w:r>
      <w:r w:rsidRPr="00710363">
        <w:rPr>
          <w:color w:val="000000"/>
        </w:rPr>
        <w:t xml:space="preserve">, although much of the focus </w:t>
      </w:r>
      <w:r>
        <w:rPr>
          <w:color w:val="000000"/>
        </w:rPr>
        <w:t>is</w:t>
      </w:r>
      <w:r w:rsidRPr="00710363">
        <w:rPr>
          <w:color w:val="000000"/>
        </w:rPr>
        <w:t xml:space="preserve"> on the effect of differential sales tax rates on cross-bordering shopping</w:t>
      </w:r>
      <w:r>
        <w:rPr>
          <w:color w:val="000000"/>
        </w:rPr>
        <w:t>.</w:t>
      </w:r>
      <w:r w:rsidRPr="00710363">
        <w:rPr>
          <w:rStyle w:val="FootnoteReference"/>
        </w:rPr>
        <w:footnoteReference w:id="14"/>
      </w:r>
      <w:r w:rsidRPr="00710363">
        <w:t xml:space="preserve"> These studies generally find that a one</w:t>
      </w:r>
      <w:r w:rsidRPr="00CE78C0">
        <w:t xml:space="preserve"> percentage point higher </w:t>
      </w:r>
      <w:r>
        <w:t xml:space="preserve">interstate </w:t>
      </w:r>
      <w:r w:rsidRPr="00CE78C0">
        <w:t>sales tax rate</w:t>
      </w:r>
      <w:r>
        <w:t xml:space="preserve"> differential</w:t>
      </w:r>
      <w:r w:rsidRPr="00CE78C0">
        <w:t xml:space="preserve"> is associated with per capita sales along a state’s border that are between </w:t>
      </w:r>
      <w:r w:rsidRPr="00710363">
        <w:t>one</w:t>
      </w:r>
      <w:r>
        <w:t xml:space="preserve"> </w:t>
      </w:r>
      <w:r w:rsidRPr="00710363">
        <w:t xml:space="preserve">and 7 percent lower. For example, Walsh and Jones </w:t>
      </w:r>
      <w:r>
        <w:t xml:space="preserve">(1988) </w:t>
      </w:r>
      <w:r w:rsidRPr="00710363">
        <w:t>studied West Virginia’s phased-in reduction of</w:t>
      </w:r>
      <w:r w:rsidR="007209FC">
        <w:t xml:space="preserve"> the</w:t>
      </w:r>
      <w:r w:rsidRPr="00710363">
        <w:t xml:space="preserve"> sales tax rate on grocery purchases. F</w:t>
      </w:r>
      <w:r w:rsidRPr="00CE78C0">
        <w:t xml:space="preserve">or each percentage point reduction in the sales tax rate they find that grocery sales along the West Virginia border increased by about 5.9 percent. It is expected that differential </w:t>
      </w:r>
      <w:r w:rsidRPr="00710363">
        <w:t>sales tax rates across jurisdiction</w:t>
      </w:r>
      <w:r>
        <w:t>s</w:t>
      </w:r>
      <w:r w:rsidRPr="00710363">
        <w:t xml:space="preserve"> wit</w:t>
      </w:r>
      <w:r>
        <w:t xml:space="preserve">hin a state would have similar </w:t>
      </w:r>
      <w:r w:rsidRPr="00710363">
        <w:t>effects on the location of purchases</w:t>
      </w:r>
      <w:r w:rsidR="00814D33">
        <w:t xml:space="preserve"> as interstate sales tax rate differentials</w:t>
      </w:r>
      <w:r w:rsidRPr="00710363">
        <w:t xml:space="preserve">. </w:t>
      </w:r>
    </w:p>
    <w:p w14:paraId="7DC94C0B" w14:textId="7811D95A" w:rsidR="004803C4" w:rsidRDefault="004803C4" w:rsidP="004803C4">
      <w:pPr>
        <w:spacing w:after="0" w:line="360" w:lineRule="auto"/>
        <w:ind w:firstLine="720"/>
      </w:pPr>
      <w:r>
        <w:t xml:space="preserve">Connecticut’s </w:t>
      </w:r>
      <w:r w:rsidR="007B0989">
        <w:t xml:space="preserve">basic </w:t>
      </w:r>
      <w:r>
        <w:t>state sales tax rate is currently 6.3</w:t>
      </w:r>
      <w:r w:rsidR="007B0989">
        <w:t>5</w:t>
      </w:r>
      <w:r>
        <w:t xml:space="preserve"> percent. Connecticut borders three states, New York, Rhode Island, and Massachusetts, with the bulk of its border adjacent to Massachusetts. Rhode Island and Massachusetts do not have local sales taxes; their state tax rates are 7.0 percent and 6.3 percent, respectively. New York has a state sales tax rate of 4 percent and local sales tax that range up to 4.88 percent. Along New York’s border with Connecticut, the total sales tax rates in New York are generally in the range of 8.125 percent to 8.375 percent. If Connecticut added a one percent local sales tax, Connecticut border cities would lose some sales to Massachusetts, and might experience a small drop in sales that are made to buyers from New York.</w:t>
      </w:r>
    </w:p>
    <w:p w14:paraId="14A79C69" w14:textId="5F0AE757" w:rsidR="004803C4" w:rsidRDefault="00345887" w:rsidP="00495617">
      <w:pPr>
        <w:spacing w:after="0" w:line="360" w:lineRule="auto"/>
        <w:ind w:firstLine="720"/>
        <w:rPr>
          <w:b/>
          <w:color w:val="000000"/>
        </w:rPr>
      </w:pPr>
      <w:r w:rsidRPr="00345887">
        <w:rPr>
          <w:color w:val="000000"/>
        </w:rPr>
        <w:lastRenderedPageBreak/>
        <w:t>Local jurisdiction</w:t>
      </w:r>
      <w:r w:rsidR="006468C5">
        <w:rPr>
          <w:color w:val="000000"/>
        </w:rPr>
        <w:t>s</w:t>
      </w:r>
      <w:r w:rsidRPr="00345887">
        <w:rPr>
          <w:color w:val="000000"/>
        </w:rPr>
        <w:t xml:space="preserve"> currently compete for property tax base, perhaps by keeping property tax rates low or offering special incentives to large developments. If local governments adopt a sales tax, one should expect that towns will compete for sales tax base as well. The difference is that the competition will be for retail facilities</w:t>
      </w:r>
      <w:r w:rsidR="006468C5">
        <w:rPr>
          <w:color w:val="000000"/>
        </w:rPr>
        <w:t>, e.g., shopping centers,</w:t>
      </w:r>
      <w:r w:rsidRPr="00345887">
        <w:rPr>
          <w:color w:val="000000"/>
        </w:rPr>
        <w:t xml:space="preserve"> rather than business facilities more generally (Lewis 2001). </w:t>
      </w:r>
    </w:p>
    <w:p w14:paraId="490234BA" w14:textId="61290AAA" w:rsidR="00A50ECC" w:rsidRPr="004803C4" w:rsidRDefault="00A50ECC" w:rsidP="0031678C">
      <w:pPr>
        <w:pStyle w:val="Heading3"/>
      </w:pPr>
      <w:bookmarkStart w:id="66" w:name="_Toc433373651"/>
      <w:r w:rsidRPr="004803C4">
        <w:t>Revenue</w:t>
      </w:r>
      <w:bookmarkEnd w:id="66"/>
    </w:p>
    <w:p w14:paraId="0363797E" w14:textId="77777777" w:rsidR="00D26E24" w:rsidRDefault="00E67727" w:rsidP="00D422A0">
      <w:pPr>
        <w:spacing w:after="0" w:line="360" w:lineRule="auto"/>
        <w:ind w:firstLine="720"/>
      </w:pPr>
      <w:r>
        <w:rPr>
          <w:color w:val="000000"/>
        </w:rPr>
        <w:t xml:space="preserve">Appendix </w:t>
      </w:r>
      <w:r w:rsidR="0047739C">
        <w:rPr>
          <w:color w:val="000000"/>
        </w:rPr>
        <w:t xml:space="preserve">Table </w:t>
      </w:r>
      <w:r>
        <w:rPr>
          <w:color w:val="000000"/>
        </w:rPr>
        <w:t>A1</w:t>
      </w:r>
      <w:r w:rsidR="00D939D6">
        <w:rPr>
          <w:color w:val="000000"/>
        </w:rPr>
        <w:t xml:space="preserve"> </w:t>
      </w:r>
      <w:r w:rsidR="0047739C">
        <w:rPr>
          <w:color w:val="000000"/>
        </w:rPr>
        <w:t>provides</w:t>
      </w:r>
      <w:r w:rsidR="00887FE8">
        <w:rPr>
          <w:color w:val="000000"/>
        </w:rPr>
        <w:t xml:space="preserve"> estimates of sales tax revenues</w:t>
      </w:r>
      <w:r>
        <w:rPr>
          <w:color w:val="000000"/>
        </w:rPr>
        <w:t>, total and per capita,</w:t>
      </w:r>
      <w:r w:rsidR="00887FE8">
        <w:rPr>
          <w:color w:val="000000"/>
        </w:rPr>
        <w:t xml:space="preserve"> by </w:t>
      </w:r>
      <w:r w:rsidR="00E91CCF">
        <w:rPr>
          <w:color w:val="000000"/>
        </w:rPr>
        <w:t xml:space="preserve">town for a </w:t>
      </w:r>
      <w:r w:rsidR="00981F02">
        <w:rPr>
          <w:color w:val="000000"/>
        </w:rPr>
        <w:t xml:space="preserve">one </w:t>
      </w:r>
      <w:r w:rsidR="00E91CCF">
        <w:rPr>
          <w:color w:val="000000"/>
        </w:rPr>
        <w:t>percent sales tax imposed in all Connecticut towns</w:t>
      </w:r>
      <w:r w:rsidR="00346721">
        <w:rPr>
          <w:color w:val="000000"/>
        </w:rPr>
        <w:t>, with revenue going to the town from which the revenue was generated</w:t>
      </w:r>
      <w:r>
        <w:rPr>
          <w:color w:val="000000"/>
        </w:rPr>
        <w:t>.</w:t>
      </w:r>
      <w:r w:rsidR="008C6181">
        <w:rPr>
          <w:color w:val="000000"/>
        </w:rPr>
        <w:t xml:space="preserve"> </w:t>
      </w:r>
      <w:r w:rsidR="007B0989">
        <w:rPr>
          <w:color w:val="000000"/>
        </w:rPr>
        <w:t xml:space="preserve">We refer to this as the </w:t>
      </w:r>
      <w:r w:rsidR="00814D33">
        <w:rPr>
          <w:color w:val="000000"/>
        </w:rPr>
        <w:t>L</w:t>
      </w:r>
      <w:r w:rsidR="007B0989">
        <w:rPr>
          <w:color w:val="000000"/>
        </w:rPr>
        <w:t xml:space="preserve">ocal </w:t>
      </w:r>
      <w:r w:rsidR="00814D33">
        <w:rPr>
          <w:color w:val="000000"/>
        </w:rPr>
        <w:t>S</w:t>
      </w:r>
      <w:r w:rsidR="007B0989">
        <w:rPr>
          <w:color w:val="000000"/>
        </w:rPr>
        <w:t xml:space="preserve">ales </w:t>
      </w:r>
      <w:r w:rsidR="00814D33">
        <w:rPr>
          <w:color w:val="000000"/>
        </w:rPr>
        <w:t>T</w:t>
      </w:r>
      <w:r w:rsidR="007B0989">
        <w:rPr>
          <w:color w:val="000000"/>
        </w:rPr>
        <w:t xml:space="preserve">ax. </w:t>
      </w:r>
      <w:r>
        <w:t>As an alternative</w:t>
      </w:r>
      <w:r w:rsidR="007B0989">
        <w:t xml:space="preserve"> we estimated revenue for a </w:t>
      </w:r>
      <w:r w:rsidR="00814D33">
        <w:t>R</w:t>
      </w:r>
      <w:r w:rsidR="007B0989">
        <w:t xml:space="preserve">egional </w:t>
      </w:r>
      <w:r w:rsidR="00814D33">
        <w:t>S</w:t>
      </w:r>
      <w:r w:rsidR="007B0989">
        <w:t xml:space="preserve">ales </w:t>
      </w:r>
      <w:r w:rsidR="00814D33">
        <w:t>T</w:t>
      </w:r>
      <w:r w:rsidR="007B0989">
        <w:t xml:space="preserve">ax. For the </w:t>
      </w:r>
      <w:r w:rsidR="00814D33">
        <w:t>R</w:t>
      </w:r>
      <w:r w:rsidR="007B0989">
        <w:t xml:space="preserve">egional </w:t>
      </w:r>
      <w:r w:rsidR="00814D33">
        <w:t>Sales T</w:t>
      </w:r>
      <w:r w:rsidR="007B0989">
        <w:t>ax</w:t>
      </w:r>
      <w:r>
        <w:t xml:space="preserve"> we summed </w:t>
      </w:r>
      <w:r w:rsidR="007B0989">
        <w:t xml:space="preserve">local </w:t>
      </w:r>
      <w:r>
        <w:t xml:space="preserve">sales tax revenue across all towns in each of the nine planning districts (i.e., Councils of Government) and allocated the revenue across </w:t>
      </w:r>
      <w:r w:rsidR="00346721">
        <w:t>towns</w:t>
      </w:r>
      <w:r>
        <w:t xml:space="preserve"> in the planning district using a formula in which half of the revenue was allocated to the </w:t>
      </w:r>
      <w:r w:rsidR="007209FC">
        <w:t xml:space="preserve">host </w:t>
      </w:r>
      <w:r>
        <w:t xml:space="preserve">town and half was allocated on a per capita basis. </w:t>
      </w:r>
    </w:p>
    <w:p w14:paraId="7D84CB8E" w14:textId="1A387965" w:rsidR="00E67727" w:rsidRDefault="00E67727" w:rsidP="00D422A0">
      <w:pPr>
        <w:spacing w:after="0" w:line="360" w:lineRule="auto"/>
        <w:ind w:firstLine="720"/>
      </w:pPr>
      <w:r>
        <w:t>The estimate</w:t>
      </w:r>
      <w:r w:rsidR="00814D33">
        <w:t>d R</w:t>
      </w:r>
      <w:r w:rsidR="007B0989">
        <w:t xml:space="preserve">egional </w:t>
      </w:r>
      <w:r w:rsidR="00814D33">
        <w:t>S</w:t>
      </w:r>
      <w:r w:rsidR="007B0989">
        <w:t xml:space="preserve">ales </w:t>
      </w:r>
      <w:r w:rsidR="00814D33">
        <w:t>T</w:t>
      </w:r>
      <w:r w:rsidR="007B0989">
        <w:t xml:space="preserve">ax revenue </w:t>
      </w:r>
      <w:r>
        <w:t xml:space="preserve">by town, total and per capita, are also presented Appendix Table A1. </w:t>
      </w:r>
      <w:r>
        <w:rPr>
          <w:color w:val="000000"/>
        </w:rPr>
        <w:t xml:space="preserve">Appendix A explains how these estimates were developed. </w:t>
      </w:r>
      <w:r>
        <w:t xml:space="preserve">The last column in Appendix Table A1 is a fiscal </w:t>
      </w:r>
      <w:r w:rsidR="006468C5">
        <w:t>disparities</w:t>
      </w:r>
      <w:r>
        <w:t xml:space="preserve"> index, which is discussed below.</w:t>
      </w:r>
    </w:p>
    <w:p w14:paraId="2E991CE2" w14:textId="629452AE" w:rsidR="00422309" w:rsidRDefault="0047739C" w:rsidP="00D422A0">
      <w:pPr>
        <w:spacing w:after="0" w:line="360" w:lineRule="auto"/>
        <w:ind w:firstLine="720"/>
        <w:rPr>
          <w:color w:val="000000"/>
        </w:rPr>
      </w:pPr>
      <w:r>
        <w:rPr>
          <w:color w:val="000000"/>
        </w:rPr>
        <w:t xml:space="preserve">It needs to be stressed that these estimates </w:t>
      </w:r>
      <w:r w:rsidR="00346721">
        <w:rPr>
          <w:color w:val="000000"/>
        </w:rPr>
        <w:t>should not</w:t>
      </w:r>
      <w:r>
        <w:rPr>
          <w:color w:val="000000"/>
        </w:rPr>
        <w:t xml:space="preserve"> be used for budgeting purposes</w:t>
      </w:r>
      <w:r w:rsidR="009E7ECE">
        <w:rPr>
          <w:color w:val="000000"/>
        </w:rPr>
        <w:t xml:space="preserve">; data </w:t>
      </w:r>
      <w:r w:rsidR="006468C5">
        <w:rPr>
          <w:color w:val="000000"/>
        </w:rPr>
        <w:t>limitation suggest that the revenue</w:t>
      </w:r>
      <w:r w:rsidR="009E7ECE">
        <w:rPr>
          <w:color w:val="000000"/>
        </w:rPr>
        <w:t xml:space="preserve"> estimate</w:t>
      </w:r>
      <w:r w:rsidR="006468C5">
        <w:rPr>
          <w:color w:val="000000"/>
        </w:rPr>
        <w:t>s should be viewed with caution and may be</w:t>
      </w:r>
      <w:r w:rsidR="00346721">
        <w:rPr>
          <w:color w:val="000000"/>
        </w:rPr>
        <w:t xml:space="preserve"> imprecise</w:t>
      </w:r>
      <w:r w:rsidR="003E6780">
        <w:rPr>
          <w:color w:val="000000"/>
        </w:rPr>
        <w:t xml:space="preserve"> (see Appendix </w:t>
      </w:r>
      <w:r w:rsidR="007F5BD5">
        <w:rPr>
          <w:color w:val="000000"/>
        </w:rPr>
        <w:t>A</w:t>
      </w:r>
      <w:r w:rsidR="003E6780">
        <w:rPr>
          <w:color w:val="000000"/>
        </w:rPr>
        <w:t xml:space="preserve"> for a discussion)</w:t>
      </w:r>
      <w:r w:rsidR="009E7ECE">
        <w:rPr>
          <w:color w:val="000000"/>
        </w:rPr>
        <w:t>.</w:t>
      </w:r>
      <w:r>
        <w:rPr>
          <w:color w:val="000000"/>
        </w:rPr>
        <w:t xml:space="preserve"> </w:t>
      </w:r>
      <w:r w:rsidR="003E6780">
        <w:rPr>
          <w:color w:val="000000"/>
        </w:rPr>
        <w:t xml:space="preserve">Because the data do not accurately measure the tax base for each town, we did not attempt to adjust for possible changes in the base due to </w:t>
      </w:r>
      <w:r w:rsidR="007B0989">
        <w:rPr>
          <w:color w:val="000000"/>
        </w:rPr>
        <w:t xml:space="preserve">the tax increase and to </w:t>
      </w:r>
      <w:r w:rsidR="00D30A9B">
        <w:rPr>
          <w:color w:val="000000"/>
        </w:rPr>
        <w:t>cross border shopping</w:t>
      </w:r>
      <w:r w:rsidR="003E6780">
        <w:rPr>
          <w:color w:val="000000"/>
        </w:rPr>
        <w:t xml:space="preserve">. </w:t>
      </w:r>
      <w:r w:rsidR="00E67727">
        <w:rPr>
          <w:color w:val="000000"/>
        </w:rPr>
        <w:t>However, t</w:t>
      </w:r>
      <w:r w:rsidR="003E6780">
        <w:rPr>
          <w:color w:val="000000"/>
        </w:rPr>
        <w:t>h</w:t>
      </w:r>
      <w:r>
        <w:rPr>
          <w:color w:val="000000"/>
        </w:rPr>
        <w:t>ese estimates</w:t>
      </w:r>
      <w:r w:rsidR="003E6780">
        <w:rPr>
          <w:color w:val="000000"/>
        </w:rPr>
        <w:t xml:space="preserve"> </w:t>
      </w:r>
      <w:r w:rsidR="00346721">
        <w:rPr>
          <w:color w:val="000000"/>
        </w:rPr>
        <w:t xml:space="preserve">do </w:t>
      </w:r>
      <w:r>
        <w:rPr>
          <w:color w:val="000000"/>
        </w:rPr>
        <w:t xml:space="preserve">provide </w:t>
      </w:r>
      <w:r w:rsidR="003E6780">
        <w:rPr>
          <w:color w:val="000000"/>
        </w:rPr>
        <w:t xml:space="preserve">a reasonable </w:t>
      </w:r>
      <w:r>
        <w:rPr>
          <w:color w:val="000000"/>
        </w:rPr>
        <w:t xml:space="preserve">indication of local sales tax revenue </w:t>
      </w:r>
      <w:r w:rsidR="00E67727">
        <w:rPr>
          <w:color w:val="000000"/>
        </w:rPr>
        <w:t xml:space="preserve">for </w:t>
      </w:r>
      <w:r>
        <w:rPr>
          <w:color w:val="000000"/>
        </w:rPr>
        <w:t>inform</w:t>
      </w:r>
      <w:r w:rsidR="00E67727">
        <w:rPr>
          <w:color w:val="000000"/>
        </w:rPr>
        <w:t>ing</w:t>
      </w:r>
      <w:r>
        <w:rPr>
          <w:color w:val="000000"/>
        </w:rPr>
        <w:t xml:space="preserve"> state tax policy, </w:t>
      </w:r>
      <w:r w:rsidR="00E67727">
        <w:rPr>
          <w:color w:val="000000"/>
        </w:rPr>
        <w:t xml:space="preserve">but </w:t>
      </w:r>
      <w:r>
        <w:rPr>
          <w:color w:val="000000"/>
        </w:rPr>
        <w:t xml:space="preserve">not </w:t>
      </w:r>
      <w:r w:rsidR="00E67727">
        <w:rPr>
          <w:color w:val="000000"/>
        </w:rPr>
        <w:t xml:space="preserve">for </w:t>
      </w:r>
      <w:r>
        <w:rPr>
          <w:color w:val="000000"/>
        </w:rPr>
        <w:t>local government budget</w:t>
      </w:r>
      <w:r w:rsidR="00E67727">
        <w:rPr>
          <w:color w:val="000000"/>
        </w:rPr>
        <w:t xml:space="preserve"> making</w:t>
      </w:r>
      <w:r>
        <w:rPr>
          <w:color w:val="000000"/>
        </w:rPr>
        <w:t>.</w:t>
      </w:r>
      <w:r w:rsidR="00FF23F5">
        <w:rPr>
          <w:color w:val="000000"/>
        </w:rPr>
        <w:t xml:space="preserve"> </w:t>
      </w:r>
    </w:p>
    <w:p w14:paraId="242747BA" w14:textId="77777777" w:rsidR="00D26E24" w:rsidRDefault="00540CC2" w:rsidP="002848F3">
      <w:pPr>
        <w:spacing w:after="0" w:line="360" w:lineRule="auto"/>
        <w:ind w:firstLine="720"/>
        <w:rPr>
          <w:color w:val="000000"/>
        </w:rPr>
      </w:pPr>
      <w:r>
        <w:rPr>
          <w:color w:val="000000"/>
        </w:rPr>
        <w:t xml:space="preserve">The data on state sales taxes due by town do not include sales taxes collected </w:t>
      </w:r>
      <w:r w:rsidR="00D11E31">
        <w:rPr>
          <w:color w:val="000000"/>
        </w:rPr>
        <w:t xml:space="preserve">from </w:t>
      </w:r>
      <w:r>
        <w:rPr>
          <w:color w:val="000000"/>
        </w:rPr>
        <w:t>out-of-state</w:t>
      </w:r>
      <w:r w:rsidR="00D11E31">
        <w:rPr>
          <w:color w:val="000000"/>
        </w:rPr>
        <w:t xml:space="preserve"> vendors</w:t>
      </w:r>
      <w:r>
        <w:rPr>
          <w:color w:val="000000"/>
        </w:rPr>
        <w:t xml:space="preserve">, which are 21.3 percent of total sales taxes due. </w:t>
      </w:r>
      <w:r w:rsidR="00346721">
        <w:rPr>
          <w:color w:val="000000"/>
        </w:rPr>
        <w:t>Since there is no obvious way to appropriately allocate this sales tax revenue to towns, we are forced to</w:t>
      </w:r>
      <w:r w:rsidR="00D11E31">
        <w:rPr>
          <w:color w:val="000000"/>
        </w:rPr>
        <w:t xml:space="preserve"> ignor</w:t>
      </w:r>
      <w:r w:rsidR="00346721">
        <w:rPr>
          <w:color w:val="000000"/>
        </w:rPr>
        <w:t>e</w:t>
      </w:r>
      <w:r w:rsidR="00D11E31">
        <w:rPr>
          <w:color w:val="000000"/>
        </w:rPr>
        <w:t xml:space="preserve"> the revenue collected from out-of-state vendors</w:t>
      </w:r>
      <w:r w:rsidR="00346721">
        <w:rPr>
          <w:color w:val="000000"/>
        </w:rPr>
        <w:t>. The sum of</w:t>
      </w:r>
      <w:r w:rsidR="00D11E31">
        <w:rPr>
          <w:color w:val="000000"/>
        </w:rPr>
        <w:t xml:space="preserve"> the estimated revenue</w:t>
      </w:r>
      <w:r w:rsidR="00346721">
        <w:rPr>
          <w:color w:val="000000"/>
        </w:rPr>
        <w:t xml:space="preserve"> by town</w:t>
      </w:r>
      <w:r w:rsidR="00D11E31">
        <w:rPr>
          <w:color w:val="000000"/>
        </w:rPr>
        <w:t xml:space="preserve"> from a</w:t>
      </w:r>
      <w:r>
        <w:rPr>
          <w:color w:val="000000"/>
        </w:rPr>
        <w:t xml:space="preserve"> one percent local sales tax </w:t>
      </w:r>
      <w:r w:rsidR="00D11E31">
        <w:rPr>
          <w:color w:val="000000"/>
        </w:rPr>
        <w:t xml:space="preserve">is </w:t>
      </w:r>
      <w:r w:rsidR="00346721">
        <w:rPr>
          <w:color w:val="000000"/>
        </w:rPr>
        <w:t xml:space="preserve">thus </w:t>
      </w:r>
      <w:r w:rsidR="00D11E31">
        <w:rPr>
          <w:color w:val="000000"/>
        </w:rPr>
        <w:t>$473.5 million</w:t>
      </w:r>
      <w:r w:rsidR="006468C5">
        <w:rPr>
          <w:color w:val="000000"/>
        </w:rPr>
        <w:t>.</w:t>
      </w:r>
      <w:r w:rsidR="006468C5">
        <w:rPr>
          <w:rStyle w:val="FootnoteReference"/>
          <w:color w:val="000000"/>
        </w:rPr>
        <w:footnoteReference w:id="15"/>
      </w:r>
      <w:r w:rsidR="00D11E31">
        <w:rPr>
          <w:color w:val="000000"/>
        </w:rPr>
        <w:t xml:space="preserve"> Local sales tax per capita by town ranges from </w:t>
      </w:r>
      <w:r w:rsidR="002848F3">
        <w:rPr>
          <w:color w:val="000000"/>
        </w:rPr>
        <w:t xml:space="preserve">$5 </w:t>
      </w:r>
      <w:r w:rsidR="002848F3">
        <w:rPr>
          <w:color w:val="000000"/>
        </w:rPr>
        <w:lastRenderedPageBreak/>
        <w:t>to $717</w:t>
      </w:r>
      <w:r w:rsidR="00D11E31">
        <w:rPr>
          <w:color w:val="000000"/>
        </w:rPr>
        <w:t>,</w:t>
      </w:r>
      <w:r w:rsidR="002848F3">
        <w:rPr>
          <w:color w:val="000000"/>
        </w:rPr>
        <w:t xml:space="preserve"> </w:t>
      </w:r>
      <w:r w:rsidR="00346721">
        <w:rPr>
          <w:color w:val="000000"/>
        </w:rPr>
        <w:t>which is a large variation in per capita revenue across towns. T</w:t>
      </w:r>
      <w:r w:rsidR="002848F3">
        <w:rPr>
          <w:color w:val="000000"/>
        </w:rPr>
        <w:t>he range for the regional sales tax is from $42 to $230</w:t>
      </w:r>
      <w:r w:rsidR="00346721">
        <w:rPr>
          <w:color w:val="000000"/>
        </w:rPr>
        <w:t>, which is a much smaller range</w:t>
      </w:r>
      <w:r w:rsidR="002848F3">
        <w:rPr>
          <w:color w:val="000000"/>
        </w:rPr>
        <w:t>.</w:t>
      </w:r>
      <w:r w:rsidR="00A83A1E">
        <w:rPr>
          <w:color w:val="000000"/>
        </w:rPr>
        <w:t xml:space="preserve"> </w:t>
      </w:r>
    </w:p>
    <w:p w14:paraId="3C2EA163" w14:textId="3F18ABCD" w:rsidR="00A83A1E" w:rsidRDefault="00A83A1E" w:rsidP="002848F3">
      <w:pPr>
        <w:spacing w:after="0" w:line="360" w:lineRule="auto"/>
        <w:ind w:firstLine="720"/>
        <w:rPr>
          <w:color w:val="000000"/>
        </w:rPr>
      </w:pPr>
      <w:r>
        <w:rPr>
          <w:color w:val="000000"/>
        </w:rPr>
        <w:t>Obviously, the makeup of the regions can be altered</w:t>
      </w:r>
      <w:r w:rsidR="00C70579">
        <w:rPr>
          <w:color w:val="000000"/>
        </w:rPr>
        <w:t xml:space="preserve"> (</w:t>
      </w:r>
      <w:r w:rsidR="008474FF">
        <w:rPr>
          <w:color w:val="000000"/>
        </w:rPr>
        <w:t xml:space="preserve">we used the towns in the </w:t>
      </w:r>
      <w:r>
        <w:rPr>
          <w:color w:val="000000"/>
        </w:rPr>
        <w:t xml:space="preserve">planning districts </w:t>
      </w:r>
      <w:r w:rsidR="00C70579">
        <w:rPr>
          <w:color w:val="000000"/>
        </w:rPr>
        <w:t>out of convenience), and an alternative formula for the distribution sales tax revenue within the district could be selected.</w:t>
      </w:r>
      <w:r w:rsidR="00D26E24">
        <w:rPr>
          <w:color w:val="000000"/>
        </w:rPr>
        <w:t xml:space="preserve"> Having the state define the regions </w:t>
      </w:r>
      <w:r w:rsidR="00C076D0">
        <w:rPr>
          <w:color w:val="000000"/>
        </w:rPr>
        <w:t xml:space="preserve">would seem to make more sense than allowing towns to decide which towns they want to with. The decision of whether the region will adopt a local sales tax could be made by vote of a majority or super majority of towns, with the possibility that the choice for each town be by referendum in that town. Or, there could be a region-wide referendum. There is no need for a regional authority, particularly if the administration of the tax is done by the state. </w:t>
      </w:r>
    </w:p>
    <w:p w14:paraId="555EDF06" w14:textId="7DC09CF1" w:rsidR="002848F3" w:rsidRDefault="002848F3" w:rsidP="002848F3">
      <w:pPr>
        <w:spacing w:after="0" w:line="360" w:lineRule="auto"/>
        <w:ind w:firstLine="720"/>
      </w:pPr>
      <w:r>
        <w:rPr>
          <w:color w:val="000000"/>
        </w:rPr>
        <w:t xml:space="preserve">As expected the regional sales tax increases the revenue to towns with low local sales tax revenue per capita </w:t>
      </w:r>
      <w:r w:rsidR="00346721">
        <w:rPr>
          <w:color w:val="000000"/>
        </w:rPr>
        <w:t xml:space="preserve">and decrease revenue </w:t>
      </w:r>
      <w:r>
        <w:rPr>
          <w:color w:val="000000"/>
        </w:rPr>
        <w:t xml:space="preserve">from towns with high local sales tax revenue per capita. This can be seen in </w:t>
      </w:r>
      <w:r w:rsidR="003E6780" w:rsidRPr="002848F3">
        <w:t>Figure 1</w:t>
      </w:r>
      <w:r>
        <w:t>, which</w:t>
      </w:r>
      <w:r w:rsidR="003E6780" w:rsidRPr="002848F3">
        <w:t xml:space="preserve"> plots the </w:t>
      </w:r>
      <w:r w:rsidR="00985C49">
        <w:t>L</w:t>
      </w:r>
      <w:r>
        <w:t xml:space="preserve">ocal and </w:t>
      </w:r>
      <w:r w:rsidR="00985C49">
        <w:t>R</w:t>
      </w:r>
      <w:r>
        <w:t xml:space="preserve">egional </w:t>
      </w:r>
      <w:r w:rsidR="00985C49">
        <w:t>S</w:t>
      </w:r>
      <w:r>
        <w:t xml:space="preserve">ales </w:t>
      </w:r>
      <w:r w:rsidR="00985C49">
        <w:t>T</w:t>
      </w:r>
      <w:r>
        <w:t xml:space="preserve">ax </w:t>
      </w:r>
      <w:r w:rsidR="003E6780" w:rsidRPr="002848F3">
        <w:t>revenue per capita</w:t>
      </w:r>
      <w:r>
        <w:t>, as</w:t>
      </w:r>
      <w:r w:rsidR="003E6780" w:rsidRPr="002848F3">
        <w:t xml:space="preserve"> reported in </w:t>
      </w:r>
      <w:r>
        <w:t xml:space="preserve">Appendix </w:t>
      </w:r>
      <w:r w:rsidR="003E6780" w:rsidRPr="002848F3">
        <w:t>Table</w:t>
      </w:r>
      <w:r>
        <w:t xml:space="preserve"> A1.</w:t>
      </w:r>
      <w:r w:rsidR="00346721">
        <w:t xml:space="preserve"> The line in Figure 1 represents </w:t>
      </w:r>
      <w:r w:rsidR="00814D33">
        <w:t>equal values of</w:t>
      </w:r>
      <w:r w:rsidR="00346721">
        <w:t xml:space="preserve"> the revenue per capita from the two sales taxes. Points above the line represent towns for which sales tax revenue per capita from the </w:t>
      </w:r>
      <w:r w:rsidR="00814D33">
        <w:t>R</w:t>
      </w:r>
      <w:r w:rsidR="00346721">
        <w:t xml:space="preserve">egional </w:t>
      </w:r>
      <w:r w:rsidR="00814D33">
        <w:t xml:space="preserve">Sales Tax </w:t>
      </w:r>
      <w:r w:rsidR="00346721">
        <w:t xml:space="preserve">is greater than for the </w:t>
      </w:r>
      <w:r w:rsidR="00985C49">
        <w:t>L</w:t>
      </w:r>
      <w:r w:rsidR="00346721">
        <w:t xml:space="preserve">ocal </w:t>
      </w:r>
      <w:r w:rsidR="00985C49">
        <w:t>Sales T</w:t>
      </w:r>
      <w:r w:rsidR="00346721">
        <w:t xml:space="preserve">ax. Notice that towns with lower </w:t>
      </w:r>
      <w:r w:rsidR="00985C49">
        <w:t>L</w:t>
      </w:r>
      <w:r w:rsidR="00346721">
        <w:t xml:space="preserve">ocal </w:t>
      </w:r>
      <w:r w:rsidR="00985C49">
        <w:t>S</w:t>
      </w:r>
      <w:r w:rsidR="00346721">
        <w:t xml:space="preserve">ales </w:t>
      </w:r>
      <w:r w:rsidR="00985C49">
        <w:t>T</w:t>
      </w:r>
      <w:r w:rsidR="00346721">
        <w:t xml:space="preserve">ax revenue per capita </w:t>
      </w:r>
      <w:r w:rsidR="00140A9C">
        <w:t xml:space="preserve">are </w:t>
      </w:r>
      <w:r w:rsidR="00346721">
        <w:t>generally</w:t>
      </w:r>
      <w:r w:rsidR="00140A9C">
        <w:t xml:space="preserve"> above the line,</w:t>
      </w:r>
      <w:r w:rsidR="00A83A1E">
        <w:t xml:space="preserve"> </w:t>
      </w:r>
      <w:r w:rsidR="00140A9C">
        <w:t>that is</w:t>
      </w:r>
      <w:r w:rsidR="00A83A1E">
        <w:t>,</w:t>
      </w:r>
      <w:r w:rsidR="00140A9C">
        <w:t xml:space="preserve"> th</w:t>
      </w:r>
      <w:r w:rsidR="00A83A1E">
        <w:t>ose towns</w:t>
      </w:r>
      <w:r w:rsidR="00346721">
        <w:t xml:space="preserve"> have higher </w:t>
      </w:r>
      <w:r w:rsidR="00814D33">
        <w:t>R</w:t>
      </w:r>
      <w:r w:rsidR="00346721">
        <w:t>egion</w:t>
      </w:r>
      <w:r w:rsidR="00814D33">
        <w:t>al Sales Tax revenue per capita than Local Sales Tax revenue per capita.</w:t>
      </w:r>
    </w:p>
    <w:p w14:paraId="6BFF5288" w14:textId="77777777" w:rsidR="002848F3" w:rsidRDefault="002848F3" w:rsidP="002848F3">
      <w:pPr>
        <w:spacing w:after="0" w:line="360" w:lineRule="auto"/>
        <w:ind w:firstLine="720"/>
      </w:pPr>
    </w:p>
    <w:p w14:paraId="0E058D79" w14:textId="3FCD7787" w:rsidR="00C93051" w:rsidRDefault="006F7202" w:rsidP="006F7202">
      <w:pPr>
        <w:spacing w:after="0" w:line="360" w:lineRule="auto"/>
      </w:pPr>
      <w:bookmarkStart w:id="67" w:name="_Toc433373703"/>
      <w:r w:rsidRPr="006F7202">
        <w:rPr>
          <w:rStyle w:val="Heading5Char"/>
        </w:rPr>
        <w:lastRenderedPageBreak/>
        <w:t xml:space="preserve">Figure 1. </w:t>
      </w:r>
      <w:r w:rsidR="00985C49">
        <w:rPr>
          <w:rStyle w:val="Heading5Char"/>
        </w:rPr>
        <w:t xml:space="preserve">Estimated </w:t>
      </w:r>
      <w:r w:rsidRPr="006F7202">
        <w:rPr>
          <w:rStyle w:val="Heading5Char"/>
        </w:rPr>
        <w:t>Regional and Local Sales Tax</w:t>
      </w:r>
      <w:r w:rsidR="00985C49">
        <w:rPr>
          <w:rStyle w:val="Heading5Char"/>
        </w:rPr>
        <w:t xml:space="preserve"> Revenue</w:t>
      </w:r>
      <w:bookmarkEnd w:id="67"/>
      <w:r w:rsidR="00985C49">
        <w:rPr>
          <w:rStyle w:val="Heading5Char"/>
        </w:rPr>
        <w:t xml:space="preserve"> </w:t>
      </w:r>
      <w:r w:rsidR="001F0FA3">
        <w:rPr>
          <w:noProof/>
          <w:lang w:bidi="ar-SA"/>
        </w:rPr>
        <w:drawing>
          <wp:inline distT="0" distB="0" distL="0" distR="0" wp14:anchorId="0CE3BC69" wp14:editId="486F5487">
            <wp:extent cx="5173980" cy="306324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7598C8" w14:textId="77777777" w:rsidR="002848F3" w:rsidRDefault="002848F3" w:rsidP="002848F3">
      <w:pPr>
        <w:spacing w:after="0" w:line="360" w:lineRule="auto"/>
        <w:ind w:firstLine="360"/>
      </w:pPr>
    </w:p>
    <w:p w14:paraId="5C2EAF40" w14:textId="3F8FE945" w:rsidR="002848F3" w:rsidRDefault="002848F3" w:rsidP="002848F3">
      <w:pPr>
        <w:spacing w:after="0" w:line="360" w:lineRule="auto"/>
      </w:pPr>
      <w:r>
        <w:tab/>
        <w:t xml:space="preserve">Figure 2 provides more detail on the distribution of sales tax revenue per capita. </w:t>
      </w:r>
      <w:r w:rsidR="0095527D">
        <w:t xml:space="preserve">In particular, the figure shows that </w:t>
      </w:r>
      <w:r w:rsidR="002875D8">
        <w:t xml:space="preserve">there are many more towns with </w:t>
      </w:r>
      <w:r w:rsidR="00985C49">
        <w:t>L</w:t>
      </w:r>
      <w:r w:rsidR="002875D8">
        <w:t xml:space="preserve">ocal </w:t>
      </w:r>
      <w:r w:rsidR="00985C49">
        <w:t>S</w:t>
      </w:r>
      <w:r w:rsidR="002875D8">
        <w:t xml:space="preserve">ales </w:t>
      </w:r>
      <w:r w:rsidR="00985C49">
        <w:t>T</w:t>
      </w:r>
      <w:r w:rsidR="002875D8">
        <w:t xml:space="preserve">ax revenue per capita below $75 and above </w:t>
      </w:r>
      <w:r w:rsidR="00985C49">
        <w:t>$200 than for the R</w:t>
      </w:r>
      <w:r w:rsidR="002875D8">
        <w:t xml:space="preserve">egional </w:t>
      </w:r>
      <w:r w:rsidR="00985C49">
        <w:t>S</w:t>
      </w:r>
      <w:r w:rsidR="002875D8">
        <w:t xml:space="preserve">ales </w:t>
      </w:r>
      <w:r w:rsidR="00985C49">
        <w:t>T</w:t>
      </w:r>
      <w:r w:rsidR="002875D8">
        <w:t xml:space="preserve">ax. </w:t>
      </w:r>
    </w:p>
    <w:p w14:paraId="3BA85832" w14:textId="77777777" w:rsidR="006F7202" w:rsidRDefault="006F7202" w:rsidP="006F7202">
      <w:pPr>
        <w:spacing w:after="0" w:line="360" w:lineRule="auto"/>
        <w:rPr>
          <w:b/>
          <w:bCs/>
        </w:rPr>
      </w:pPr>
    </w:p>
    <w:p w14:paraId="35750195" w14:textId="0EF4C786" w:rsidR="002848F3" w:rsidRDefault="006F7202" w:rsidP="006F7202">
      <w:pPr>
        <w:spacing w:after="0" w:line="360" w:lineRule="auto"/>
      </w:pPr>
      <w:bookmarkStart w:id="68" w:name="_Toc433373704"/>
      <w:r w:rsidRPr="006F7202">
        <w:rPr>
          <w:rStyle w:val="Heading5Char"/>
          <w:rFonts w:eastAsiaTheme="minorEastAsia"/>
        </w:rPr>
        <w:t xml:space="preserve">Figure 2. Distribution of </w:t>
      </w:r>
      <w:r w:rsidR="00985C49">
        <w:rPr>
          <w:rStyle w:val="Heading5Char"/>
          <w:rFonts w:eastAsiaTheme="minorEastAsia"/>
        </w:rPr>
        <w:t xml:space="preserve">Estimated </w:t>
      </w:r>
      <w:r w:rsidRPr="006F7202">
        <w:rPr>
          <w:rStyle w:val="Heading5Char"/>
          <w:rFonts w:eastAsiaTheme="minorEastAsia"/>
        </w:rPr>
        <w:t>Sales Tax Revenue Per Capita</w:t>
      </w:r>
      <w:bookmarkEnd w:id="68"/>
      <w:r w:rsidRPr="006F7202">
        <w:rPr>
          <w:b/>
          <w:bCs/>
        </w:rPr>
        <w:t xml:space="preserve"> </w:t>
      </w:r>
      <w:r w:rsidR="002848F3">
        <w:rPr>
          <w:noProof/>
          <w:lang w:bidi="ar-SA"/>
        </w:rPr>
        <w:drawing>
          <wp:inline distT="0" distB="0" distL="0" distR="0" wp14:anchorId="411BF543" wp14:editId="2F711B19">
            <wp:extent cx="5593080" cy="318897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56EAE6" w14:textId="77777777" w:rsidR="002848F3" w:rsidRDefault="002848F3" w:rsidP="002848F3">
      <w:pPr>
        <w:spacing w:after="0" w:line="360" w:lineRule="auto"/>
      </w:pPr>
    </w:p>
    <w:p w14:paraId="46B84253" w14:textId="77777777" w:rsidR="00985C49" w:rsidRDefault="00985C49" w:rsidP="00985C49">
      <w:pPr>
        <w:spacing w:after="0" w:line="240" w:lineRule="auto"/>
        <w:rPr>
          <w:rStyle w:val="Heading5Char"/>
        </w:rPr>
      </w:pPr>
    </w:p>
    <w:p w14:paraId="4C94B950" w14:textId="548C7089" w:rsidR="00985C49" w:rsidRDefault="006F7202" w:rsidP="00985C49">
      <w:pPr>
        <w:spacing w:after="0" w:line="240" w:lineRule="auto"/>
        <w:rPr>
          <w:rStyle w:val="Heading5Char"/>
        </w:rPr>
      </w:pPr>
      <w:bookmarkStart w:id="69" w:name="_Toc433373705"/>
      <w:r w:rsidRPr="006F7202">
        <w:rPr>
          <w:rStyle w:val="Heading5Char"/>
        </w:rPr>
        <w:t xml:space="preserve">Figure 3. </w:t>
      </w:r>
      <w:r w:rsidR="00985C49">
        <w:rPr>
          <w:rStyle w:val="Heading5Char"/>
        </w:rPr>
        <w:t xml:space="preserve">Potential </w:t>
      </w:r>
      <w:r w:rsidRPr="006F7202">
        <w:rPr>
          <w:rStyle w:val="Heading5Char"/>
        </w:rPr>
        <w:t>Percent</w:t>
      </w:r>
      <w:r w:rsidR="00985C49">
        <w:rPr>
          <w:rStyle w:val="Heading5Char"/>
        </w:rPr>
        <w:t>age</w:t>
      </w:r>
      <w:r w:rsidRPr="006F7202">
        <w:rPr>
          <w:rStyle w:val="Heading5Char"/>
        </w:rPr>
        <w:t xml:space="preserve"> Reduction in Property Taxes</w:t>
      </w:r>
      <w:r w:rsidR="00985C49">
        <w:rPr>
          <w:rStyle w:val="Heading5Char"/>
        </w:rPr>
        <w:t xml:space="preserve"> Using Revenue from the Local Sales Tax and Regional Sales Tax</w:t>
      </w:r>
      <w:bookmarkEnd w:id="69"/>
      <w:r w:rsidR="009D2E18">
        <w:rPr>
          <w:noProof/>
          <w:lang w:bidi="ar-SA"/>
        </w:rPr>
        <w:drawing>
          <wp:inline distT="0" distB="0" distL="0" distR="0" wp14:anchorId="2AC61DC0" wp14:editId="1E4B8EA6">
            <wp:extent cx="5684520" cy="29718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DE232C" w14:textId="164C12D0" w:rsidR="00985C49" w:rsidRDefault="00985C49" w:rsidP="00985C49">
      <w:pPr>
        <w:spacing w:after="0" w:line="240" w:lineRule="auto"/>
        <w:rPr>
          <w:rStyle w:val="Heading5Char"/>
        </w:rPr>
      </w:pPr>
    </w:p>
    <w:p w14:paraId="3CF81053" w14:textId="77777777" w:rsidR="00985C49" w:rsidRDefault="00985C49" w:rsidP="00985C49">
      <w:pPr>
        <w:spacing w:after="0" w:line="240" w:lineRule="auto"/>
        <w:rPr>
          <w:rStyle w:val="Heading5Char"/>
        </w:rPr>
      </w:pPr>
    </w:p>
    <w:p w14:paraId="5F10BAC7" w14:textId="7F589EC3" w:rsidR="009D2E18" w:rsidRDefault="009D2E18" w:rsidP="009D2E18">
      <w:pPr>
        <w:spacing w:after="0" w:line="360" w:lineRule="auto"/>
        <w:ind w:firstLine="720"/>
        <w:rPr>
          <w:color w:val="000000"/>
        </w:rPr>
      </w:pPr>
      <w:r>
        <w:rPr>
          <w:color w:val="000000"/>
        </w:rPr>
        <w:t xml:space="preserve">To the extent that the sales tax will be used to reduce property taxes, it is of interest to show the potential reduction in property taxes. Figure 3 plots the potential reduction in property taxes for the </w:t>
      </w:r>
      <w:r w:rsidR="007209FC">
        <w:rPr>
          <w:color w:val="000000"/>
        </w:rPr>
        <w:t>Lo</w:t>
      </w:r>
      <w:r>
        <w:rPr>
          <w:color w:val="000000"/>
        </w:rPr>
        <w:t xml:space="preserve">cal </w:t>
      </w:r>
      <w:r w:rsidR="007209FC">
        <w:rPr>
          <w:color w:val="000000"/>
        </w:rPr>
        <w:t xml:space="preserve">Sales Tax </w:t>
      </w:r>
      <w:r>
        <w:rPr>
          <w:color w:val="000000"/>
        </w:rPr>
        <w:t xml:space="preserve">and </w:t>
      </w:r>
      <w:r w:rsidR="007209FC">
        <w:rPr>
          <w:color w:val="000000"/>
        </w:rPr>
        <w:t>the R</w:t>
      </w:r>
      <w:r>
        <w:rPr>
          <w:color w:val="000000"/>
        </w:rPr>
        <w:t xml:space="preserve">egional </w:t>
      </w:r>
      <w:r w:rsidR="007209FC">
        <w:rPr>
          <w:color w:val="000000"/>
        </w:rPr>
        <w:t>S</w:t>
      </w:r>
      <w:r>
        <w:rPr>
          <w:color w:val="000000"/>
        </w:rPr>
        <w:t xml:space="preserve">ales </w:t>
      </w:r>
      <w:r w:rsidR="007209FC">
        <w:rPr>
          <w:color w:val="000000"/>
        </w:rPr>
        <w:t>T</w:t>
      </w:r>
      <w:r>
        <w:rPr>
          <w:color w:val="000000"/>
        </w:rPr>
        <w:t xml:space="preserve">ax. Bear in mind that because the sales tax revenue from out-of-state vendors is not included, the calculation understates the potential total reduction in property taxes by 21.3 percent. On average, property taxes could be reduced by 5.0 percent (or 6.1 percent if the revenue from out-of-state vendors is included.) </w:t>
      </w:r>
    </w:p>
    <w:p w14:paraId="1902CD98" w14:textId="6CF25B79" w:rsidR="000A6609" w:rsidRDefault="00E67727" w:rsidP="00D422A0">
      <w:pPr>
        <w:spacing w:after="0" w:line="360" w:lineRule="auto"/>
        <w:ind w:firstLine="720"/>
        <w:rPr>
          <w:color w:val="000000"/>
        </w:rPr>
      </w:pPr>
      <w:r w:rsidRPr="00EC29BD">
        <w:rPr>
          <w:color w:val="000000"/>
        </w:rPr>
        <w:t>Because it is hard to make comparisons across all 169 towns, 23 towns were selected in order to provide a clearer picture of how sales tax revenue varies across tow</w:t>
      </w:r>
      <w:r>
        <w:rPr>
          <w:color w:val="000000"/>
        </w:rPr>
        <w:t xml:space="preserve">ns. The 23 towns represent 5 categories of towns: large cities, small cities, rich suburbs, mixed base, </w:t>
      </w:r>
      <w:r w:rsidR="00CA2F76">
        <w:rPr>
          <w:color w:val="000000"/>
        </w:rPr>
        <w:t xml:space="preserve">and </w:t>
      </w:r>
      <w:r>
        <w:rPr>
          <w:color w:val="000000"/>
        </w:rPr>
        <w:t xml:space="preserve">rural. </w:t>
      </w:r>
      <w:r w:rsidR="00CA2F76">
        <w:rPr>
          <w:color w:val="000000"/>
        </w:rPr>
        <w:t>Appendix Table 2A lists the towns and s</w:t>
      </w:r>
      <w:r>
        <w:rPr>
          <w:color w:val="000000"/>
        </w:rPr>
        <w:t xml:space="preserve">everal demographic and economic variables for each town for two different years. Table </w:t>
      </w:r>
      <w:r w:rsidR="00CA2F76">
        <w:rPr>
          <w:color w:val="000000"/>
        </w:rPr>
        <w:t>3</w:t>
      </w:r>
      <w:r>
        <w:rPr>
          <w:color w:val="000000"/>
        </w:rPr>
        <w:t xml:space="preserve"> reports the latest population, </w:t>
      </w:r>
      <w:r w:rsidR="00985C49">
        <w:rPr>
          <w:color w:val="000000"/>
        </w:rPr>
        <w:t>Net G</w:t>
      </w:r>
      <w:r>
        <w:rPr>
          <w:color w:val="000000"/>
        </w:rPr>
        <w:t xml:space="preserve">rand </w:t>
      </w:r>
      <w:r w:rsidR="00985C49">
        <w:rPr>
          <w:color w:val="000000"/>
        </w:rPr>
        <w:t>L</w:t>
      </w:r>
      <w:r>
        <w:rPr>
          <w:color w:val="000000"/>
        </w:rPr>
        <w:t>is</w:t>
      </w:r>
      <w:r w:rsidR="00CA2F76">
        <w:rPr>
          <w:color w:val="000000"/>
        </w:rPr>
        <w:t xml:space="preserve">t per capita, millage rate, </w:t>
      </w:r>
      <w:r w:rsidR="00925950">
        <w:rPr>
          <w:color w:val="000000"/>
        </w:rPr>
        <w:t xml:space="preserve">property tax revenue, and </w:t>
      </w:r>
      <w:r w:rsidR="00CA2F76">
        <w:rPr>
          <w:color w:val="000000"/>
        </w:rPr>
        <w:t>e</w:t>
      </w:r>
      <w:r w:rsidR="00A83A1E">
        <w:rPr>
          <w:color w:val="000000"/>
        </w:rPr>
        <w:t xml:space="preserve">stimated sales tax revenue. A couple of observations. First, Bridgeport has a small sales tax base and Manchester has a large sales tax base despite the size of their population. Two, the magnitude of the difference in per capita revenue between the two sales taxes can be large. </w:t>
      </w:r>
    </w:p>
    <w:p w14:paraId="1C94A108" w14:textId="77777777" w:rsidR="00F57BA5" w:rsidRDefault="00F57BA5" w:rsidP="00D422A0">
      <w:pPr>
        <w:spacing w:after="0" w:line="360" w:lineRule="auto"/>
        <w:ind w:firstLine="720"/>
        <w:rPr>
          <w:color w:val="000000"/>
        </w:rPr>
      </w:pPr>
    </w:p>
    <w:p w14:paraId="0CF283FB" w14:textId="77777777" w:rsidR="00F57BA5" w:rsidRDefault="00F57BA5" w:rsidP="00D422A0">
      <w:pPr>
        <w:spacing w:after="0" w:line="360" w:lineRule="auto"/>
        <w:ind w:firstLine="720"/>
        <w:rPr>
          <w:color w:val="000000"/>
        </w:rPr>
      </w:pPr>
    </w:p>
    <w:p w14:paraId="777AC751" w14:textId="77777777" w:rsidR="00F57BA5" w:rsidRDefault="00F57BA5" w:rsidP="00D422A0">
      <w:pPr>
        <w:spacing w:after="0" w:line="360" w:lineRule="auto"/>
        <w:ind w:firstLine="720"/>
        <w:rPr>
          <w:color w:val="000000"/>
        </w:rPr>
        <w:sectPr w:rsidR="00F57BA5" w:rsidSect="00522276">
          <w:footerReference w:type="default" r:id="rId14"/>
          <w:endnotePr>
            <w:numFmt w:val="decimal"/>
          </w:endnotePr>
          <w:pgSz w:w="12240" w:h="15840"/>
          <w:pgMar w:top="1080" w:right="1440" w:bottom="1440" w:left="1440" w:header="720" w:footer="720" w:gutter="0"/>
          <w:pgNumType w:start="1"/>
          <w:cols w:space="720"/>
          <w:docGrid w:linePitch="360"/>
        </w:sectPr>
      </w:pPr>
    </w:p>
    <w:tbl>
      <w:tblPr>
        <w:tblpPr w:leftFromText="180" w:rightFromText="180" w:tblpY="384"/>
        <w:tblW w:w="13068" w:type="dxa"/>
        <w:tblLook w:val="04A0" w:firstRow="1" w:lastRow="0" w:firstColumn="1" w:lastColumn="0" w:noHBand="0" w:noVBand="1"/>
      </w:tblPr>
      <w:tblGrid>
        <w:gridCol w:w="1530"/>
        <w:gridCol w:w="1083"/>
        <w:gridCol w:w="1347"/>
        <w:gridCol w:w="900"/>
        <w:gridCol w:w="1260"/>
        <w:gridCol w:w="1616"/>
        <w:gridCol w:w="1440"/>
        <w:gridCol w:w="1530"/>
        <w:gridCol w:w="1444"/>
        <w:gridCol w:w="918"/>
      </w:tblGrid>
      <w:tr w:rsidR="00F57BA5" w:rsidRPr="0049452D" w14:paraId="75946FD5" w14:textId="46DA196B" w:rsidTr="00F57BA5">
        <w:trPr>
          <w:trHeight w:hRule="exact" w:val="811"/>
        </w:trPr>
        <w:tc>
          <w:tcPr>
            <w:tcW w:w="1530" w:type="dxa"/>
            <w:tcBorders>
              <w:top w:val="single" w:sz="4" w:space="0" w:color="auto"/>
              <w:bottom w:val="single" w:sz="4" w:space="0" w:color="auto"/>
            </w:tcBorders>
            <w:shd w:val="clear" w:color="auto" w:fill="auto"/>
            <w:noWrap/>
            <w:vAlign w:val="bottom"/>
            <w:hideMark/>
          </w:tcPr>
          <w:p w14:paraId="44032629" w14:textId="77777777" w:rsidR="00F57BA5" w:rsidRDefault="00F57BA5" w:rsidP="00F57BA5">
            <w:pPr>
              <w:spacing w:after="0" w:line="240" w:lineRule="auto"/>
              <w:jc w:val="center"/>
              <w:rPr>
                <w:bCs/>
                <w:color w:val="000000"/>
                <w:sz w:val="20"/>
                <w:szCs w:val="20"/>
                <w:lang w:bidi="ar-SA"/>
              </w:rPr>
            </w:pPr>
          </w:p>
          <w:p w14:paraId="47DBD55A" w14:textId="77777777" w:rsidR="00F57BA5" w:rsidRDefault="00F57BA5" w:rsidP="00F57BA5">
            <w:pPr>
              <w:spacing w:after="0" w:line="240" w:lineRule="auto"/>
              <w:jc w:val="center"/>
              <w:rPr>
                <w:bCs/>
                <w:color w:val="000000"/>
                <w:sz w:val="20"/>
                <w:szCs w:val="20"/>
                <w:lang w:bidi="ar-SA"/>
              </w:rPr>
            </w:pPr>
          </w:p>
          <w:p w14:paraId="5794AB18" w14:textId="77777777" w:rsidR="00F57BA5" w:rsidRDefault="00F57BA5" w:rsidP="00F57BA5">
            <w:pPr>
              <w:spacing w:after="0" w:line="240" w:lineRule="auto"/>
              <w:jc w:val="center"/>
              <w:rPr>
                <w:bCs/>
                <w:color w:val="000000"/>
                <w:sz w:val="20"/>
                <w:szCs w:val="20"/>
                <w:lang w:bidi="ar-SA"/>
              </w:rPr>
            </w:pPr>
          </w:p>
          <w:p w14:paraId="4EE5484B" w14:textId="425EA595" w:rsidR="00F57BA5" w:rsidRPr="0049452D" w:rsidRDefault="00F57BA5" w:rsidP="00F57BA5">
            <w:pPr>
              <w:spacing w:after="0" w:line="240" w:lineRule="auto"/>
              <w:jc w:val="center"/>
              <w:rPr>
                <w:bCs/>
                <w:color w:val="000000"/>
                <w:sz w:val="20"/>
                <w:szCs w:val="20"/>
                <w:lang w:bidi="ar-SA"/>
              </w:rPr>
            </w:pPr>
          </w:p>
        </w:tc>
        <w:tc>
          <w:tcPr>
            <w:tcW w:w="1083" w:type="dxa"/>
            <w:tcBorders>
              <w:top w:val="single" w:sz="4" w:space="0" w:color="auto"/>
              <w:bottom w:val="single" w:sz="4" w:space="0" w:color="auto"/>
            </w:tcBorders>
            <w:shd w:val="clear" w:color="auto" w:fill="auto"/>
            <w:noWrap/>
            <w:vAlign w:val="bottom"/>
            <w:hideMark/>
          </w:tcPr>
          <w:p w14:paraId="0026EEB4" w14:textId="77777777" w:rsidR="00F57BA5" w:rsidRPr="0049452D" w:rsidRDefault="00F57BA5" w:rsidP="00F57BA5">
            <w:pPr>
              <w:spacing w:after="0" w:line="240" w:lineRule="auto"/>
              <w:jc w:val="center"/>
              <w:rPr>
                <w:color w:val="000000"/>
                <w:sz w:val="20"/>
                <w:szCs w:val="20"/>
                <w:lang w:bidi="ar-SA"/>
              </w:rPr>
            </w:pPr>
            <w:r w:rsidRPr="0049452D">
              <w:rPr>
                <w:color w:val="000000"/>
                <w:sz w:val="20"/>
                <w:szCs w:val="20"/>
                <w:lang w:bidi="ar-SA"/>
              </w:rPr>
              <w:t>Population</w:t>
            </w:r>
          </w:p>
        </w:tc>
        <w:tc>
          <w:tcPr>
            <w:tcW w:w="1347" w:type="dxa"/>
            <w:tcBorders>
              <w:top w:val="single" w:sz="4" w:space="0" w:color="auto"/>
              <w:bottom w:val="single" w:sz="4" w:space="0" w:color="auto"/>
            </w:tcBorders>
            <w:shd w:val="clear" w:color="auto" w:fill="auto"/>
            <w:vAlign w:val="bottom"/>
          </w:tcPr>
          <w:p w14:paraId="4D13484D" w14:textId="33DAC79F" w:rsidR="00F57BA5" w:rsidRPr="0049452D" w:rsidRDefault="00F57BA5" w:rsidP="00F57BA5">
            <w:pPr>
              <w:spacing w:after="0" w:line="240" w:lineRule="auto"/>
              <w:jc w:val="center"/>
              <w:rPr>
                <w:color w:val="000000"/>
                <w:sz w:val="20"/>
                <w:szCs w:val="20"/>
                <w:lang w:bidi="ar-SA"/>
              </w:rPr>
            </w:pPr>
            <w:r w:rsidRPr="0049452D">
              <w:rPr>
                <w:color w:val="000000"/>
                <w:sz w:val="20"/>
                <w:szCs w:val="20"/>
                <w:lang w:bidi="ar-SA"/>
              </w:rPr>
              <w:t xml:space="preserve">Net Grand </w:t>
            </w:r>
            <w:r>
              <w:rPr>
                <w:color w:val="000000"/>
                <w:sz w:val="20"/>
                <w:szCs w:val="20"/>
                <w:lang w:bidi="ar-SA"/>
              </w:rPr>
              <w:t>List (in millions)</w:t>
            </w:r>
          </w:p>
        </w:tc>
        <w:tc>
          <w:tcPr>
            <w:tcW w:w="900" w:type="dxa"/>
            <w:tcBorders>
              <w:top w:val="single" w:sz="4" w:space="0" w:color="auto"/>
              <w:bottom w:val="single" w:sz="4" w:space="0" w:color="auto"/>
            </w:tcBorders>
            <w:shd w:val="clear" w:color="auto" w:fill="auto"/>
            <w:noWrap/>
            <w:vAlign w:val="bottom"/>
            <w:hideMark/>
          </w:tcPr>
          <w:p w14:paraId="1021BE0C" w14:textId="7DBF7511" w:rsidR="00F57BA5" w:rsidRPr="0049452D" w:rsidRDefault="00F57BA5" w:rsidP="00F57BA5">
            <w:pPr>
              <w:spacing w:after="0" w:line="240" w:lineRule="auto"/>
              <w:jc w:val="center"/>
              <w:rPr>
                <w:color w:val="000000"/>
                <w:sz w:val="20"/>
                <w:szCs w:val="20"/>
                <w:lang w:bidi="ar-SA"/>
              </w:rPr>
            </w:pPr>
            <w:r w:rsidRPr="0049452D">
              <w:rPr>
                <w:color w:val="000000"/>
                <w:sz w:val="20"/>
                <w:szCs w:val="20"/>
                <w:lang w:bidi="ar-SA"/>
              </w:rPr>
              <w:t>Mill Rate</w:t>
            </w:r>
          </w:p>
        </w:tc>
        <w:tc>
          <w:tcPr>
            <w:tcW w:w="1260" w:type="dxa"/>
            <w:tcBorders>
              <w:top w:val="single" w:sz="4" w:space="0" w:color="auto"/>
              <w:bottom w:val="single" w:sz="4" w:space="0" w:color="auto"/>
            </w:tcBorders>
            <w:shd w:val="clear" w:color="auto" w:fill="auto"/>
            <w:vAlign w:val="bottom"/>
          </w:tcPr>
          <w:p w14:paraId="77C990C1" w14:textId="609C625F" w:rsidR="00F57BA5" w:rsidRPr="0049452D" w:rsidRDefault="00F57BA5" w:rsidP="00F57BA5">
            <w:pPr>
              <w:spacing w:after="0" w:line="240" w:lineRule="auto"/>
              <w:jc w:val="center"/>
              <w:rPr>
                <w:color w:val="000000"/>
                <w:sz w:val="20"/>
                <w:szCs w:val="20"/>
                <w:lang w:bidi="ar-SA"/>
              </w:rPr>
            </w:pPr>
            <w:r w:rsidRPr="0049452D">
              <w:rPr>
                <w:color w:val="000000"/>
                <w:sz w:val="20"/>
                <w:szCs w:val="20"/>
                <w:lang w:bidi="ar-SA"/>
              </w:rPr>
              <w:t xml:space="preserve">Prop Tax Revenues </w:t>
            </w:r>
            <w:r>
              <w:rPr>
                <w:color w:val="000000"/>
                <w:sz w:val="20"/>
                <w:szCs w:val="20"/>
                <w:lang w:bidi="ar-SA"/>
              </w:rPr>
              <w:t xml:space="preserve"> (in millions)</w:t>
            </w:r>
          </w:p>
        </w:tc>
        <w:tc>
          <w:tcPr>
            <w:tcW w:w="1616" w:type="dxa"/>
            <w:tcBorders>
              <w:top w:val="single" w:sz="4" w:space="0" w:color="auto"/>
              <w:bottom w:val="single" w:sz="4" w:space="0" w:color="auto"/>
            </w:tcBorders>
            <w:shd w:val="clear" w:color="auto" w:fill="auto"/>
            <w:noWrap/>
            <w:vAlign w:val="bottom"/>
          </w:tcPr>
          <w:p w14:paraId="009BFF39" w14:textId="4EC690AE" w:rsidR="00F57BA5" w:rsidRPr="0049452D" w:rsidRDefault="00F57BA5" w:rsidP="00F57BA5">
            <w:pPr>
              <w:spacing w:after="0" w:line="240" w:lineRule="auto"/>
              <w:jc w:val="center"/>
              <w:rPr>
                <w:color w:val="000000"/>
                <w:sz w:val="20"/>
                <w:szCs w:val="20"/>
                <w:lang w:bidi="ar-SA"/>
              </w:rPr>
            </w:pPr>
            <w:r>
              <w:rPr>
                <w:color w:val="000000"/>
                <w:sz w:val="20"/>
                <w:szCs w:val="20"/>
                <w:lang w:bidi="ar-SA"/>
              </w:rPr>
              <w:t>Local Sales Tax Revenue (in 1000s)</w:t>
            </w:r>
          </w:p>
        </w:tc>
        <w:tc>
          <w:tcPr>
            <w:tcW w:w="1440" w:type="dxa"/>
            <w:tcBorders>
              <w:top w:val="single" w:sz="4" w:space="0" w:color="auto"/>
              <w:bottom w:val="single" w:sz="4" w:space="0" w:color="auto"/>
            </w:tcBorders>
            <w:shd w:val="clear" w:color="auto" w:fill="auto"/>
            <w:vAlign w:val="bottom"/>
          </w:tcPr>
          <w:p w14:paraId="0AC333B4" w14:textId="70225896" w:rsidR="00F57BA5" w:rsidRPr="0049452D" w:rsidRDefault="00F57BA5" w:rsidP="00F57BA5">
            <w:pPr>
              <w:spacing w:after="0" w:line="240" w:lineRule="auto"/>
              <w:jc w:val="center"/>
              <w:rPr>
                <w:color w:val="000000"/>
                <w:sz w:val="20"/>
                <w:szCs w:val="20"/>
                <w:lang w:bidi="ar-SA"/>
              </w:rPr>
            </w:pPr>
            <w:r>
              <w:rPr>
                <w:color w:val="000000"/>
                <w:sz w:val="20"/>
                <w:szCs w:val="20"/>
                <w:lang w:bidi="ar-SA"/>
              </w:rPr>
              <w:t>Local Sales Tax Revenue Per Capita</w:t>
            </w:r>
          </w:p>
        </w:tc>
        <w:tc>
          <w:tcPr>
            <w:tcW w:w="1530" w:type="dxa"/>
            <w:tcBorders>
              <w:top w:val="single" w:sz="4" w:space="0" w:color="auto"/>
              <w:bottom w:val="single" w:sz="4" w:space="0" w:color="auto"/>
            </w:tcBorders>
            <w:shd w:val="clear" w:color="auto" w:fill="auto"/>
            <w:noWrap/>
            <w:vAlign w:val="bottom"/>
          </w:tcPr>
          <w:p w14:paraId="0F32E839" w14:textId="54EEE0F2" w:rsidR="00F57BA5" w:rsidRDefault="00F57BA5" w:rsidP="00F57BA5">
            <w:pPr>
              <w:spacing w:after="0" w:line="240" w:lineRule="auto"/>
              <w:jc w:val="center"/>
              <w:rPr>
                <w:color w:val="000000"/>
                <w:sz w:val="20"/>
                <w:szCs w:val="20"/>
                <w:lang w:bidi="ar-SA"/>
              </w:rPr>
            </w:pPr>
            <w:r>
              <w:rPr>
                <w:color w:val="000000"/>
                <w:sz w:val="20"/>
                <w:szCs w:val="20"/>
                <w:lang w:bidi="ar-SA"/>
              </w:rPr>
              <w:t>Regional Sales Tax Revenue (in 1000s)</w:t>
            </w:r>
          </w:p>
        </w:tc>
        <w:tc>
          <w:tcPr>
            <w:tcW w:w="1444" w:type="dxa"/>
            <w:tcBorders>
              <w:top w:val="single" w:sz="4" w:space="0" w:color="auto"/>
              <w:bottom w:val="single" w:sz="4" w:space="0" w:color="auto"/>
            </w:tcBorders>
            <w:shd w:val="clear" w:color="auto" w:fill="auto"/>
            <w:vAlign w:val="bottom"/>
          </w:tcPr>
          <w:p w14:paraId="7874240B" w14:textId="40E1EB22" w:rsidR="00F57BA5" w:rsidRPr="0049452D" w:rsidRDefault="00F57BA5" w:rsidP="00F57BA5">
            <w:pPr>
              <w:spacing w:after="0" w:line="240" w:lineRule="auto"/>
              <w:jc w:val="center"/>
              <w:rPr>
                <w:color w:val="000000"/>
                <w:sz w:val="20"/>
                <w:szCs w:val="20"/>
                <w:lang w:bidi="ar-SA"/>
              </w:rPr>
            </w:pPr>
            <w:r>
              <w:rPr>
                <w:color w:val="000000"/>
                <w:sz w:val="20"/>
                <w:szCs w:val="20"/>
                <w:lang w:bidi="ar-SA"/>
              </w:rPr>
              <w:t>Regional Sales Tax Revenue Per Capita</w:t>
            </w:r>
          </w:p>
        </w:tc>
        <w:tc>
          <w:tcPr>
            <w:tcW w:w="918" w:type="dxa"/>
            <w:tcBorders>
              <w:top w:val="single" w:sz="4" w:space="0" w:color="auto"/>
              <w:bottom w:val="single" w:sz="4" w:space="0" w:color="auto"/>
            </w:tcBorders>
          </w:tcPr>
          <w:p w14:paraId="380E01AD" w14:textId="77777777" w:rsidR="00F57BA5" w:rsidRDefault="00F57BA5" w:rsidP="00F57BA5">
            <w:pPr>
              <w:spacing w:after="0" w:line="240" w:lineRule="auto"/>
              <w:jc w:val="center"/>
              <w:rPr>
                <w:color w:val="000000"/>
                <w:sz w:val="20"/>
                <w:szCs w:val="20"/>
                <w:lang w:bidi="ar-SA"/>
              </w:rPr>
            </w:pPr>
          </w:p>
        </w:tc>
      </w:tr>
      <w:tr w:rsidR="00F57BA5" w:rsidRPr="0049452D" w14:paraId="7F85B42B" w14:textId="0C632198" w:rsidTr="00F57BA5">
        <w:trPr>
          <w:trHeight w:hRule="exact" w:val="274"/>
        </w:trPr>
        <w:tc>
          <w:tcPr>
            <w:tcW w:w="1530" w:type="dxa"/>
            <w:tcBorders>
              <w:top w:val="single" w:sz="4" w:space="0" w:color="auto"/>
            </w:tcBorders>
            <w:shd w:val="clear" w:color="auto" w:fill="auto"/>
            <w:noWrap/>
            <w:vAlign w:val="bottom"/>
            <w:hideMark/>
          </w:tcPr>
          <w:p w14:paraId="7D725E04" w14:textId="77777777" w:rsidR="00F57BA5" w:rsidRPr="0049452D" w:rsidRDefault="00F57BA5" w:rsidP="00F57BA5">
            <w:pPr>
              <w:spacing w:after="0" w:line="240" w:lineRule="auto"/>
              <w:rPr>
                <w:b/>
                <w:bCs/>
                <w:color w:val="000000"/>
                <w:sz w:val="20"/>
                <w:szCs w:val="20"/>
                <w:lang w:bidi="ar-SA"/>
              </w:rPr>
            </w:pPr>
            <w:r w:rsidRPr="0049452D">
              <w:rPr>
                <w:b/>
                <w:bCs/>
                <w:color w:val="000000"/>
                <w:sz w:val="20"/>
                <w:szCs w:val="20"/>
                <w:lang w:bidi="ar-SA"/>
              </w:rPr>
              <w:t xml:space="preserve">   Large Cities</w:t>
            </w:r>
          </w:p>
        </w:tc>
        <w:tc>
          <w:tcPr>
            <w:tcW w:w="1083" w:type="dxa"/>
            <w:tcBorders>
              <w:top w:val="single" w:sz="4" w:space="0" w:color="auto"/>
            </w:tcBorders>
            <w:shd w:val="clear" w:color="auto" w:fill="auto"/>
            <w:noWrap/>
            <w:vAlign w:val="bottom"/>
            <w:hideMark/>
          </w:tcPr>
          <w:p w14:paraId="278DC487" w14:textId="77777777" w:rsidR="00F57BA5" w:rsidRPr="0049452D" w:rsidRDefault="00F57BA5" w:rsidP="00F57BA5">
            <w:pPr>
              <w:spacing w:after="0" w:line="240" w:lineRule="auto"/>
              <w:rPr>
                <w:b/>
                <w:bCs/>
                <w:color w:val="000000"/>
                <w:sz w:val="20"/>
                <w:szCs w:val="20"/>
                <w:lang w:bidi="ar-SA"/>
              </w:rPr>
            </w:pPr>
          </w:p>
        </w:tc>
        <w:tc>
          <w:tcPr>
            <w:tcW w:w="1347" w:type="dxa"/>
            <w:tcBorders>
              <w:top w:val="single" w:sz="4" w:space="0" w:color="auto"/>
            </w:tcBorders>
            <w:shd w:val="clear" w:color="auto" w:fill="auto"/>
            <w:noWrap/>
            <w:vAlign w:val="bottom"/>
            <w:hideMark/>
          </w:tcPr>
          <w:p w14:paraId="04B9394D" w14:textId="77777777" w:rsidR="00F57BA5" w:rsidRPr="0049452D" w:rsidRDefault="00F57BA5" w:rsidP="00F57BA5">
            <w:pPr>
              <w:spacing w:after="0" w:line="240" w:lineRule="auto"/>
              <w:rPr>
                <w:sz w:val="20"/>
                <w:szCs w:val="20"/>
                <w:lang w:bidi="ar-SA"/>
              </w:rPr>
            </w:pPr>
          </w:p>
        </w:tc>
        <w:tc>
          <w:tcPr>
            <w:tcW w:w="900" w:type="dxa"/>
            <w:tcBorders>
              <w:top w:val="single" w:sz="4" w:space="0" w:color="auto"/>
            </w:tcBorders>
            <w:shd w:val="clear" w:color="auto" w:fill="auto"/>
            <w:noWrap/>
            <w:vAlign w:val="bottom"/>
            <w:hideMark/>
          </w:tcPr>
          <w:p w14:paraId="50D7F2AC" w14:textId="77777777" w:rsidR="00F57BA5" w:rsidRPr="0049452D" w:rsidRDefault="00F57BA5" w:rsidP="00F57BA5">
            <w:pPr>
              <w:spacing w:after="0" w:line="240" w:lineRule="auto"/>
              <w:rPr>
                <w:sz w:val="20"/>
                <w:szCs w:val="20"/>
                <w:lang w:bidi="ar-SA"/>
              </w:rPr>
            </w:pPr>
          </w:p>
        </w:tc>
        <w:tc>
          <w:tcPr>
            <w:tcW w:w="1260" w:type="dxa"/>
            <w:tcBorders>
              <w:top w:val="single" w:sz="4" w:space="0" w:color="auto"/>
            </w:tcBorders>
            <w:shd w:val="clear" w:color="auto" w:fill="auto"/>
            <w:noWrap/>
            <w:vAlign w:val="bottom"/>
            <w:hideMark/>
          </w:tcPr>
          <w:p w14:paraId="07859711" w14:textId="77777777" w:rsidR="00F57BA5" w:rsidRPr="0049452D" w:rsidRDefault="00F57BA5" w:rsidP="00F57BA5">
            <w:pPr>
              <w:spacing w:after="0" w:line="240" w:lineRule="auto"/>
              <w:rPr>
                <w:sz w:val="20"/>
                <w:szCs w:val="20"/>
                <w:lang w:bidi="ar-SA"/>
              </w:rPr>
            </w:pPr>
          </w:p>
        </w:tc>
        <w:tc>
          <w:tcPr>
            <w:tcW w:w="1616" w:type="dxa"/>
            <w:tcBorders>
              <w:top w:val="single" w:sz="4" w:space="0" w:color="auto"/>
            </w:tcBorders>
            <w:shd w:val="clear" w:color="auto" w:fill="auto"/>
            <w:noWrap/>
            <w:vAlign w:val="bottom"/>
            <w:hideMark/>
          </w:tcPr>
          <w:p w14:paraId="2B010DD7" w14:textId="77777777" w:rsidR="00F57BA5" w:rsidRPr="0049452D" w:rsidRDefault="00F57BA5" w:rsidP="00F57BA5">
            <w:pPr>
              <w:spacing w:after="0" w:line="240" w:lineRule="auto"/>
              <w:rPr>
                <w:sz w:val="20"/>
                <w:szCs w:val="20"/>
                <w:lang w:bidi="ar-SA"/>
              </w:rPr>
            </w:pPr>
          </w:p>
        </w:tc>
        <w:tc>
          <w:tcPr>
            <w:tcW w:w="1440" w:type="dxa"/>
            <w:tcBorders>
              <w:top w:val="single" w:sz="4" w:space="0" w:color="auto"/>
            </w:tcBorders>
            <w:shd w:val="clear" w:color="auto" w:fill="auto"/>
            <w:noWrap/>
            <w:vAlign w:val="bottom"/>
            <w:hideMark/>
          </w:tcPr>
          <w:p w14:paraId="627CC074" w14:textId="77777777" w:rsidR="00F57BA5" w:rsidRPr="0049452D" w:rsidRDefault="00F57BA5" w:rsidP="00F57BA5">
            <w:pPr>
              <w:spacing w:after="0" w:line="240" w:lineRule="auto"/>
              <w:rPr>
                <w:sz w:val="20"/>
                <w:szCs w:val="20"/>
                <w:lang w:bidi="ar-SA"/>
              </w:rPr>
            </w:pPr>
          </w:p>
        </w:tc>
        <w:tc>
          <w:tcPr>
            <w:tcW w:w="1530" w:type="dxa"/>
            <w:tcBorders>
              <w:top w:val="single" w:sz="4" w:space="0" w:color="auto"/>
            </w:tcBorders>
            <w:shd w:val="clear" w:color="auto" w:fill="auto"/>
            <w:noWrap/>
            <w:vAlign w:val="bottom"/>
          </w:tcPr>
          <w:p w14:paraId="66F009B1" w14:textId="77777777" w:rsidR="00F57BA5" w:rsidRPr="0049452D" w:rsidRDefault="00F57BA5" w:rsidP="00F57BA5">
            <w:pPr>
              <w:spacing w:after="0" w:line="240" w:lineRule="auto"/>
              <w:rPr>
                <w:sz w:val="20"/>
                <w:szCs w:val="20"/>
                <w:lang w:bidi="ar-SA"/>
              </w:rPr>
            </w:pPr>
          </w:p>
        </w:tc>
        <w:tc>
          <w:tcPr>
            <w:tcW w:w="1444" w:type="dxa"/>
            <w:tcBorders>
              <w:top w:val="single" w:sz="4" w:space="0" w:color="auto"/>
            </w:tcBorders>
            <w:shd w:val="clear" w:color="auto" w:fill="auto"/>
            <w:noWrap/>
            <w:vAlign w:val="bottom"/>
            <w:hideMark/>
          </w:tcPr>
          <w:p w14:paraId="21B0A631" w14:textId="77777777" w:rsidR="00F57BA5" w:rsidRPr="0049452D" w:rsidRDefault="00F57BA5" w:rsidP="00F57BA5">
            <w:pPr>
              <w:spacing w:after="0" w:line="240" w:lineRule="auto"/>
              <w:rPr>
                <w:sz w:val="20"/>
                <w:szCs w:val="20"/>
                <w:lang w:bidi="ar-SA"/>
              </w:rPr>
            </w:pPr>
          </w:p>
        </w:tc>
        <w:tc>
          <w:tcPr>
            <w:tcW w:w="918" w:type="dxa"/>
            <w:tcBorders>
              <w:top w:val="single" w:sz="4" w:space="0" w:color="auto"/>
            </w:tcBorders>
          </w:tcPr>
          <w:p w14:paraId="520C6C3B" w14:textId="77777777" w:rsidR="00F57BA5" w:rsidRPr="0049452D" w:rsidRDefault="00F57BA5" w:rsidP="00F57BA5">
            <w:pPr>
              <w:spacing w:after="0" w:line="240" w:lineRule="auto"/>
              <w:rPr>
                <w:sz w:val="20"/>
                <w:szCs w:val="20"/>
                <w:lang w:bidi="ar-SA"/>
              </w:rPr>
            </w:pPr>
          </w:p>
        </w:tc>
      </w:tr>
      <w:tr w:rsidR="00F57BA5" w:rsidRPr="0049452D" w14:paraId="05603D39" w14:textId="41A0ED1F" w:rsidTr="00F57BA5">
        <w:trPr>
          <w:trHeight w:hRule="exact" w:val="274"/>
        </w:trPr>
        <w:tc>
          <w:tcPr>
            <w:tcW w:w="1530" w:type="dxa"/>
            <w:shd w:val="clear" w:color="auto" w:fill="auto"/>
            <w:noWrap/>
            <w:vAlign w:val="bottom"/>
            <w:hideMark/>
          </w:tcPr>
          <w:p w14:paraId="475DE170"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Bridgeport</w:t>
            </w:r>
          </w:p>
        </w:tc>
        <w:tc>
          <w:tcPr>
            <w:tcW w:w="1083" w:type="dxa"/>
            <w:shd w:val="clear" w:color="auto" w:fill="auto"/>
            <w:noWrap/>
            <w:vAlign w:val="bottom"/>
            <w:hideMark/>
          </w:tcPr>
          <w:p w14:paraId="779E5D6D"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147,216</w:t>
            </w:r>
          </w:p>
        </w:tc>
        <w:tc>
          <w:tcPr>
            <w:tcW w:w="1347" w:type="dxa"/>
            <w:shd w:val="clear" w:color="auto" w:fill="auto"/>
            <w:noWrap/>
            <w:vAlign w:val="bottom"/>
          </w:tcPr>
          <w:p w14:paraId="11731357" w14:textId="2B3EB0B2"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$6,981 </w:t>
            </w:r>
          </w:p>
        </w:tc>
        <w:tc>
          <w:tcPr>
            <w:tcW w:w="900" w:type="dxa"/>
            <w:shd w:val="clear" w:color="auto" w:fill="auto"/>
            <w:noWrap/>
            <w:vAlign w:val="bottom"/>
          </w:tcPr>
          <w:p w14:paraId="06B9A416" w14:textId="14F1680E"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41.11</w:t>
            </w:r>
          </w:p>
        </w:tc>
        <w:tc>
          <w:tcPr>
            <w:tcW w:w="1260" w:type="dxa"/>
            <w:shd w:val="clear" w:color="auto" w:fill="auto"/>
            <w:noWrap/>
            <w:vAlign w:val="bottom"/>
          </w:tcPr>
          <w:p w14:paraId="1AD88B4E" w14:textId="19AEC59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$285.96 </w:t>
            </w:r>
          </w:p>
        </w:tc>
        <w:tc>
          <w:tcPr>
            <w:tcW w:w="1616" w:type="dxa"/>
            <w:shd w:val="clear" w:color="auto" w:fill="auto"/>
            <w:noWrap/>
            <w:vAlign w:val="bottom"/>
          </w:tcPr>
          <w:p w14:paraId="0064E25E" w14:textId="3B48FA92" w:rsidR="00F57BA5" w:rsidRPr="002A7643" w:rsidRDefault="00F57BA5" w:rsidP="00F57BA5">
            <w:pPr>
              <w:spacing w:after="0" w:line="240" w:lineRule="auto"/>
              <w:jc w:val="right"/>
              <w:rPr>
                <w:color w:val="000000"/>
                <w:sz w:val="20"/>
                <w:szCs w:val="20"/>
                <w:lang w:bidi="ar-SA"/>
              </w:rPr>
            </w:pPr>
            <w:r w:rsidRPr="002A7643">
              <w:rPr>
                <w:sz w:val="20"/>
                <w:szCs w:val="20"/>
              </w:rPr>
              <w:t>$7,693.8</w:t>
            </w:r>
          </w:p>
        </w:tc>
        <w:tc>
          <w:tcPr>
            <w:tcW w:w="1440" w:type="dxa"/>
            <w:shd w:val="clear" w:color="auto" w:fill="auto"/>
            <w:noWrap/>
            <w:vAlign w:val="bottom"/>
          </w:tcPr>
          <w:p w14:paraId="394CD803" w14:textId="79C17CEA" w:rsidR="00F57BA5" w:rsidRPr="002A7643" w:rsidRDefault="00F57BA5" w:rsidP="00F57BA5">
            <w:pPr>
              <w:spacing w:after="0" w:line="240" w:lineRule="auto"/>
              <w:jc w:val="right"/>
              <w:rPr>
                <w:color w:val="000000"/>
                <w:sz w:val="20"/>
                <w:szCs w:val="20"/>
                <w:lang w:bidi="ar-SA"/>
              </w:rPr>
            </w:pPr>
            <w:r w:rsidRPr="002A7643">
              <w:rPr>
                <w:sz w:val="20"/>
                <w:szCs w:val="20"/>
              </w:rPr>
              <w:t xml:space="preserve">$53 </w:t>
            </w:r>
          </w:p>
        </w:tc>
        <w:tc>
          <w:tcPr>
            <w:tcW w:w="1530" w:type="dxa"/>
            <w:shd w:val="clear" w:color="auto" w:fill="auto"/>
            <w:noWrap/>
            <w:vAlign w:val="bottom"/>
          </w:tcPr>
          <w:p w14:paraId="5407B6D8" w14:textId="0EE220F6" w:rsidR="00F57BA5" w:rsidRPr="002A7643" w:rsidRDefault="00F57BA5" w:rsidP="00F57BA5">
            <w:pPr>
              <w:spacing w:after="0" w:line="240" w:lineRule="auto"/>
              <w:jc w:val="right"/>
              <w:rPr>
                <w:color w:val="000000"/>
                <w:sz w:val="20"/>
                <w:szCs w:val="20"/>
                <w:lang w:bidi="ar-SA"/>
              </w:rPr>
            </w:pPr>
            <w:r w:rsidRPr="002A7643">
              <w:rPr>
                <w:sz w:val="20"/>
                <w:szCs w:val="20"/>
              </w:rPr>
              <w:t>$4,614.2</w:t>
            </w:r>
          </w:p>
        </w:tc>
        <w:tc>
          <w:tcPr>
            <w:tcW w:w="1444" w:type="dxa"/>
            <w:shd w:val="clear" w:color="auto" w:fill="auto"/>
            <w:noWrap/>
            <w:vAlign w:val="bottom"/>
          </w:tcPr>
          <w:p w14:paraId="46FE56D5" w14:textId="14172BE7" w:rsidR="00F57BA5" w:rsidRPr="002A7643" w:rsidRDefault="00F57BA5" w:rsidP="00F57BA5">
            <w:pPr>
              <w:spacing w:after="0" w:line="240" w:lineRule="auto"/>
              <w:jc w:val="right"/>
              <w:rPr>
                <w:color w:val="000000"/>
                <w:sz w:val="20"/>
                <w:szCs w:val="20"/>
                <w:lang w:bidi="ar-SA"/>
              </w:rPr>
            </w:pPr>
            <w:r w:rsidRPr="002A7643">
              <w:rPr>
                <w:sz w:val="20"/>
                <w:szCs w:val="20"/>
              </w:rPr>
              <w:t>$134</w:t>
            </w:r>
          </w:p>
        </w:tc>
        <w:tc>
          <w:tcPr>
            <w:tcW w:w="918" w:type="dxa"/>
          </w:tcPr>
          <w:p w14:paraId="55B5A85C" w14:textId="77777777" w:rsidR="00F57BA5" w:rsidRPr="002A7643" w:rsidRDefault="00F57BA5" w:rsidP="00F57BA5">
            <w:pPr>
              <w:spacing w:after="0" w:line="240" w:lineRule="auto"/>
              <w:jc w:val="right"/>
              <w:rPr>
                <w:sz w:val="20"/>
                <w:szCs w:val="20"/>
              </w:rPr>
            </w:pPr>
          </w:p>
        </w:tc>
      </w:tr>
      <w:tr w:rsidR="00F57BA5" w:rsidRPr="0049452D" w14:paraId="259CF07A" w14:textId="3508B30E" w:rsidTr="00F57BA5">
        <w:trPr>
          <w:trHeight w:hRule="exact" w:val="274"/>
        </w:trPr>
        <w:tc>
          <w:tcPr>
            <w:tcW w:w="1530" w:type="dxa"/>
            <w:shd w:val="clear" w:color="auto" w:fill="auto"/>
            <w:noWrap/>
            <w:vAlign w:val="bottom"/>
            <w:hideMark/>
          </w:tcPr>
          <w:p w14:paraId="58196695"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Hartford</w:t>
            </w:r>
          </w:p>
        </w:tc>
        <w:tc>
          <w:tcPr>
            <w:tcW w:w="1083" w:type="dxa"/>
            <w:shd w:val="clear" w:color="auto" w:fill="auto"/>
            <w:noWrap/>
            <w:vAlign w:val="bottom"/>
            <w:hideMark/>
          </w:tcPr>
          <w:p w14:paraId="618148C7"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125,017</w:t>
            </w:r>
          </w:p>
        </w:tc>
        <w:tc>
          <w:tcPr>
            <w:tcW w:w="1347" w:type="dxa"/>
            <w:shd w:val="clear" w:color="auto" w:fill="auto"/>
            <w:noWrap/>
            <w:vAlign w:val="bottom"/>
          </w:tcPr>
          <w:p w14:paraId="37D1F4A7" w14:textId="1F0D6AAB"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$3,398 </w:t>
            </w:r>
          </w:p>
        </w:tc>
        <w:tc>
          <w:tcPr>
            <w:tcW w:w="900" w:type="dxa"/>
            <w:shd w:val="clear" w:color="auto" w:fill="auto"/>
            <w:noWrap/>
            <w:vAlign w:val="bottom"/>
          </w:tcPr>
          <w:p w14:paraId="0CA375E6" w14:textId="0C31A1C1"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74.29</w:t>
            </w:r>
          </w:p>
        </w:tc>
        <w:tc>
          <w:tcPr>
            <w:tcW w:w="1260" w:type="dxa"/>
            <w:shd w:val="clear" w:color="auto" w:fill="auto"/>
            <w:noWrap/>
            <w:vAlign w:val="bottom"/>
          </w:tcPr>
          <w:p w14:paraId="75EEBA1D" w14:textId="60DEF690"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$255.55 </w:t>
            </w:r>
          </w:p>
        </w:tc>
        <w:tc>
          <w:tcPr>
            <w:tcW w:w="1616" w:type="dxa"/>
            <w:shd w:val="clear" w:color="auto" w:fill="auto"/>
            <w:noWrap/>
            <w:vAlign w:val="bottom"/>
          </w:tcPr>
          <w:p w14:paraId="6266E843" w14:textId="57FBE8AD" w:rsidR="00F57BA5" w:rsidRPr="002A7643" w:rsidRDefault="00F57BA5" w:rsidP="00F57BA5">
            <w:pPr>
              <w:spacing w:after="0" w:line="240" w:lineRule="auto"/>
              <w:jc w:val="right"/>
              <w:rPr>
                <w:color w:val="000000"/>
                <w:sz w:val="20"/>
                <w:szCs w:val="20"/>
                <w:lang w:bidi="ar-SA"/>
              </w:rPr>
            </w:pPr>
            <w:r w:rsidRPr="002A7643">
              <w:rPr>
                <w:sz w:val="20"/>
                <w:szCs w:val="20"/>
              </w:rPr>
              <w:t>$21,528.1</w:t>
            </w:r>
          </w:p>
        </w:tc>
        <w:tc>
          <w:tcPr>
            <w:tcW w:w="1440" w:type="dxa"/>
            <w:shd w:val="clear" w:color="auto" w:fill="auto"/>
            <w:noWrap/>
            <w:vAlign w:val="bottom"/>
          </w:tcPr>
          <w:p w14:paraId="20E94AC0" w14:textId="761A11AE" w:rsidR="00F57BA5" w:rsidRPr="002A7643" w:rsidRDefault="00F57BA5" w:rsidP="00F57BA5">
            <w:pPr>
              <w:spacing w:after="0" w:line="240" w:lineRule="auto"/>
              <w:jc w:val="right"/>
              <w:rPr>
                <w:color w:val="000000"/>
                <w:sz w:val="20"/>
                <w:szCs w:val="20"/>
                <w:lang w:bidi="ar-SA"/>
              </w:rPr>
            </w:pPr>
            <w:r w:rsidRPr="002A7643">
              <w:rPr>
                <w:sz w:val="20"/>
                <w:szCs w:val="20"/>
              </w:rPr>
              <w:t xml:space="preserve">$172 </w:t>
            </w:r>
          </w:p>
        </w:tc>
        <w:tc>
          <w:tcPr>
            <w:tcW w:w="1530" w:type="dxa"/>
            <w:shd w:val="clear" w:color="auto" w:fill="auto"/>
            <w:noWrap/>
            <w:vAlign w:val="bottom"/>
          </w:tcPr>
          <w:p w14:paraId="30E57D9E" w14:textId="6125426F" w:rsidR="00F57BA5" w:rsidRPr="002A7643" w:rsidRDefault="00F57BA5" w:rsidP="00F57BA5">
            <w:pPr>
              <w:spacing w:after="0" w:line="240" w:lineRule="auto"/>
              <w:jc w:val="right"/>
              <w:rPr>
                <w:color w:val="000000"/>
                <w:sz w:val="20"/>
                <w:szCs w:val="20"/>
                <w:lang w:bidi="ar-SA"/>
              </w:rPr>
            </w:pPr>
            <w:r w:rsidRPr="002A7643">
              <w:rPr>
                <w:sz w:val="20"/>
                <w:szCs w:val="20"/>
              </w:rPr>
              <w:t>$259.8</w:t>
            </w:r>
          </w:p>
        </w:tc>
        <w:tc>
          <w:tcPr>
            <w:tcW w:w="1444" w:type="dxa"/>
            <w:shd w:val="clear" w:color="auto" w:fill="auto"/>
            <w:noWrap/>
            <w:vAlign w:val="bottom"/>
          </w:tcPr>
          <w:p w14:paraId="6F10F661" w14:textId="6D7290D6" w:rsidR="00F57BA5" w:rsidRPr="002A7643" w:rsidRDefault="00F57BA5" w:rsidP="00F57BA5">
            <w:pPr>
              <w:spacing w:after="0" w:line="240" w:lineRule="auto"/>
              <w:jc w:val="right"/>
              <w:rPr>
                <w:color w:val="000000"/>
                <w:sz w:val="20"/>
                <w:szCs w:val="20"/>
                <w:lang w:bidi="ar-SA"/>
              </w:rPr>
            </w:pPr>
            <w:r w:rsidRPr="002A7643">
              <w:rPr>
                <w:sz w:val="20"/>
                <w:szCs w:val="20"/>
              </w:rPr>
              <w:t>$72</w:t>
            </w:r>
          </w:p>
        </w:tc>
        <w:tc>
          <w:tcPr>
            <w:tcW w:w="918" w:type="dxa"/>
          </w:tcPr>
          <w:p w14:paraId="29C9ED90" w14:textId="77777777" w:rsidR="00F57BA5" w:rsidRPr="002A7643" w:rsidRDefault="00F57BA5" w:rsidP="00F57BA5">
            <w:pPr>
              <w:spacing w:after="0" w:line="240" w:lineRule="auto"/>
              <w:jc w:val="right"/>
              <w:rPr>
                <w:sz w:val="20"/>
                <w:szCs w:val="20"/>
              </w:rPr>
            </w:pPr>
          </w:p>
        </w:tc>
      </w:tr>
      <w:tr w:rsidR="00F57BA5" w:rsidRPr="0049452D" w14:paraId="0B32BCF4" w14:textId="42AB801C" w:rsidTr="00F57BA5">
        <w:trPr>
          <w:trHeight w:hRule="exact" w:val="274"/>
        </w:trPr>
        <w:tc>
          <w:tcPr>
            <w:tcW w:w="1530" w:type="dxa"/>
            <w:shd w:val="clear" w:color="auto" w:fill="auto"/>
            <w:noWrap/>
            <w:vAlign w:val="bottom"/>
            <w:hideMark/>
          </w:tcPr>
          <w:p w14:paraId="10C2311F"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New Haven</w:t>
            </w:r>
          </w:p>
        </w:tc>
        <w:tc>
          <w:tcPr>
            <w:tcW w:w="1083" w:type="dxa"/>
            <w:shd w:val="clear" w:color="auto" w:fill="auto"/>
            <w:noWrap/>
            <w:vAlign w:val="bottom"/>
            <w:hideMark/>
          </w:tcPr>
          <w:p w14:paraId="04E3199A"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130,660</w:t>
            </w:r>
          </w:p>
        </w:tc>
        <w:tc>
          <w:tcPr>
            <w:tcW w:w="1347" w:type="dxa"/>
            <w:shd w:val="clear" w:color="auto" w:fill="auto"/>
            <w:noWrap/>
            <w:vAlign w:val="bottom"/>
          </w:tcPr>
          <w:p w14:paraId="1759EA49" w14:textId="60C1D8F8"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$5,995 </w:t>
            </w:r>
          </w:p>
        </w:tc>
        <w:tc>
          <w:tcPr>
            <w:tcW w:w="900" w:type="dxa"/>
            <w:shd w:val="clear" w:color="auto" w:fill="auto"/>
            <w:noWrap/>
            <w:vAlign w:val="bottom"/>
          </w:tcPr>
          <w:p w14:paraId="6F7DB4FA" w14:textId="67171339"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38.88</w:t>
            </w:r>
          </w:p>
        </w:tc>
        <w:tc>
          <w:tcPr>
            <w:tcW w:w="1260" w:type="dxa"/>
            <w:shd w:val="clear" w:color="auto" w:fill="auto"/>
            <w:noWrap/>
            <w:vAlign w:val="bottom"/>
          </w:tcPr>
          <w:p w14:paraId="4494DF72" w14:textId="64A5E1CE"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$230.99 </w:t>
            </w:r>
          </w:p>
        </w:tc>
        <w:tc>
          <w:tcPr>
            <w:tcW w:w="1616" w:type="dxa"/>
            <w:shd w:val="clear" w:color="auto" w:fill="auto"/>
            <w:noWrap/>
            <w:vAlign w:val="bottom"/>
          </w:tcPr>
          <w:p w14:paraId="1E4CDF60" w14:textId="5F2B4CE3" w:rsidR="00F57BA5" w:rsidRPr="002A7643" w:rsidRDefault="00F57BA5" w:rsidP="00F57BA5">
            <w:pPr>
              <w:spacing w:after="0" w:line="240" w:lineRule="auto"/>
              <w:jc w:val="right"/>
              <w:rPr>
                <w:color w:val="000000"/>
                <w:sz w:val="20"/>
                <w:szCs w:val="20"/>
                <w:lang w:bidi="ar-SA"/>
              </w:rPr>
            </w:pPr>
            <w:r w:rsidRPr="002A7643">
              <w:rPr>
                <w:sz w:val="20"/>
                <w:szCs w:val="20"/>
              </w:rPr>
              <w:t>$19,258.1</w:t>
            </w:r>
          </w:p>
        </w:tc>
        <w:tc>
          <w:tcPr>
            <w:tcW w:w="1440" w:type="dxa"/>
            <w:shd w:val="clear" w:color="auto" w:fill="auto"/>
            <w:noWrap/>
            <w:vAlign w:val="bottom"/>
          </w:tcPr>
          <w:p w14:paraId="062219E1" w14:textId="1B319714" w:rsidR="00F57BA5" w:rsidRPr="002A7643" w:rsidRDefault="00F57BA5" w:rsidP="00F57BA5">
            <w:pPr>
              <w:spacing w:after="0" w:line="240" w:lineRule="auto"/>
              <w:jc w:val="right"/>
              <w:rPr>
                <w:color w:val="000000"/>
                <w:sz w:val="20"/>
                <w:szCs w:val="20"/>
                <w:lang w:bidi="ar-SA"/>
              </w:rPr>
            </w:pPr>
            <w:r w:rsidRPr="002A7643">
              <w:rPr>
                <w:sz w:val="20"/>
                <w:szCs w:val="20"/>
              </w:rPr>
              <w:t xml:space="preserve">$148 </w:t>
            </w:r>
          </w:p>
        </w:tc>
        <w:tc>
          <w:tcPr>
            <w:tcW w:w="1530" w:type="dxa"/>
            <w:shd w:val="clear" w:color="auto" w:fill="auto"/>
            <w:noWrap/>
            <w:vAlign w:val="bottom"/>
          </w:tcPr>
          <w:p w14:paraId="65478276" w14:textId="587DA258" w:rsidR="00F57BA5" w:rsidRPr="002A7643" w:rsidRDefault="00F57BA5" w:rsidP="00F57BA5">
            <w:pPr>
              <w:spacing w:after="0" w:line="240" w:lineRule="auto"/>
              <w:jc w:val="right"/>
              <w:rPr>
                <w:color w:val="000000"/>
                <w:sz w:val="20"/>
                <w:szCs w:val="20"/>
                <w:lang w:bidi="ar-SA"/>
              </w:rPr>
            </w:pPr>
            <w:r w:rsidRPr="002A7643">
              <w:rPr>
                <w:sz w:val="20"/>
                <w:szCs w:val="20"/>
              </w:rPr>
              <w:t>$491.8</w:t>
            </w:r>
          </w:p>
        </w:tc>
        <w:tc>
          <w:tcPr>
            <w:tcW w:w="1444" w:type="dxa"/>
            <w:shd w:val="clear" w:color="auto" w:fill="auto"/>
            <w:noWrap/>
            <w:vAlign w:val="bottom"/>
          </w:tcPr>
          <w:p w14:paraId="0364CBC7" w14:textId="66CA0021" w:rsidR="00F57BA5" w:rsidRPr="002A7643" w:rsidRDefault="00F57BA5" w:rsidP="00F57BA5">
            <w:pPr>
              <w:spacing w:after="0" w:line="240" w:lineRule="auto"/>
              <w:jc w:val="right"/>
              <w:rPr>
                <w:color w:val="000000"/>
                <w:sz w:val="20"/>
                <w:szCs w:val="20"/>
                <w:lang w:bidi="ar-SA"/>
              </w:rPr>
            </w:pPr>
            <w:r w:rsidRPr="002A7643">
              <w:rPr>
                <w:sz w:val="20"/>
                <w:szCs w:val="20"/>
              </w:rPr>
              <w:t>$52</w:t>
            </w:r>
          </w:p>
        </w:tc>
        <w:tc>
          <w:tcPr>
            <w:tcW w:w="918" w:type="dxa"/>
          </w:tcPr>
          <w:p w14:paraId="485E80FF" w14:textId="77777777" w:rsidR="00F57BA5" w:rsidRPr="002A7643" w:rsidRDefault="00F57BA5" w:rsidP="00F57BA5">
            <w:pPr>
              <w:spacing w:after="0" w:line="240" w:lineRule="auto"/>
              <w:jc w:val="right"/>
              <w:rPr>
                <w:sz w:val="20"/>
                <w:szCs w:val="20"/>
              </w:rPr>
            </w:pPr>
          </w:p>
        </w:tc>
      </w:tr>
      <w:tr w:rsidR="00F57BA5" w:rsidRPr="0049452D" w14:paraId="7D314B19" w14:textId="6C8793C5" w:rsidTr="00F57BA5">
        <w:trPr>
          <w:trHeight w:hRule="exact" w:val="274"/>
        </w:trPr>
        <w:tc>
          <w:tcPr>
            <w:tcW w:w="1530" w:type="dxa"/>
            <w:shd w:val="clear" w:color="auto" w:fill="auto"/>
            <w:noWrap/>
            <w:vAlign w:val="bottom"/>
            <w:hideMark/>
          </w:tcPr>
          <w:p w14:paraId="34878DDF"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Stamford</w:t>
            </w:r>
          </w:p>
        </w:tc>
        <w:tc>
          <w:tcPr>
            <w:tcW w:w="1083" w:type="dxa"/>
            <w:shd w:val="clear" w:color="auto" w:fill="auto"/>
            <w:noWrap/>
            <w:vAlign w:val="bottom"/>
            <w:hideMark/>
          </w:tcPr>
          <w:p w14:paraId="4F5A6473"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126,456</w:t>
            </w:r>
          </w:p>
        </w:tc>
        <w:tc>
          <w:tcPr>
            <w:tcW w:w="1347" w:type="dxa"/>
            <w:shd w:val="clear" w:color="auto" w:fill="auto"/>
            <w:noWrap/>
            <w:vAlign w:val="bottom"/>
          </w:tcPr>
          <w:p w14:paraId="59CC71B5" w14:textId="07AD7A70"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$24,294 </w:t>
            </w:r>
          </w:p>
        </w:tc>
        <w:tc>
          <w:tcPr>
            <w:tcW w:w="900" w:type="dxa"/>
            <w:shd w:val="clear" w:color="auto" w:fill="auto"/>
            <w:noWrap/>
            <w:vAlign w:val="bottom"/>
          </w:tcPr>
          <w:p w14:paraId="1333161B" w14:textId="7B494EB1"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17.89</w:t>
            </w:r>
          </w:p>
        </w:tc>
        <w:tc>
          <w:tcPr>
            <w:tcW w:w="1260" w:type="dxa"/>
            <w:shd w:val="clear" w:color="auto" w:fill="auto"/>
            <w:noWrap/>
            <w:vAlign w:val="bottom"/>
          </w:tcPr>
          <w:p w14:paraId="29E3CC1F" w14:textId="4AD480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$432.10 </w:t>
            </w:r>
          </w:p>
        </w:tc>
        <w:tc>
          <w:tcPr>
            <w:tcW w:w="1616" w:type="dxa"/>
            <w:shd w:val="clear" w:color="auto" w:fill="auto"/>
            <w:noWrap/>
            <w:vAlign w:val="bottom"/>
          </w:tcPr>
          <w:p w14:paraId="231A9196" w14:textId="6E73DCFC" w:rsidR="00F57BA5" w:rsidRPr="002A7643" w:rsidRDefault="00F57BA5" w:rsidP="00F57BA5">
            <w:pPr>
              <w:spacing w:after="0" w:line="240" w:lineRule="auto"/>
              <w:jc w:val="right"/>
              <w:rPr>
                <w:color w:val="000000"/>
                <w:sz w:val="20"/>
                <w:szCs w:val="20"/>
                <w:lang w:bidi="ar-SA"/>
              </w:rPr>
            </w:pPr>
            <w:r w:rsidRPr="002A7643">
              <w:rPr>
                <w:sz w:val="20"/>
                <w:szCs w:val="20"/>
              </w:rPr>
              <w:t>$19,210.7</w:t>
            </w:r>
          </w:p>
        </w:tc>
        <w:tc>
          <w:tcPr>
            <w:tcW w:w="1440" w:type="dxa"/>
            <w:shd w:val="clear" w:color="auto" w:fill="auto"/>
            <w:noWrap/>
            <w:vAlign w:val="bottom"/>
          </w:tcPr>
          <w:p w14:paraId="4D4FF68B" w14:textId="6DF19812" w:rsidR="00F57BA5" w:rsidRPr="002A7643" w:rsidRDefault="00F57BA5" w:rsidP="00F57BA5">
            <w:pPr>
              <w:spacing w:after="0" w:line="240" w:lineRule="auto"/>
              <w:jc w:val="right"/>
              <w:rPr>
                <w:color w:val="000000"/>
                <w:sz w:val="20"/>
                <w:szCs w:val="20"/>
                <w:lang w:bidi="ar-SA"/>
              </w:rPr>
            </w:pPr>
            <w:r w:rsidRPr="002A7643">
              <w:rPr>
                <w:sz w:val="20"/>
                <w:szCs w:val="20"/>
              </w:rPr>
              <w:t xml:space="preserve">$155 </w:t>
            </w:r>
          </w:p>
        </w:tc>
        <w:tc>
          <w:tcPr>
            <w:tcW w:w="1530" w:type="dxa"/>
            <w:shd w:val="clear" w:color="auto" w:fill="auto"/>
            <w:noWrap/>
            <w:vAlign w:val="bottom"/>
          </w:tcPr>
          <w:p w14:paraId="0FB1FE2D" w14:textId="6863D35D" w:rsidR="00F57BA5" w:rsidRPr="002A7643" w:rsidRDefault="00F57BA5" w:rsidP="00F57BA5">
            <w:pPr>
              <w:spacing w:after="0" w:line="240" w:lineRule="auto"/>
              <w:jc w:val="right"/>
              <w:rPr>
                <w:color w:val="000000"/>
                <w:sz w:val="20"/>
                <w:szCs w:val="20"/>
                <w:lang w:bidi="ar-SA"/>
              </w:rPr>
            </w:pPr>
            <w:r w:rsidRPr="002A7643">
              <w:rPr>
                <w:sz w:val="20"/>
                <w:szCs w:val="20"/>
              </w:rPr>
              <w:t>$1,883.3</w:t>
            </w:r>
          </w:p>
        </w:tc>
        <w:tc>
          <w:tcPr>
            <w:tcW w:w="1444" w:type="dxa"/>
            <w:shd w:val="clear" w:color="auto" w:fill="auto"/>
            <w:noWrap/>
            <w:vAlign w:val="bottom"/>
          </w:tcPr>
          <w:p w14:paraId="3A70C95B" w14:textId="58B0751E" w:rsidR="00F57BA5" w:rsidRPr="002A7643" w:rsidRDefault="00F57BA5" w:rsidP="00F57BA5">
            <w:pPr>
              <w:spacing w:after="0" w:line="240" w:lineRule="auto"/>
              <w:jc w:val="right"/>
              <w:rPr>
                <w:color w:val="000000"/>
                <w:sz w:val="20"/>
                <w:szCs w:val="20"/>
                <w:lang w:bidi="ar-SA"/>
              </w:rPr>
            </w:pPr>
            <w:r w:rsidRPr="002A7643">
              <w:rPr>
                <w:sz w:val="20"/>
                <w:szCs w:val="20"/>
              </w:rPr>
              <w:t>$99</w:t>
            </w:r>
          </w:p>
        </w:tc>
        <w:tc>
          <w:tcPr>
            <w:tcW w:w="918" w:type="dxa"/>
          </w:tcPr>
          <w:p w14:paraId="283CE44E" w14:textId="77777777" w:rsidR="00F57BA5" w:rsidRPr="002A7643" w:rsidRDefault="00F57BA5" w:rsidP="00F57BA5">
            <w:pPr>
              <w:spacing w:after="0" w:line="240" w:lineRule="auto"/>
              <w:jc w:val="right"/>
              <w:rPr>
                <w:sz w:val="20"/>
                <w:szCs w:val="20"/>
              </w:rPr>
            </w:pPr>
          </w:p>
        </w:tc>
      </w:tr>
      <w:tr w:rsidR="00F57BA5" w:rsidRPr="0049452D" w14:paraId="012BA9D1" w14:textId="430F4201" w:rsidTr="00F57BA5">
        <w:trPr>
          <w:trHeight w:hRule="exact" w:val="274"/>
        </w:trPr>
        <w:tc>
          <w:tcPr>
            <w:tcW w:w="1530" w:type="dxa"/>
            <w:shd w:val="clear" w:color="auto" w:fill="auto"/>
            <w:noWrap/>
            <w:vAlign w:val="bottom"/>
            <w:hideMark/>
          </w:tcPr>
          <w:p w14:paraId="671AECD3" w14:textId="77777777" w:rsidR="00F57BA5" w:rsidRPr="0049452D" w:rsidRDefault="00F57BA5" w:rsidP="00F57BA5">
            <w:pPr>
              <w:spacing w:after="0" w:line="240" w:lineRule="auto"/>
              <w:rPr>
                <w:b/>
                <w:bCs/>
                <w:color w:val="000000"/>
                <w:sz w:val="20"/>
                <w:szCs w:val="20"/>
                <w:lang w:bidi="ar-SA"/>
              </w:rPr>
            </w:pPr>
            <w:r w:rsidRPr="0049452D">
              <w:rPr>
                <w:b/>
                <w:bCs/>
                <w:color w:val="000000"/>
                <w:sz w:val="20"/>
                <w:szCs w:val="20"/>
                <w:lang w:bidi="ar-SA"/>
              </w:rPr>
              <w:t xml:space="preserve">   Small Cities</w:t>
            </w:r>
          </w:p>
        </w:tc>
        <w:tc>
          <w:tcPr>
            <w:tcW w:w="1083" w:type="dxa"/>
            <w:shd w:val="clear" w:color="auto" w:fill="auto"/>
            <w:noWrap/>
            <w:vAlign w:val="bottom"/>
            <w:hideMark/>
          </w:tcPr>
          <w:p w14:paraId="0EFC467A" w14:textId="77777777" w:rsidR="00F57BA5" w:rsidRPr="0049452D" w:rsidRDefault="00F57BA5" w:rsidP="00F57BA5">
            <w:pPr>
              <w:spacing w:after="0" w:line="240" w:lineRule="auto"/>
              <w:rPr>
                <w:b/>
                <w:bCs/>
                <w:color w:val="000000"/>
                <w:sz w:val="20"/>
                <w:szCs w:val="20"/>
                <w:lang w:bidi="ar-SA"/>
              </w:rPr>
            </w:pPr>
          </w:p>
        </w:tc>
        <w:tc>
          <w:tcPr>
            <w:tcW w:w="1347" w:type="dxa"/>
            <w:shd w:val="clear" w:color="auto" w:fill="auto"/>
            <w:noWrap/>
            <w:vAlign w:val="bottom"/>
          </w:tcPr>
          <w:p w14:paraId="7F287867" w14:textId="77777777" w:rsidR="00F57BA5" w:rsidRPr="0049452D" w:rsidRDefault="00F57BA5" w:rsidP="00F57BA5">
            <w:pPr>
              <w:spacing w:after="0" w:line="240" w:lineRule="auto"/>
              <w:rPr>
                <w:sz w:val="20"/>
                <w:szCs w:val="20"/>
                <w:lang w:bidi="ar-SA"/>
              </w:rPr>
            </w:pPr>
          </w:p>
        </w:tc>
        <w:tc>
          <w:tcPr>
            <w:tcW w:w="900" w:type="dxa"/>
            <w:shd w:val="clear" w:color="auto" w:fill="auto"/>
            <w:noWrap/>
            <w:vAlign w:val="bottom"/>
          </w:tcPr>
          <w:p w14:paraId="4EA00F90" w14:textId="77777777" w:rsidR="00F57BA5" w:rsidRPr="0049452D" w:rsidRDefault="00F57BA5" w:rsidP="00F57BA5">
            <w:pPr>
              <w:spacing w:after="0" w:line="240" w:lineRule="auto"/>
              <w:rPr>
                <w:sz w:val="20"/>
                <w:szCs w:val="20"/>
                <w:lang w:bidi="ar-SA"/>
              </w:rPr>
            </w:pPr>
          </w:p>
        </w:tc>
        <w:tc>
          <w:tcPr>
            <w:tcW w:w="1260" w:type="dxa"/>
            <w:shd w:val="clear" w:color="auto" w:fill="auto"/>
            <w:noWrap/>
            <w:vAlign w:val="bottom"/>
          </w:tcPr>
          <w:p w14:paraId="6D81E2CC" w14:textId="77777777" w:rsidR="00F57BA5" w:rsidRPr="0049452D" w:rsidRDefault="00F57BA5" w:rsidP="00F57BA5">
            <w:pPr>
              <w:spacing w:after="0" w:line="240" w:lineRule="auto"/>
              <w:rPr>
                <w:sz w:val="20"/>
                <w:szCs w:val="20"/>
                <w:lang w:bidi="ar-SA"/>
              </w:rPr>
            </w:pPr>
          </w:p>
        </w:tc>
        <w:tc>
          <w:tcPr>
            <w:tcW w:w="1616" w:type="dxa"/>
            <w:shd w:val="clear" w:color="auto" w:fill="auto"/>
            <w:noWrap/>
            <w:vAlign w:val="bottom"/>
          </w:tcPr>
          <w:p w14:paraId="2AE6A3FF" w14:textId="77777777" w:rsidR="00F57BA5" w:rsidRPr="002A7643" w:rsidRDefault="00F57BA5" w:rsidP="00F57BA5">
            <w:pPr>
              <w:spacing w:after="0" w:line="240" w:lineRule="auto"/>
              <w:rPr>
                <w:sz w:val="20"/>
                <w:szCs w:val="20"/>
                <w:lang w:bidi="ar-SA"/>
              </w:rPr>
            </w:pPr>
          </w:p>
        </w:tc>
        <w:tc>
          <w:tcPr>
            <w:tcW w:w="1440" w:type="dxa"/>
            <w:shd w:val="clear" w:color="auto" w:fill="auto"/>
            <w:noWrap/>
            <w:vAlign w:val="bottom"/>
          </w:tcPr>
          <w:p w14:paraId="6D2E3916" w14:textId="77777777" w:rsidR="00F57BA5" w:rsidRPr="002A7643" w:rsidRDefault="00F57BA5" w:rsidP="00F57BA5">
            <w:pPr>
              <w:spacing w:after="0" w:line="240" w:lineRule="auto"/>
              <w:rPr>
                <w:sz w:val="20"/>
                <w:szCs w:val="20"/>
                <w:lang w:bidi="ar-SA"/>
              </w:rPr>
            </w:pPr>
          </w:p>
        </w:tc>
        <w:tc>
          <w:tcPr>
            <w:tcW w:w="1530" w:type="dxa"/>
            <w:shd w:val="clear" w:color="auto" w:fill="auto"/>
            <w:noWrap/>
            <w:vAlign w:val="bottom"/>
          </w:tcPr>
          <w:p w14:paraId="2150FDD3" w14:textId="77777777" w:rsidR="00F57BA5" w:rsidRPr="002A7643" w:rsidRDefault="00F57BA5" w:rsidP="00F57BA5">
            <w:pPr>
              <w:spacing w:after="0" w:line="240" w:lineRule="auto"/>
              <w:rPr>
                <w:sz w:val="20"/>
                <w:szCs w:val="20"/>
                <w:lang w:bidi="ar-SA"/>
              </w:rPr>
            </w:pPr>
          </w:p>
        </w:tc>
        <w:tc>
          <w:tcPr>
            <w:tcW w:w="1444" w:type="dxa"/>
            <w:shd w:val="clear" w:color="auto" w:fill="auto"/>
            <w:noWrap/>
            <w:vAlign w:val="bottom"/>
          </w:tcPr>
          <w:p w14:paraId="3B2652CE" w14:textId="77777777" w:rsidR="00F57BA5" w:rsidRPr="002A7643" w:rsidRDefault="00F57BA5" w:rsidP="00F57BA5">
            <w:pPr>
              <w:spacing w:after="0" w:line="240" w:lineRule="auto"/>
              <w:rPr>
                <w:sz w:val="20"/>
                <w:szCs w:val="20"/>
                <w:lang w:bidi="ar-SA"/>
              </w:rPr>
            </w:pPr>
          </w:p>
        </w:tc>
        <w:tc>
          <w:tcPr>
            <w:tcW w:w="918" w:type="dxa"/>
          </w:tcPr>
          <w:p w14:paraId="3B63E6A6" w14:textId="77777777" w:rsidR="00F57BA5" w:rsidRPr="002A7643" w:rsidRDefault="00F57BA5" w:rsidP="00F57BA5">
            <w:pPr>
              <w:spacing w:after="0" w:line="240" w:lineRule="auto"/>
              <w:rPr>
                <w:sz w:val="20"/>
                <w:szCs w:val="20"/>
                <w:lang w:bidi="ar-SA"/>
              </w:rPr>
            </w:pPr>
          </w:p>
        </w:tc>
      </w:tr>
      <w:tr w:rsidR="00F57BA5" w:rsidRPr="0049452D" w14:paraId="521808D7" w14:textId="02943052" w:rsidTr="00F57BA5">
        <w:trPr>
          <w:trHeight w:hRule="exact" w:val="274"/>
        </w:trPr>
        <w:tc>
          <w:tcPr>
            <w:tcW w:w="1530" w:type="dxa"/>
            <w:shd w:val="clear" w:color="auto" w:fill="auto"/>
            <w:noWrap/>
            <w:vAlign w:val="bottom"/>
            <w:hideMark/>
          </w:tcPr>
          <w:p w14:paraId="031E744C"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Manchester</w:t>
            </w:r>
          </w:p>
        </w:tc>
        <w:tc>
          <w:tcPr>
            <w:tcW w:w="1083" w:type="dxa"/>
            <w:shd w:val="clear" w:color="auto" w:fill="auto"/>
            <w:noWrap/>
            <w:vAlign w:val="bottom"/>
            <w:hideMark/>
          </w:tcPr>
          <w:p w14:paraId="42603205"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58,211</w:t>
            </w:r>
          </w:p>
        </w:tc>
        <w:tc>
          <w:tcPr>
            <w:tcW w:w="1347" w:type="dxa"/>
            <w:shd w:val="clear" w:color="auto" w:fill="auto"/>
            <w:noWrap/>
            <w:vAlign w:val="bottom"/>
          </w:tcPr>
          <w:p w14:paraId="7F6BC7CF" w14:textId="253ED416"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$3,888 </w:t>
            </w:r>
          </w:p>
        </w:tc>
        <w:tc>
          <w:tcPr>
            <w:tcW w:w="900" w:type="dxa"/>
            <w:shd w:val="clear" w:color="auto" w:fill="auto"/>
            <w:noWrap/>
            <w:vAlign w:val="bottom"/>
          </w:tcPr>
          <w:p w14:paraId="64DD478F" w14:textId="465CC619"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35.83</w:t>
            </w:r>
          </w:p>
        </w:tc>
        <w:tc>
          <w:tcPr>
            <w:tcW w:w="1260" w:type="dxa"/>
            <w:shd w:val="clear" w:color="auto" w:fill="auto"/>
            <w:noWrap/>
            <w:vAlign w:val="bottom"/>
          </w:tcPr>
          <w:p w14:paraId="180F206E" w14:textId="55512CE5"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$122.29 </w:t>
            </w:r>
          </w:p>
        </w:tc>
        <w:tc>
          <w:tcPr>
            <w:tcW w:w="1616" w:type="dxa"/>
            <w:shd w:val="clear" w:color="auto" w:fill="auto"/>
            <w:noWrap/>
            <w:vAlign w:val="bottom"/>
          </w:tcPr>
          <w:p w14:paraId="175BC985" w14:textId="0489F40B" w:rsidR="00F57BA5" w:rsidRPr="002A7643" w:rsidRDefault="00F57BA5" w:rsidP="00F57BA5">
            <w:pPr>
              <w:spacing w:after="0" w:line="240" w:lineRule="auto"/>
              <w:jc w:val="right"/>
              <w:rPr>
                <w:color w:val="000000"/>
                <w:sz w:val="20"/>
                <w:szCs w:val="20"/>
                <w:lang w:bidi="ar-SA"/>
              </w:rPr>
            </w:pPr>
            <w:r w:rsidRPr="002A7643">
              <w:rPr>
                <w:sz w:val="20"/>
                <w:szCs w:val="20"/>
              </w:rPr>
              <w:t>$14,005.8</w:t>
            </w:r>
          </w:p>
        </w:tc>
        <w:tc>
          <w:tcPr>
            <w:tcW w:w="1440" w:type="dxa"/>
            <w:shd w:val="clear" w:color="auto" w:fill="auto"/>
            <w:noWrap/>
            <w:vAlign w:val="bottom"/>
          </w:tcPr>
          <w:p w14:paraId="374EB794" w14:textId="3B63EBF0" w:rsidR="00F57BA5" w:rsidRPr="002A7643" w:rsidRDefault="00F57BA5" w:rsidP="00F57BA5">
            <w:pPr>
              <w:spacing w:after="0" w:line="240" w:lineRule="auto"/>
              <w:jc w:val="right"/>
              <w:rPr>
                <w:color w:val="000000"/>
                <w:sz w:val="20"/>
                <w:szCs w:val="20"/>
                <w:lang w:bidi="ar-SA"/>
              </w:rPr>
            </w:pPr>
            <w:r w:rsidRPr="002A7643">
              <w:rPr>
                <w:sz w:val="20"/>
                <w:szCs w:val="20"/>
              </w:rPr>
              <w:t xml:space="preserve">$241 </w:t>
            </w:r>
          </w:p>
        </w:tc>
        <w:tc>
          <w:tcPr>
            <w:tcW w:w="1530" w:type="dxa"/>
            <w:shd w:val="clear" w:color="auto" w:fill="auto"/>
            <w:noWrap/>
            <w:vAlign w:val="bottom"/>
          </w:tcPr>
          <w:p w14:paraId="61E56E72" w14:textId="035F3AE5" w:rsidR="00F57BA5" w:rsidRPr="002A7643" w:rsidRDefault="00F57BA5" w:rsidP="00F57BA5">
            <w:pPr>
              <w:spacing w:after="0" w:line="240" w:lineRule="auto"/>
              <w:jc w:val="right"/>
              <w:rPr>
                <w:color w:val="000000"/>
                <w:sz w:val="20"/>
                <w:szCs w:val="20"/>
                <w:lang w:bidi="ar-SA"/>
              </w:rPr>
            </w:pPr>
            <w:r w:rsidRPr="002A7643">
              <w:rPr>
                <w:sz w:val="20"/>
                <w:szCs w:val="20"/>
              </w:rPr>
              <w:t>$10,247.2</w:t>
            </w:r>
          </w:p>
        </w:tc>
        <w:tc>
          <w:tcPr>
            <w:tcW w:w="1444" w:type="dxa"/>
            <w:shd w:val="clear" w:color="auto" w:fill="auto"/>
            <w:noWrap/>
            <w:vAlign w:val="bottom"/>
          </w:tcPr>
          <w:p w14:paraId="39CB08C5" w14:textId="77631B76" w:rsidR="00F57BA5" w:rsidRPr="002A7643" w:rsidRDefault="00F57BA5" w:rsidP="00F57BA5">
            <w:pPr>
              <w:spacing w:after="0" w:line="240" w:lineRule="auto"/>
              <w:jc w:val="right"/>
              <w:rPr>
                <w:color w:val="000000"/>
                <w:sz w:val="20"/>
                <w:szCs w:val="20"/>
                <w:lang w:bidi="ar-SA"/>
              </w:rPr>
            </w:pPr>
            <w:r w:rsidRPr="002A7643">
              <w:rPr>
                <w:sz w:val="20"/>
                <w:szCs w:val="20"/>
              </w:rPr>
              <w:t>$93</w:t>
            </w:r>
          </w:p>
        </w:tc>
        <w:tc>
          <w:tcPr>
            <w:tcW w:w="918" w:type="dxa"/>
          </w:tcPr>
          <w:p w14:paraId="0A0E6E3E" w14:textId="77777777" w:rsidR="00F57BA5" w:rsidRPr="002A7643" w:rsidRDefault="00F57BA5" w:rsidP="00F57BA5">
            <w:pPr>
              <w:spacing w:after="0" w:line="240" w:lineRule="auto"/>
              <w:jc w:val="right"/>
              <w:rPr>
                <w:sz w:val="20"/>
                <w:szCs w:val="20"/>
              </w:rPr>
            </w:pPr>
          </w:p>
        </w:tc>
      </w:tr>
      <w:tr w:rsidR="00F57BA5" w:rsidRPr="0049452D" w14:paraId="1F439312" w14:textId="66A7F9B2" w:rsidTr="00F57BA5">
        <w:trPr>
          <w:trHeight w:hRule="exact" w:val="274"/>
        </w:trPr>
        <w:tc>
          <w:tcPr>
            <w:tcW w:w="1530" w:type="dxa"/>
            <w:shd w:val="clear" w:color="auto" w:fill="auto"/>
            <w:noWrap/>
            <w:vAlign w:val="bottom"/>
            <w:hideMark/>
          </w:tcPr>
          <w:p w14:paraId="7F181152"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Meriden</w:t>
            </w:r>
          </w:p>
        </w:tc>
        <w:tc>
          <w:tcPr>
            <w:tcW w:w="1083" w:type="dxa"/>
            <w:shd w:val="clear" w:color="auto" w:fill="auto"/>
            <w:noWrap/>
            <w:vAlign w:val="bottom"/>
            <w:hideMark/>
          </w:tcPr>
          <w:p w14:paraId="595D623C"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60,456</w:t>
            </w:r>
          </w:p>
        </w:tc>
        <w:tc>
          <w:tcPr>
            <w:tcW w:w="1347" w:type="dxa"/>
            <w:shd w:val="clear" w:color="auto" w:fill="auto"/>
            <w:noWrap/>
            <w:vAlign w:val="bottom"/>
          </w:tcPr>
          <w:p w14:paraId="6E8E83EA" w14:textId="765B08B6"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$3,246 </w:t>
            </w:r>
          </w:p>
        </w:tc>
        <w:tc>
          <w:tcPr>
            <w:tcW w:w="900" w:type="dxa"/>
            <w:shd w:val="clear" w:color="auto" w:fill="auto"/>
            <w:noWrap/>
            <w:vAlign w:val="bottom"/>
          </w:tcPr>
          <w:p w14:paraId="6C67AC54" w14:textId="70289933"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34.70</w:t>
            </w:r>
          </w:p>
        </w:tc>
        <w:tc>
          <w:tcPr>
            <w:tcW w:w="1260" w:type="dxa"/>
            <w:shd w:val="clear" w:color="auto" w:fill="auto"/>
            <w:noWrap/>
            <w:vAlign w:val="bottom"/>
          </w:tcPr>
          <w:p w14:paraId="604B0A53" w14:textId="26343AF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$113.89 </w:t>
            </w:r>
          </w:p>
        </w:tc>
        <w:tc>
          <w:tcPr>
            <w:tcW w:w="1616" w:type="dxa"/>
            <w:shd w:val="clear" w:color="auto" w:fill="auto"/>
            <w:noWrap/>
            <w:vAlign w:val="bottom"/>
          </w:tcPr>
          <w:p w14:paraId="39D7FD13" w14:textId="30216784" w:rsidR="00F57BA5" w:rsidRPr="002A7643" w:rsidRDefault="00F57BA5" w:rsidP="00F57BA5">
            <w:pPr>
              <w:spacing w:after="0" w:line="240" w:lineRule="auto"/>
              <w:jc w:val="right"/>
              <w:rPr>
                <w:color w:val="000000"/>
                <w:sz w:val="20"/>
                <w:szCs w:val="20"/>
                <w:lang w:bidi="ar-SA"/>
              </w:rPr>
            </w:pPr>
            <w:r w:rsidRPr="002A7643">
              <w:rPr>
                <w:sz w:val="20"/>
                <w:szCs w:val="20"/>
              </w:rPr>
              <w:t>$5,302.1</w:t>
            </w:r>
          </w:p>
        </w:tc>
        <w:tc>
          <w:tcPr>
            <w:tcW w:w="1440" w:type="dxa"/>
            <w:shd w:val="clear" w:color="auto" w:fill="auto"/>
            <w:noWrap/>
            <w:vAlign w:val="bottom"/>
          </w:tcPr>
          <w:p w14:paraId="2E14A376" w14:textId="0C8D114B" w:rsidR="00F57BA5" w:rsidRPr="002A7643" w:rsidRDefault="00F57BA5" w:rsidP="00F57BA5">
            <w:pPr>
              <w:spacing w:after="0" w:line="240" w:lineRule="auto"/>
              <w:jc w:val="right"/>
              <w:rPr>
                <w:color w:val="000000"/>
                <w:sz w:val="20"/>
                <w:szCs w:val="20"/>
                <w:lang w:bidi="ar-SA"/>
              </w:rPr>
            </w:pPr>
            <w:r w:rsidRPr="002A7643">
              <w:rPr>
                <w:sz w:val="20"/>
                <w:szCs w:val="20"/>
              </w:rPr>
              <w:t xml:space="preserve">$87 </w:t>
            </w:r>
          </w:p>
        </w:tc>
        <w:tc>
          <w:tcPr>
            <w:tcW w:w="1530" w:type="dxa"/>
            <w:shd w:val="clear" w:color="auto" w:fill="auto"/>
            <w:noWrap/>
            <w:vAlign w:val="bottom"/>
          </w:tcPr>
          <w:p w14:paraId="68CFAC5F" w14:textId="1ADD11A9" w:rsidR="00F57BA5" w:rsidRPr="002A7643" w:rsidRDefault="00F57BA5" w:rsidP="00F57BA5">
            <w:pPr>
              <w:spacing w:after="0" w:line="240" w:lineRule="auto"/>
              <w:jc w:val="right"/>
              <w:rPr>
                <w:color w:val="000000"/>
                <w:sz w:val="20"/>
                <w:szCs w:val="20"/>
                <w:lang w:bidi="ar-SA"/>
              </w:rPr>
            </w:pPr>
            <w:r w:rsidRPr="002A7643">
              <w:rPr>
                <w:sz w:val="20"/>
                <w:szCs w:val="20"/>
              </w:rPr>
              <w:t>$730.1</w:t>
            </w:r>
          </w:p>
        </w:tc>
        <w:tc>
          <w:tcPr>
            <w:tcW w:w="1444" w:type="dxa"/>
            <w:shd w:val="clear" w:color="auto" w:fill="auto"/>
            <w:noWrap/>
            <w:vAlign w:val="bottom"/>
          </w:tcPr>
          <w:p w14:paraId="0214B5CC" w14:textId="2DFB48B4" w:rsidR="00F57BA5" w:rsidRPr="002A7643" w:rsidRDefault="00F57BA5" w:rsidP="00F57BA5">
            <w:pPr>
              <w:spacing w:after="0" w:line="240" w:lineRule="auto"/>
              <w:jc w:val="right"/>
              <w:rPr>
                <w:color w:val="000000"/>
                <w:sz w:val="20"/>
                <w:szCs w:val="20"/>
                <w:lang w:bidi="ar-SA"/>
              </w:rPr>
            </w:pPr>
            <w:r w:rsidRPr="002A7643">
              <w:rPr>
                <w:sz w:val="20"/>
                <w:szCs w:val="20"/>
              </w:rPr>
              <w:t>$74</w:t>
            </w:r>
          </w:p>
        </w:tc>
        <w:tc>
          <w:tcPr>
            <w:tcW w:w="918" w:type="dxa"/>
          </w:tcPr>
          <w:p w14:paraId="552302D6" w14:textId="77777777" w:rsidR="00F57BA5" w:rsidRPr="002A7643" w:rsidRDefault="00F57BA5" w:rsidP="00F57BA5">
            <w:pPr>
              <w:spacing w:after="0" w:line="240" w:lineRule="auto"/>
              <w:jc w:val="right"/>
              <w:rPr>
                <w:sz w:val="20"/>
                <w:szCs w:val="20"/>
              </w:rPr>
            </w:pPr>
          </w:p>
        </w:tc>
      </w:tr>
      <w:tr w:rsidR="00F57BA5" w:rsidRPr="0049452D" w14:paraId="21B19DFC" w14:textId="3B30ACDA" w:rsidTr="00F57BA5">
        <w:trPr>
          <w:trHeight w:hRule="exact" w:val="274"/>
        </w:trPr>
        <w:tc>
          <w:tcPr>
            <w:tcW w:w="1530" w:type="dxa"/>
            <w:shd w:val="clear" w:color="auto" w:fill="auto"/>
            <w:noWrap/>
            <w:vAlign w:val="bottom"/>
            <w:hideMark/>
          </w:tcPr>
          <w:p w14:paraId="7E6DD494"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New London</w:t>
            </w:r>
          </w:p>
        </w:tc>
        <w:tc>
          <w:tcPr>
            <w:tcW w:w="1083" w:type="dxa"/>
            <w:shd w:val="clear" w:color="auto" w:fill="auto"/>
            <w:noWrap/>
            <w:vAlign w:val="bottom"/>
            <w:hideMark/>
          </w:tcPr>
          <w:p w14:paraId="56813710"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27,545</w:t>
            </w:r>
          </w:p>
        </w:tc>
        <w:tc>
          <w:tcPr>
            <w:tcW w:w="1347" w:type="dxa"/>
            <w:shd w:val="clear" w:color="auto" w:fill="auto"/>
            <w:noWrap/>
            <w:vAlign w:val="bottom"/>
          </w:tcPr>
          <w:p w14:paraId="362A400C" w14:textId="1D6A1B3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$1,565 </w:t>
            </w:r>
          </w:p>
        </w:tc>
        <w:tc>
          <w:tcPr>
            <w:tcW w:w="900" w:type="dxa"/>
            <w:shd w:val="clear" w:color="auto" w:fill="auto"/>
            <w:noWrap/>
            <w:vAlign w:val="bottom"/>
          </w:tcPr>
          <w:p w14:paraId="0DE7E108" w14:textId="608A3DD9"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26.60</w:t>
            </w:r>
          </w:p>
        </w:tc>
        <w:tc>
          <w:tcPr>
            <w:tcW w:w="1260" w:type="dxa"/>
            <w:shd w:val="clear" w:color="auto" w:fill="auto"/>
            <w:noWrap/>
            <w:vAlign w:val="bottom"/>
          </w:tcPr>
          <w:p w14:paraId="13B0AD20" w14:textId="3CC6CD2E"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$41.47 </w:t>
            </w:r>
          </w:p>
        </w:tc>
        <w:tc>
          <w:tcPr>
            <w:tcW w:w="1616" w:type="dxa"/>
            <w:shd w:val="clear" w:color="auto" w:fill="auto"/>
            <w:noWrap/>
            <w:vAlign w:val="bottom"/>
          </w:tcPr>
          <w:p w14:paraId="7BEE6775" w14:textId="1C20DFBC" w:rsidR="00F57BA5" w:rsidRPr="002A7643" w:rsidRDefault="00F57BA5" w:rsidP="00F57BA5">
            <w:pPr>
              <w:spacing w:after="0" w:line="240" w:lineRule="auto"/>
              <w:jc w:val="right"/>
              <w:rPr>
                <w:color w:val="000000"/>
                <w:sz w:val="20"/>
                <w:szCs w:val="20"/>
                <w:lang w:bidi="ar-SA"/>
              </w:rPr>
            </w:pPr>
            <w:r w:rsidRPr="002A7643">
              <w:rPr>
                <w:sz w:val="20"/>
                <w:szCs w:val="20"/>
              </w:rPr>
              <w:t>$5,903.8</w:t>
            </w:r>
          </w:p>
        </w:tc>
        <w:tc>
          <w:tcPr>
            <w:tcW w:w="1440" w:type="dxa"/>
            <w:shd w:val="clear" w:color="auto" w:fill="auto"/>
            <w:noWrap/>
            <w:vAlign w:val="bottom"/>
          </w:tcPr>
          <w:p w14:paraId="0403F49C" w14:textId="3433E792" w:rsidR="00F57BA5" w:rsidRPr="002A7643" w:rsidRDefault="00F57BA5" w:rsidP="00F57BA5">
            <w:pPr>
              <w:spacing w:after="0" w:line="240" w:lineRule="auto"/>
              <w:jc w:val="right"/>
              <w:rPr>
                <w:color w:val="000000"/>
                <w:sz w:val="20"/>
                <w:szCs w:val="20"/>
                <w:lang w:bidi="ar-SA"/>
              </w:rPr>
            </w:pPr>
            <w:r w:rsidRPr="002A7643">
              <w:rPr>
                <w:sz w:val="20"/>
                <w:szCs w:val="20"/>
              </w:rPr>
              <w:t xml:space="preserve">$214 </w:t>
            </w:r>
          </w:p>
        </w:tc>
        <w:tc>
          <w:tcPr>
            <w:tcW w:w="1530" w:type="dxa"/>
            <w:shd w:val="clear" w:color="auto" w:fill="auto"/>
            <w:noWrap/>
            <w:vAlign w:val="bottom"/>
          </w:tcPr>
          <w:p w14:paraId="26CBB6F3" w14:textId="46478F53" w:rsidR="00F57BA5" w:rsidRPr="002A7643" w:rsidRDefault="00F57BA5" w:rsidP="00F57BA5">
            <w:pPr>
              <w:spacing w:after="0" w:line="240" w:lineRule="auto"/>
              <w:jc w:val="right"/>
              <w:rPr>
                <w:color w:val="000000"/>
                <w:sz w:val="20"/>
                <w:szCs w:val="20"/>
                <w:lang w:bidi="ar-SA"/>
              </w:rPr>
            </w:pPr>
            <w:r w:rsidRPr="002A7643">
              <w:rPr>
                <w:sz w:val="20"/>
                <w:szCs w:val="20"/>
              </w:rPr>
              <w:t>$48.3</w:t>
            </w:r>
          </w:p>
        </w:tc>
        <w:tc>
          <w:tcPr>
            <w:tcW w:w="1444" w:type="dxa"/>
            <w:shd w:val="clear" w:color="auto" w:fill="auto"/>
            <w:noWrap/>
            <w:vAlign w:val="bottom"/>
          </w:tcPr>
          <w:p w14:paraId="70365D8B" w14:textId="42524156" w:rsidR="00F57BA5" w:rsidRPr="002A7643" w:rsidRDefault="00F57BA5" w:rsidP="00F57BA5">
            <w:pPr>
              <w:spacing w:after="0" w:line="240" w:lineRule="auto"/>
              <w:jc w:val="right"/>
              <w:rPr>
                <w:color w:val="000000"/>
                <w:sz w:val="20"/>
                <w:szCs w:val="20"/>
                <w:lang w:bidi="ar-SA"/>
              </w:rPr>
            </w:pPr>
            <w:r w:rsidRPr="002A7643">
              <w:rPr>
                <w:sz w:val="20"/>
                <w:szCs w:val="20"/>
              </w:rPr>
              <w:t>$46</w:t>
            </w:r>
          </w:p>
        </w:tc>
        <w:tc>
          <w:tcPr>
            <w:tcW w:w="918" w:type="dxa"/>
          </w:tcPr>
          <w:p w14:paraId="5563EA41" w14:textId="77777777" w:rsidR="00F57BA5" w:rsidRPr="002A7643" w:rsidRDefault="00F57BA5" w:rsidP="00F57BA5">
            <w:pPr>
              <w:spacing w:after="0" w:line="240" w:lineRule="auto"/>
              <w:jc w:val="right"/>
              <w:rPr>
                <w:sz w:val="20"/>
                <w:szCs w:val="20"/>
              </w:rPr>
            </w:pPr>
          </w:p>
        </w:tc>
      </w:tr>
      <w:tr w:rsidR="00F57BA5" w:rsidRPr="0049452D" w14:paraId="1A93203B" w14:textId="751EAF41" w:rsidTr="00F57BA5">
        <w:trPr>
          <w:trHeight w:hRule="exact" w:val="274"/>
        </w:trPr>
        <w:tc>
          <w:tcPr>
            <w:tcW w:w="1530" w:type="dxa"/>
            <w:shd w:val="clear" w:color="auto" w:fill="auto"/>
            <w:noWrap/>
            <w:vAlign w:val="bottom"/>
            <w:hideMark/>
          </w:tcPr>
          <w:p w14:paraId="360688F1"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Torrington</w:t>
            </w:r>
          </w:p>
        </w:tc>
        <w:tc>
          <w:tcPr>
            <w:tcW w:w="1083" w:type="dxa"/>
            <w:shd w:val="clear" w:color="auto" w:fill="auto"/>
            <w:noWrap/>
            <w:vAlign w:val="bottom"/>
            <w:hideMark/>
          </w:tcPr>
          <w:p w14:paraId="33C04876"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35,611</w:t>
            </w:r>
          </w:p>
        </w:tc>
        <w:tc>
          <w:tcPr>
            <w:tcW w:w="1347" w:type="dxa"/>
            <w:shd w:val="clear" w:color="auto" w:fill="auto"/>
            <w:noWrap/>
            <w:vAlign w:val="bottom"/>
          </w:tcPr>
          <w:p w14:paraId="72A8B892" w14:textId="0AA2D271"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$2,359 </w:t>
            </w:r>
          </w:p>
        </w:tc>
        <w:tc>
          <w:tcPr>
            <w:tcW w:w="900" w:type="dxa"/>
            <w:shd w:val="clear" w:color="auto" w:fill="auto"/>
            <w:noWrap/>
            <w:vAlign w:val="bottom"/>
          </w:tcPr>
          <w:p w14:paraId="4DBDB3D9" w14:textId="3273A5A5"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33.47</w:t>
            </w:r>
          </w:p>
        </w:tc>
        <w:tc>
          <w:tcPr>
            <w:tcW w:w="1260" w:type="dxa"/>
            <w:shd w:val="clear" w:color="auto" w:fill="auto"/>
            <w:noWrap/>
            <w:vAlign w:val="bottom"/>
          </w:tcPr>
          <w:p w14:paraId="01A95A96" w14:textId="31BA2113"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$79.23 </w:t>
            </w:r>
          </w:p>
        </w:tc>
        <w:tc>
          <w:tcPr>
            <w:tcW w:w="1616" w:type="dxa"/>
            <w:shd w:val="clear" w:color="auto" w:fill="auto"/>
            <w:noWrap/>
            <w:vAlign w:val="bottom"/>
          </w:tcPr>
          <w:p w14:paraId="5904DC4C" w14:textId="68A16671" w:rsidR="00F57BA5" w:rsidRPr="002A7643" w:rsidRDefault="00F57BA5" w:rsidP="00F57BA5">
            <w:pPr>
              <w:spacing w:after="0" w:line="240" w:lineRule="auto"/>
              <w:jc w:val="right"/>
              <w:rPr>
                <w:color w:val="000000"/>
                <w:sz w:val="20"/>
                <w:szCs w:val="20"/>
                <w:lang w:bidi="ar-SA"/>
              </w:rPr>
            </w:pPr>
            <w:r w:rsidRPr="002A7643">
              <w:rPr>
                <w:sz w:val="20"/>
                <w:szCs w:val="20"/>
              </w:rPr>
              <w:t>$6,134.2</w:t>
            </w:r>
          </w:p>
        </w:tc>
        <w:tc>
          <w:tcPr>
            <w:tcW w:w="1440" w:type="dxa"/>
            <w:shd w:val="clear" w:color="auto" w:fill="auto"/>
            <w:noWrap/>
            <w:vAlign w:val="bottom"/>
          </w:tcPr>
          <w:p w14:paraId="2A84251B" w14:textId="12E3F3F7" w:rsidR="00F57BA5" w:rsidRPr="002A7643" w:rsidRDefault="00F57BA5" w:rsidP="00F57BA5">
            <w:pPr>
              <w:spacing w:after="0" w:line="240" w:lineRule="auto"/>
              <w:jc w:val="right"/>
              <w:rPr>
                <w:color w:val="000000"/>
                <w:sz w:val="20"/>
                <w:szCs w:val="20"/>
                <w:lang w:bidi="ar-SA"/>
              </w:rPr>
            </w:pPr>
            <w:r w:rsidRPr="002A7643">
              <w:rPr>
                <w:sz w:val="20"/>
                <w:szCs w:val="20"/>
              </w:rPr>
              <w:t xml:space="preserve">$170 </w:t>
            </w:r>
          </w:p>
        </w:tc>
        <w:tc>
          <w:tcPr>
            <w:tcW w:w="1530" w:type="dxa"/>
            <w:shd w:val="clear" w:color="auto" w:fill="auto"/>
            <w:noWrap/>
            <w:vAlign w:val="bottom"/>
          </w:tcPr>
          <w:p w14:paraId="2A90456A" w14:textId="4E130852" w:rsidR="00F57BA5" w:rsidRPr="002A7643" w:rsidRDefault="00F57BA5" w:rsidP="00F57BA5">
            <w:pPr>
              <w:spacing w:after="0" w:line="240" w:lineRule="auto"/>
              <w:jc w:val="right"/>
              <w:rPr>
                <w:color w:val="000000"/>
                <w:sz w:val="20"/>
                <w:szCs w:val="20"/>
                <w:lang w:bidi="ar-SA"/>
              </w:rPr>
            </w:pPr>
            <w:r w:rsidRPr="002A7643">
              <w:rPr>
                <w:sz w:val="20"/>
                <w:szCs w:val="20"/>
              </w:rPr>
              <w:t>$3,489.7</w:t>
            </w:r>
          </w:p>
        </w:tc>
        <w:tc>
          <w:tcPr>
            <w:tcW w:w="1444" w:type="dxa"/>
            <w:shd w:val="clear" w:color="auto" w:fill="auto"/>
            <w:noWrap/>
            <w:vAlign w:val="bottom"/>
          </w:tcPr>
          <w:p w14:paraId="7BC3CDB8" w14:textId="4B331777" w:rsidR="00F57BA5" w:rsidRPr="002A7643" w:rsidRDefault="00F57BA5" w:rsidP="00F57BA5">
            <w:pPr>
              <w:spacing w:after="0" w:line="240" w:lineRule="auto"/>
              <w:jc w:val="right"/>
              <w:rPr>
                <w:color w:val="000000"/>
                <w:sz w:val="20"/>
                <w:szCs w:val="20"/>
                <w:lang w:bidi="ar-SA"/>
              </w:rPr>
            </w:pPr>
            <w:r w:rsidRPr="002A7643">
              <w:rPr>
                <w:sz w:val="20"/>
                <w:szCs w:val="20"/>
              </w:rPr>
              <w:t>$126</w:t>
            </w:r>
          </w:p>
        </w:tc>
        <w:tc>
          <w:tcPr>
            <w:tcW w:w="918" w:type="dxa"/>
          </w:tcPr>
          <w:p w14:paraId="3536432E" w14:textId="77777777" w:rsidR="00F57BA5" w:rsidRPr="002A7643" w:rsidRDefault="00F57BA5" w:rsidP="00F57BA5">
            <w:pPr>
              <w:spacing w:after="0" w:line="240" w:lineRule="auto"/>
              <w:jc w:val="right"/>
              <w:rPr>
                <w:sz w:val="20"/>
                <w:szCs w:val="20"/>
              </w:rPr>
            </w:pPr>
          </w:p>
        </w:tc>
      </w:tr>
      <w:tr w:rsidR="00F57BA5" w:rsidRPr="0049452D" w14:paraId="76E9FE3C" w14:textId="7DBC0B35" w:rsidTr="00F57BA5">
        <w:trPr>
          <w:trHeight w:hRule="exact" w:val="274"/>
        </w:trPr>
        <w:tc>
          <w:tcPr>
            <w:tcW w:w="1530" w:type="dxa"/>
            <w:shd w:val="clear" w:color="auto" w:fill="auto"/>
            <w:noWrap/>
            <w:vAlign w:val="bottom"/>
            <w:hideMark/>
          </w:tcPr>
          <w:p w14:paraId="19483E8B" w14:textId="77777777" w:rsidR="00F57BA5" w:rsidRPr="0049452D" w:rsidRDefault="00F57BA5" w:rsidP="00F57BA5">
            <w:pPr>
              <w:spacing w:after="0" w:line="240" w:lineRule="auto"/>
              <w:rPr>
                <w:b/>
                <w:bCs/>
                <w:color w:val="000000"/>
                <w:sz w:val="20"/>
                <w:szCs w:val="20"/>
                <w:lang w:bidi="ar-SA"/>
              </w:rPr>
            </w:pPr>
            <w:r w:rsidRPr="0049452D">
              <w:rPr>
                <w:b/>
                <w:bCs/>
                <w:color w:val="000000"/>
                <w:sz w:val="20"/>
                <w:szCs w:val="20"/>
                <w:lang w:bidi="ar-SA"/>
              </w:rPr>
              <w:t xml:space="preserve">   Rich Suburbs</w:t>
            </w:r>
          </w:p>
        </w:tc>
        <w:tc>
          <w:tcPr>
            <w:tcW w:w="1083" w:type="dxa"/>
            <w:shd w:val="clear" w:color="auto" w:fill="auto"/>
            <w:noWrap/>
            <w:vAlign w:val="bottom"/>
            <w:hideMark/>
          </w:tcPr>
          <w:p w14:paraId="03941C70" w14:textId="77777777" w:rsidR="00F57BA5" w:rsidRPr="0049452D" w:rsidRDefault="00F57BA5" w:rsidP="00F57BA5">
            <w:pPr>
              <w:spacing w:after="0" w:line="240" w:lineRule="auto"/>
              <w:rPr>
                <w:b/>
                <w:bCs/>
                <w:color w:val="000000"/>
                <w:sz w:val="20"/>
                <w:szCs w:val="20"/>
                <w:lang w:bidi="ar-SA"/>
              </w:rPr>
            </w:pPr>
          </w:p>
        </w:tc>
        <w:tc>
          <w:tcPr>
            <w:tcW w:w="1347" w:type="dxa"/>
            <w:shd w:val="clear" w:color="auto" w:fill="auto"/>
            <w:noWrap/>
            <w:vAlign w:val="bottom"/>
          </w:tcPr>
          <w:p w14:paraId="6413A22B" w14:textId="77777777" w:rsidR="00F57BA5" w:rsidRPr="0049452D" w:rsidRDefault="00F57BA5" w:rsidP="00F57BA5">
            <w:pPr>
              <w:spacing w:after="0" w:line="240" w:lineRule="auto"/>
              <w:rPr>
                <w:sz w:val="20"/>
                <w:szCs w:val="20"/>
                <w:lang w:bidi="ar-SA"/>
              </w:rPr>
            </w:pPr>
          </w:p>
        </w:tc>
        <w:tc>
          <w:tcPr>
            <w:tcW w:w="900" w:type="dxa"/>
            <w:shd w:val="clear" w:color="auto" w:fill="auto"/>
            <w:noWrap/>
            <w:vAlign w:val="bottom"/>
          </w:tcPr>
          <w:p w14:paraId="60412F46" w14:textId="77777777" w:rsidR="00F57BA5" w:rsidRPr="0049452D" w:rsidRDefault="00F57BA5" w:rsidP="00F57BA5">
            <w:pPr>
              <w:spacing w:after="0" w:line="240" w:lineRule="auto"/>
              <w:rPr>
                <w:sz w:val="20"/>
                <w:szCs w:val="20"/>
                <w:lang w:bidi="ar-SA"/>
              </w:rPr>
            </w:pPr>
          </w:p>
        </w:tc>
        <w:tc>
          <w:tcPr>
            <w:tcW w:w="1260" w:type="dxa"/>
            <w:shd w:val="clear" w:color="auto" w:fill="auto"/>
            <w:noWrap/>
            <w:vAlign w:val="bottom"/>
          </w:tcPr>
          <w:p w14:paraId="3FBF8099" w14:textId="77777777" w:rsidR="00F57BA5" w:rsidRPr="0049452D" w:rsidRDefault="00F57BA5" w:rsidP="00F57BA5">
            <w:pPr>
              <w:spacing w:after="0" w:line="240" w:lineRule="auto"/>
              <w:rPr>
                <w:sz w:val="20"/>
                <w:szCs w:val="20"/>
                <w:lang w:bidi="ar-SA"/>
              </w:rPr>
            </w:pPr>
          </w:p>
        </w:tc>
        <w:tc>
          <w:tcPr>
            <w:tcW w:w="1616" w:type="dxa"/>
            <w:shd w:val="clear" w:color="auto" w:fill="auto"/>
            <w:noWrap/>
            <w:vAlign w:val="bottom"/>
          </w:tcPr>
          <w:p w14:paraId="30B54433" w14:textId="77777777" w:rsidR="00F57BA5" w:rsidRPr="002A7643" w:rsidRDefault="00F57BA5" w:rsidP="00F57BA5">
            <w:pPr>
              <w:spacing w:after="0" w:line="240" w:lineRule="auto"/>
              <w:rPr>
                <w:sz w:val="20"/>
                <w:szCs w:val="20"/>
                <w:lang w:bidi="ar-SA"/>
              </w:rPr>
            </w:pPr>
          </w:p>
        </w:tc>
        <w:tc>
          <w:tcPr>
            <w:tcW w:w="1440" w:type="dxa"/>
            <w:shd w:val="clear" w:color="auto" w:fill="auto"/>
            <w:noWrap/>
            <w:vAlign w:val="bottom"/>
          </w:tcPr>
          <w:p w14:paraId="35063178" w14:textId="77777777" w:rsidR="00F57BA5" w:rsidRPr="002A7643" w:rsidRDefault="00F57BA5" w:rsidP="00F57BA5">
            <w:pPr>
              <w:spacing w:after="0" w:line="240" w:lineRule="auto"/>
              <w:rPr>
                <w:sz w:val="20"/>
                <w:szCs w:val="20"/>
                <w:lang w:bidi="ar-SA"/>
              </w:rPr>
            </w:pPr>
          </w:p>
        </w:tc>
        <w:tc>
          <w:tcPr>
            <w:tcW w:w="1530" w:type="dxa"/>
            <w:shd w:val="clear" w:color="auto" w:fill="auto"/>
            <w:noWrap/>
            <w:vAlign w:val="bottom"/>
          </w:tcPr>
          <w:p w14:paraId="49A4935F" w14:textId="77777777" w:rsidR="00F57BA5" w:rsidRPr="002A7643" w:rsidRDefault="00F57BA5" w:rsidP="00F57BA5">
            <w:pPr>
              <w:spacing w:after="0" w:line="240" w:lineRule="auto"/>
              <w:rPr>
                <w:sz w:val="20"/>
                <w:szCs w:val="20"/>
                <w:lang w:bidi="ar-SA"/>
              </w:rPr>
            </w:pPr>
          </w:p>
        </w:tc>
        <w:tc>
          <w:tcPr>
            <w:tcW w:w="1444" w:type="dxa"/>
            <w:shd w:val="clear" w:color="auto" w:fill="auto"/>
            <w:noWrap/>
            <w:vAlign w:val="bottom"/>
          </w:tcPr>
          <w:p w14:paraId="49B687FE" w14:textId="77777777" w:rsidR="00F57BA5" w:rsidRPr="002A7643" w:rsidRDefault="00F57BA5" w:rsidP="00F57BA5">
            <w:pPr>
              <w:spacing w:after="0" w:line="240" w:lineRule="auto"/>
              <w:rPr>
                <w:sz w:val="20"/>
                <w:szCs w:val="20"/>
                <w:lang w:bidi="ar-SA"/>
              </w:rPr>
            </w:pPr>
          </w:p>
        </w:tc>
        <w:tc>
          <w:tcPr>
            <w:tcW w:w="918" w:type="dxa"/>
          </w:tcPr>
          <w:p w14:paraId="3206E5BE" w14:textId="77777777" w:rsidR="00F57BA5" w:rsidRPr="002A7643" w:rsidRDefault="00F57BA5" w:rsidP="00F57BA5">
            <w:pPr>
              <w:spacing w:after="0" w:line="240" w:lineRule="auto"/>
              <w:rPr>
                <w:sz w:val="20"/>
                <w:szCs w:val="20"/>
                <w:lang w:bidi="ar-SA"/>
              </w:rPr>
            </w:pPr>
          </w:p>
        </w:tc>
      </w:tr>
      <w:tr w:rsidR="00F57BA5" w:rsidRPr="0049452D" w14:paraId="2220FACA" w14:textId="4DA87CAB" w:rsidTr="00F57BA5">
        <w:trPr>
          <w:trHeight w:hRule="exact" w:val="316"/>
        </w:trPr>
        <w:tc>
          <w:tcPr>
            <w:tcW w:w="1530" w:type="dxa"/>
            <w:shd w:val="clear" w:color="auto" w:fill="auto"/>
            <w:noWrap/>
            <w:vAlign w:val="bottom"/>
            <w:hideMark/>
          </w:tcPr>
          <w:p w14:paraId="09CB443A"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Glastonbury</w:t>
            </w:r>
          </w:p>
        </w:tc>
        <w:tc>
          <w:tcPr>
            <w:tcW w:w="1083" w:type="dxa"/>
            <w:shd w:val="clear" w:color="auto" w:fill="auto"/>
            <w:noWrap/>
            <w:vAlign w:val="bottom"/>
            <w:hideMark/>
          </w:tcPr>
          <w:p w14:paraId="5605256F"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34,768</w:t>
            </w:r>
          </w:p>
        </w:tc>
        <w:tc>
          <w:tcPr>
            <w:tcW w:w="1347" w:type="dxa"/>
            <w:shd w:val="clear" w:color="auto" w:fill="auto"/>
            <w:noWrap/>
            <w:vAlign w:val="bottom"/>
          </w:tcPr>
          <w:p w14:paraId="1E79EE4A" w14:textId="236FFB24"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$4,208 </w:t>
            </w:r>
          </w:p>
        </w:tc>
        <w:tc>
          <w:tcPr>
            <w:tcW w:w="900" w:type="dxa"/>
            <w:shd w:val="clear" w:color="auto" w:fill="auto"/>
            <w:noWrap/>
            <w:vAlign w:val="bottom"/>
          </w:tcPr>
          <w:p w14:paraId="46B753FD" w14:textId="19A66F6E"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30.50</w:t>
            </w:r>
          </w:p>
        </w:tc>
        <w:tc>
          <w:tcPr>
            <w:tcW w:w="1260" w:type="dxa"/>
            <w:shd w:val="clear" w:color="auto" w:fill="auto"/>
            <w:noWrap/>
            <w:vAlign w:val="bottom"/>
          </w:tcPr>
          <w:p w14:paraId="021DF937" w14:textId="4C9394B1"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$128.47 </w:t>
            </w:r>
          </w:p>
        </w:tc>
        <w:tc>
          <w:tcPr>
            <w:tcW w:w="1616" w:type="dxa"/>
            <w:shd w:val="clear" w:color="auto" w:fill="auto"/>
            <w:noWrap/>
            <w:vAlign w:val="bottom"/>
          </w:tcPr>
          <w:p w14:paraId="52EE6076" w14:textId="02181CBB" w:rsidR="00F57BA5" w:rsidRPr="002A7643" w:rsidRDefault="00F57BA5" w:rsidP="00F57BA5">
            <w:pPr>
              <w:spacing w:after="0" w:line="240" w:lineRule="auto"/>
              <w:jc w:val="right"/>
              <w:rPr>
                <w:color w:val="000000"/>
                <w:sz w:val="20"/>
                <w:szCs w:val="20"/>
                <w:lang w:bidi="ar-SA"/>
              </w:rPr>
            </w:pPr>
            <w:r w:rsidRPr="002A7643">
              <w:rPr>
                <w:sz w:val="20"/>
                <w:szCs w:val="20"/>
              </w:rPr>
              <w:t>$4,305.7</w:t>
            </w:r>
          </w:p>
        </w:tc>
        <w:tc>
          <w:tcPr>
            <w:tcW w:w="1440" w:type="dxa"/>
            <w:shd w:val="clear" w:color="auto" w:fill="auto"/>
            <w:noWrap/>
            <w:vAlign w:val="bottom"/>
          </w:tcPr>
          <w:p w14:paraId="1DF77287" w14:textId="7212E602" w:rsidR="00F57BA5" w:rsidRPr="002A7643" w:rsidRDefault="00F57BA5" w:rsidP="00F57BA5">
            <w:pPr>
              <w:spacing w:after="0" w:line="240" w:lineRule="auto"/>
              <w:jc w:val="right"/>
              <w:rPr>
                <w:color w:val="000000"/>
                <w:sz w:val="20"/>
                <w:szCs w:val="20"/>
                <w:lang w:bidi="ar-SA"/>
              </w:rPr>
            </w:pPr>
            <w:r w:rsidRPr="002A7643">
              <w:rPr>
                <w:sz w:val="20"/>
                <w:szCs w:val="20"/>
              </w:rPr>
              <w:t xml:space="preserve">$125 </w:t>
            </w:r>
          </w:p>
        </w:tc>
        <w:tc>
          <w:tcPr>
            <w:tcW w:w="1530" w:type="dxa"/>
            <w:shd w:val="clear" w:color="auto" w:fill="auto"/>
            <w:noWrap/>
            <w:vAlign w:val="bottom"/>
          </w:tcPr>
          <w:p w14:paraId="38F15F7D" w14:textId="5A0EBDC8" w:rsidR="00F57BA5" w:rsidRPr="002A7643" w:rsidRDefault="00F57BA5" w:rsidP="00F57BA5">
            <w:pPr>
              <w:spacing w:after="0" w:line="240" w:lineRule="auto"/>
              <w:jc w:val="right"/>
              <w:rPr>
                <w:color w:val="000000"/>
                <w:sz w:val="20"/>
                <w:szCs w:val="20"/>
                <w:lang w:bidi="ar-SA"/>
              </w:rPr>
            </w:pPr>
            <w:r w:rsidRPr="002A7643">
              <w:rPr>
                <w:sz w:val="20"/>
                <w:szCs w:val="20"/>
              </w:rPr>
              <w:t>$449.9</w:t>
            </w:r>
          </w:p>
        </w:tc>
        <w:tc>
          <w:tcPr>
            <w:tcW w:w="1444" w:type="dxa"/>
            <w:shd w:val="clear" w:color="auto" w:fill="auto"/>
            <w:noWrap/>
            <w:vAlign w:val="bottom"/>
          </w:tcPr>
          <w:p w14:paraId="1EE90BF7" w14:textId="02939786" w:rsidR="00F57BA5" w:rsidRPr="002A7643" w:rsidRDefault="00F57BA5" w:rsidP="00F57BA5">
            <w:pPr>
              <w:spacing w:after="0" w:line="240" w:lineRule="auto"/>
              <w:jc w:val="right"/>
              <w:rPr>
                <w:color w:val="000000"/>
                <w:sz w:val="20"/>
                <w:szCs w:val="20"/>
                <w:lang w:bidi="ar-SA"/>
              </w:rPr>
            </w:pPr>
            <w:r w:rsidRPr="002A7643">
              <w:rPr>
                <w:sz w:val="20"/>
                <w:szCs w:val="20"/>
              </w:rPr>
              <w:t>$69</w:t>
            </w:r>
          </w:p>
        </w:tc>
        <w:tc>
          <w:tcPr>
            <w:tcW w:w="918" w:type="dxa"/>
          </w:tcPr>
          <w:p w14:paraId="53C3935F" w14:textId="77777777" w:rsidR="00F57BA5" w:rsidRPr="002A7643" w:rsidRDefault="00F57BA5" w:rsidP="00F57BA5">
            <w:pPr>
              <w:spacing w:after="0" w:line="240" w:lineRule="auto"/>
              <w:jc w:val="right"/>
              <w:rPr>
                <w:sz w:val="20"/>
                <w:szCs w:val="20"/>
              </w:rPr>
            </w:pPr>
          </w:p>
        </w:tc>
      </w:tr>
      <w:tr w:rsidR="00F57BA5" w:rsidRPr="0049452D" w14:paraId="79B6B01B" w14:textId="10F988E5" w:rsidTr="00F57BA5">
        <w:trPr>
          <w:trHeight w:hRule="exact" w:val="274"/>
        </w:trPr>
        <w:tc>
          <w:tcPr>
            <w:tcW w:w="1530" w:type="dxa"/>
            <w:shd w:val="clear" w:color="auto" w:fill="auto"/>
            <w:noWrap/>
            <w:vAlign w:val="bottom"/>
            <w:hideMark/>
          </w:tcPr>
          <w:p w14:paraId="6641D07A"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Guilford</w:t>
            </w:r>
          </w:p>
        </w:tc>
        <w:tc>
          <w:tcPr>
            <w:tcW w:w="1083" w:type="dxa"/>
            <w:shd w:val="clear" w:color="auto" w:fill="auto"/>
            <w:noWrap/>
            <w:vAlign w:val="bottom"/>
            <w:hideMark/>
          </w:tcPr>
          <w:p w14:paraId="05E7C1E6"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22,417</w:t>
            </w:r>
          </w:p>
        </w:tc>
        <w:tc>
          <w:tcPr>
            <w:tcW w:w="1347" w:type="dxa"/>
            <w:shd w:val="clear" w:color="auto" w:fill="auto"/>
            <w:noWrap/>
            <w:vAlign w:val="bottom"/>
          </w:tcPr>
          <w:p w14:paraId="27064569" w14:textId="1A024F80"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$3,490 </w:t>
            </w:r>
          </w:p>
        </w:tc>
        <w:tc>
          <w:tcPr>
            <w:tcW w:w="900" w:type="dxa"/>
            <w:shd w:val="clear" w:color="auto" w:fill="auto"/>
            <w:noWrap/>
            <w:vAlign w:val="bottom"/>
          </w:tcPr>
          <w:p w14:paraId="36A1911B" w14:textId="210D8330"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22.36</w:t>
            </w:r>
          </w:p>
        </w:tc>
        <w:tc>
          <w:tcPr>
            <w:tcW w:w="1260" w:type="dxa"/>
            <w:shd w:val="clear" w:color="auto" w:fill="auto"/>
            <w:noWrap/>
            <w:vAlign w:val="bottom"/>
          </w:tcPr>
          <w:p w14:paraId="6F4888FB" w14:textId="54BC2C62"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$77.17 </w:t>
            </w:r>
          </w:p>
        </w:tc>
        <w:tc>
          <w:tcPr>
            <w:tcW w:w="1616" w:type="dxa"/>
            <w:shd w:val="clear" w:color="auto" w:fill="auto"/>
            <w:noWrap/>
            <w:vAlign w:val="bottom"/>
          </w:tcPr>
          <w:p w14:paraId="4CBBECA9" w14:textId="73289870" w:rsidR="00F57BA5" w:rsidRPr="002A7643" w:rsidRDefault="00F57BA5" w:rsidP="00F57BA5">
            <w:pPr>
              <w:spacing w:after="0" w:line="240" w:lineRule="auto"/>
              <w:jc w:val="right"/>
              <w:rPr>
                <w:color w:val="000000"/>
                <w:sz w:val="20"/>
                <w:szCs w:val="20"/>
                <w:lang w:bidi="ar-SA"/>
              </w:rPr>
            </w:pPr>
            <w:r w:rsidRPr="002A7643">
              <w:rPr>
                <w:sz w:val="20"/>
                <w:szCs w:val="20"/>
              </w:rPr>
              <w:t>$1,749.5</w:t>
            </w:r>
          </w:p>
        </w:tc>
        <w:tc>
          <w:tcPr>
            <w:tcW w:w="1440" w:type="dxa"/>
            <w:shd w:val="clear" w:color="auto" w:fill="auto"/>
            <w:noWrap/>
            <w:vAlign w:val="bottom"/>
          </w:tcPr>
          <w:p w14:paraId="6072E363" w14:textId="776CF9B2" w:rsidR="00F57BA5" w:rsidRPr="002A7643" w:rsidRDefault="00F57BA5" w:rsidP="00F57BA5">
            <w:pPr>
              <w:spacing w:after="0" w:line="240" w:lineRule="auto"/>
              <w:jc w:val="right"/>
              <w:rPr>
                <w:color w:val="000000"/>
                <w:sz w:val="20"/>
                <w:szCs w:val="20"/>
                <w:lang w:bidi="ar-SA"/>
              </w:rPr>
            </w:pPr>
            <w:r w:rsidRPr="002A7643">
              <w:rPr>
                <w:sz w:val="20"/>
                <w:szCs w:val="20"/>
              </w:rPr>
              <w:t xml:space="preserve">$78 </w:t>
            </w:r>
          </w:p>
        </w:tc>
        <w:tc>
          <w:tcPr>
            <w:tcW w:w="1530" w:type="dxa"/>
            <w:shd w:val="clear" w:color="auto" w:fill="auto"/>
            <w:noWrap/>
            <w:vAlign w:val="bottom"/>
          </w:tcPr>
          <w:p w14:paraId="328A3E8F" w14:textId="2AB41FEB" w:rsidR="00F57BA5" w:rsidRPr="002A7643" w:rsidRDefault="00F57BA5" w:rsidP="00F57BA5">
            <w:pPr>
              <w:spacing w:after="0" w:line="240" w:lineRule="auto"/>
              <w:jc w:val="right"/>
              <w:rPr>
                <w:color w:val="000000"/>
                <w:sz w:val="20"/>
                <w:szCs w:val="20"/>
                <w:lang w:bidi="ar-SA"/>
              </w:rPr>
            </w:pPr>
            <w:r w:rsidRPr="002A7643">
              <w:rPr>
                <w:sz w:val="20"/>
                <w:szCs w:val="20"/>
              </w:rPr>
              <w:t>$820.7</w:t>
            </w:r>
          </w:p>
        </w:tc>
        <w:tc>
          <w:tcPr>
            <w:tcW w:w="1444" w:type="dxa"/>
            <w:shd w:val="clear" w:color="auto" w:fill="auto"/>
            <w:noWrap/>
            <w:vAlign w:val="bottom"/>
          </w:tcPr>
          <w:p w14:paraId="7C8EB582" w14:textId="5B3956C2" w:rsidR="00F57BA5" w:rsidRPr="002A7643" w:rsidRDefault="00F57BA5" w:rsidP="00F57BA5">
            <w:pPr>
              <w:spacing w:after="0" w:line="240" w:lineRule="auto"/>
              <w:jc w:val="right"/>
              <w:rPr>
                <w:color w:val="000000"/>
                <w:sz w:val="20"/>
                <w:szCs w:val="20"/>
                <w:lang w:bidi="ar-SA"/>
              </w:rPr>
            </w:pPr>
            <w:r w:rsidRPr="002A7643">
              <w:rPr>
                <w:sz w:val="20"/>
                <w:szCs w:val="20"/>
              </w:rPr>
              <w:t>$87</w:t>
            </w:r>
          </w:p>
        </w:tc>
        <w:tc>
          <w:tcPr>
            <w:tcW w:w="918" w:type="dxa"/>
          </w:tcPr>
          <w:p w14:paraId="50056373" w14:textId="77777777" w:rsidR="00F57BA5" w:rsidRPr="002A7643" w:rsidRDefault="00F57BA5" w:rsidP="00F57BA5">
            <w:pPr>
              <w:spacing w:after="0" w:line="240" w:lineRule="auto"/>
              <w:jc w:val="right"/>
              <w:rPr>
                <w:sz w:val="20"/>
                <w:szCs w:val="20"/>
              </w:rPr>
            </w:pPr>
          </w:p>
        </w:tc>
      </w:tr>
      <w:tr w:rsidR="00F57BA5" w:rsidRPr="0049452D" w14:paraId="3F5507E1" w14:textId="79C51DB2" w:rsidTr="00F57BA5">
        <w:trPr>
          <w:trHeight w:hRule="exact" w:val="274"/>
        </w:trPr>
        <w:tc>
          <w:tcPr>
            <w:tcW w:w="1530" w:type="dxa"/>
            <w:shd w:val="clear" w:color="auto" w:fill="auto"/>
            <w:noWrap/>
            <w:vAlign w:val="bottom"/>
            <w:hideMark/>
          </w:tcPr>
          <w:p w14:paraId="708EF903"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Litchfield</w:t>
            </w:r>
          </w:p>
        </w:tc>
        <w:tc>
          <w:tcPr>
            <w:tcW w:w="1083" w:type="dxa"/>
            <w:shd w:val="clear" w:color="auto" w:fill="auto"/>
            <w:noWrap/>
            <w:vAlign w:val="bottom"/>
            <w:hideMark/>
          </w:tcPr>
          <w:p w14:paraId="37F3D603"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8,333</w:t>
            </w:r>
          </w:p>
        </w:tc>
        <w:tc>
          <w:tcPr>
            <w:tcW w:w="1347" w:type="dxa"/>
            <w:shd w:val="clear" w:color="auto" w:fill="auto"/>
            <w:noWrap/>
            <w:vAlign w:val="bottom"/>
          </w:tcPr>
          <w:p w14:paraId="2065F68D" w14:textId="65B0968C"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$1,109 </w:t>
            </w:r>
          </w:p>
        </w:tc>
        <w:tc>
          <w:tcPr>
            <w:tcW w:w="900" w:type="dxa"/>
            <w:shd w:val="clear" w:color="auto" w:fill="auto"/>
            <w:noWrap/>
            <w:vAlign w:val="bottom"/>
          </w:tcPr>
          <w:p w14:paraId="02B04150" w14:textId="1E6E9312"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22.20</w:t>
            </w:r>
          </w:p>
        </w:tc>
        <w:tc>
          <w:tcPr>
            <w:tcW w:w="1260" w:type="dxa"/>
            <w:shd w:val="clear" w:color="auto" w:fill="auto"/>
            <w:noWrap/>
            <w:vAlign w:val="bottom"/>
          </w:tcPr>
          <w:p w14:paraId="3EC6557B" w14:textId="51FF7C86"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$24.79 </w:t>
            </w:r>
          </w:p>
        </w:tc>
        <w:tc>
          <w:tcPr>
            <w:tcW w:w="1616" w:type="dxa"/>
            <w:shd w:val="clear" w:color="auto" w:fill="auto"/>
            <w:noWrap/>
            <w:vAlign w:val="bottom"/>
          </w:tcPr>
          <w:p w14:paraId="59CA2B19" w14:textId="41C228E4" w:rsidR="00F57BA5" w:rsidRPr="002A7643" w:rsidRDefault="00F57BA5" w:rsidP="00F57BA5">
            <w:pPr>
              <w:spacing w:after="0" w:line="240" w:lineRule="auto"/>
              <w:jc w:val="right"/>
              <w:rPr>
                <w:color w:val="000000"/>
                <w:sz w:val="20"/>
                <w:szCs w:val="20"/>
                <w:lang w:bidi="ar-SA"/>
              </w:rPr>
            </w:pPr>
            <w:r w:rsidRPr="002A7643">
              <w:rPr>
                <w:sz w:val="20"/>
                <w:szCs w:val="20"/>
              </w:rPr>
              <w:t>$3,838.1</w:t>
            </w:r>
          </w:p>
        </w:tc>
        <w:tc>
          <w:tcPr>
            <w:tcW w:w="1440" w:type="dxa"/>
            <w:shd w:val="clear" w:color="auto" w:fill="auto"/>
            <w:noWrap/>
            <w:vAlign w:val="bottom"/>
          </w:tcPr>
          <w:p w14:paraId="3BE43FA4" w14:textId="50A7998E" w:rsidR="00F57BA5" w:rsidRPr="002A7643" w:rsidRDefault="00F57BA5" w:rsidP="00F57BA5">
            <w:pPr>
              <w:spacing w:after="0" w:line="240" w:lineRule="auto"/>
              <w:jc w:val="right"/>
              <w:rPr>
                <w:color w:val="000000"/>
                <w:sz w:val="20"/>
                <w:szCs w:val="20"/>
                <w:lang w:bidi="ar-SA"/>
              </w:rPr>
            </w:pPr>
            <w:r w:rsidRPr="002A7643">
              <w:rPr>
                <w:sz w:val="20"/>
                <w:szCs w:val="20"/>
              </w:rPr>
              <w:t xml:space="preserve">$457 </w:t>
            </w:r>
          </w:p>
        </w:tc>
        <w:tc>
          <w:tcPr>
            <w:tcW w:w="1530" w:type="dxa"/>
            <w:shd w:val="clear" w:color="auto" w:fill="auto"/>
            <w:noWrap/>
            <w:vAlign w:val="bottom"/>
          </w:tcPr>
          <w:p w14:paraId="3E6A3D16" w14:textId="48BAB78C" w:rsidR="00F57BA5" w:rsidRPr="002A7643" w:rsidRDefault="00F57BA5" w:rsidP="00F57BA5">
            <w:pPr>
              <w:spacing w:after="0" w:line="240" w:lineRule="auto"/>
              <w:jc w:val="right"/>
              <w:rPr>
                <w:color w:val="000000"/>
                <w:sz w:val="20"/>
                <w:szCs w:val="20"/>
                <w:lang w:bidi="ar-SA"/>
              </w:rPr>
            </w:pPr>
            <w:r w:rsidRPr="002A7643">
              <w:rPr>
                <w:sz w:val="20"/>
                <w:szCs w:val="20"/>
              </w:rPr>
              <w:t>$4,850.9</w:t>
            </w:r>
          </w:p>
        </w:tc>
        <w:tc>
          <w:tcPr>
            <w:tcW w:w="1444" w:type="dxa"/>
            <w:shd w:val="clear" w:color="auto" w:fill="auto"/>
            <w:noWrap/>
            <w:vAlign w:val="bottom"/>
          </w:tcPr>
          <w:p w14:paraId="0CB64BEA" w14:textId="3E206354" w:rsidR="00F57BA5" w:rsidRPr="002A7643" w:rsidRDefault="00F57BA5" w:rsidP="00F57BA5">
            <w:pPr>
              <w:spacing w:after="0" w:line="240" w:lineRule="auto"/>
              <w:jc w:val="right"/>
              <w:rPr>
                <w:color w:val="000000"/>
                <w:sz w:val="20"/>
                <w:szCs w:val="20"/>
                <w:lang w:bidi="ar-SA"/>
              </w:rPr>
            </w:pPr>
            <w:r w:rsidRPr="002A7643">
              <w:rPr>
                <w:sz w:val="20"/>
                <w:szCs w:val="20"/>
              </w:rPr>
              <w:t>$121</w:t>
            </w:r>
          </w:p>
        </w:tc>
        <w:tc>
          <w:tcPr>
            <w:tcW w:w="918" w:type="dxa"/>
          </w:tcPr>
          <w:p w14:paraId="1A113D96" w14:textId="77777777" w:rsidR="00F57BA5" w:rsidRPr="002A7643" w:rsidRDefault="00F57BA5" w:rsidP="00F57BA5">
            <w:pPr>
              <w:spacing w:after="0" w:line="240" w:lineRule="auto"/>
              <w:jc w:val="right"/>
              <w:rPr>
                <w:sz w:val="20"/>
                <w:szCs w:val="20"/>
              </w:rPr>
            </w:pPr>
          </w:p>
        </w:tc>
      </w:tr>
      <w:tr w:rsidR="00F57BA5" w:rsidRPr="0049452D" w14:paraId="0D390E17" w14:textId="22746A27" w:rsidTr="00F57BA5">
        <w:trPr>
          <w:trHeight w:hRule="exact" w:val="274"/>
        </w:trPr>
        <w:tc>
          <w:tcPr>
            <w:tcW w:w="1530" w:type="dxa"/>
            <w:shd w:val="clear" w:color="auto" w:fill="auto"/>
            <w:noWrap/>
            <w:vAlign w:val="bottom"/>
            <w:hideMark/>
          </w:tcPr>
          <w:p w14:paraId="3C1C0E57"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New Canaan</w:t>
            </w:r>
          </w:p>
        </w:tc>
        <w:tc>
          <w:tcPr>
            <w:tcW w:w="1083" w:type="dxa"/>
            <w:shd w:val="clear" w:color="auto" w:fill="auto"/>
            <w:noWrap/>
            <w:vAlign w:val="bottom"/>
            <w:hideMark/>
          </w:tcPr>
          <w:p w14:paraId="1B5F0403"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20,194</w:t>
            </w:r>
          </w:p>
        </w:tc>
        <w:tc>
          <w:tcPr>
            <w:tcW w:w="1347" w:type="dxa"/>
            <w:shd w:val="clear" w:color="auto" w:fill="auto"/>
            <w:noWrap/>
            <w:vAlign w:val="bottom"/>
          </w:tcPr>
          <w:p w14:paraId="2729A9DA" w14:textId="428C69C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$8,249 </w:t>
            </w:r>
          </w:p>
        </w:tc>
        <w:tc>
          <w:tcPr>
            <w:tcW w:w="900" w:type="dxa"/>
            <w:shd w:val="clear" w:color="auto" w:fill="auto"/>
            <w:noWrap/>
            <w:vAlign w:val="bottom"/>
          </w:tcPr>
          <w:p w14:paraId="0465E3F8" w14:textId="130CC9B9"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14.08</w:t>
            </w:r>
          </w:p>
        </w:tc>
        <w:tc>
          <w:tcPr>
            <w:tcW w:w="1260" w:type="dxa"/>
            <w:shd w:val="clear" w:color="auto" w:fill="auto"/>
            <w:noWrap/>
            <w:vAlign w:val="bottom"/>
          </w:tcPr>
          <w:p w14:paraId="53E7576A" w14:textId="5159011D"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$116.62 </w:t>
            </w:r>
          </w:p>
        </w:tc>
        <w:tc>
          <w:tcPr>
            <w:tcW w:w="1616" w:type="dxa"/>
            <w:shd w:val="clear" w:color="auto" w:fill="auto"/>
            <w:noWrap/>
            <w:vAlign w:val="bottom"/>
          </w:tcPr>
          <w:p w14:paraId="6D1171CB" w14:textId="7B8F75D0" w:rsidR="00F57BA5" w:rsidRPr="002A7643" w:rsidRDefault="00F57BA5" w:rsidP="00F57BA5">
            <w:pPr>
              <w:spacing w:after="0" w:line="240" w:lineRule="auto"/>
              <w:jc w:val="right"/>
              <w:rPr>
                <w:color w:val="000000"/>
                <w:sz w:val="20"/>
                <w:szCs w:val="20"/>
                <w:lang w:bidi="ar-SA"/>
              </w:rPr>
            </w:pPr>
            <w:r w:rsidRPr="002A7643">
              <w:rPr>
                <w:sz w:val="20"/>
                <w:szCs w:val="20"/>
              </w:rPr>
              <w:t>$1,948.0</w:t>
            </w:r>
          </w:p>
        </w:tc>
        <w:tc>
          <w:tcPr>
            <w:tcW w:w="1440" w:type="dxa"/>
            <w:shd w:val="clear" w:color="auto" w:fill="auto"/>
            <w:noWrap/>
            <w:vAlign w:val="bottom"/>
          </w:tcPr>
          <w:p w14:paraId="5147755A" w14:textId="49A7A6C5" w:rsidR="00F57BA5" w:rsidRPr="002A7643" w:rsidRDefault="00F57BA5" w:rsidP="00F57BA5">
            <w:pPr>
              <w:spacing w:after="0" w:line="240" w:lineRule="auto"/>
              <w:jc w:val="right"/>
              <w:rPr>
                <w:color w:val="000000"/>
                <w:sz w:val="20"/>
                <w:szCs w:val="20"/>
                <w:lang w:bidi="ar-SA"/>
              </w:rPr>
            </w:pPr>
            <w:r w:rsidRPr="002A7643">
              <w:rPr>
                <w:sz w:val="20"/>
                <w:szCs w:val="20"/>
              </w:rPr>
              <w:t xml:space="preserve">$98 </w:t>
            </w:r>
          </w:p>
        </w:tc>
        <w:tc>
          <w:tcPr>
            <w:tcW w:w="1530" w:type="dxa"/>
            <w:shd w:val="clear" w:color="auto" w:fill="auto"/>
            <w:noWrap/>
            <w:vAlign w:val="bottom"/>
          </w:tcPr>
          <w:p w14:paraId="3D6DDA3B" w14:textId="3FB5B74C" w:rsidR="00F57BA5" w:rsidRPr="002A7643" w:rsidRDefault="00F57BA5" w:rsidP="00F57BA5">
            <w:pPr>
              <w:spacing w:after="0" w:line="240" w:lineRule="auto"/>
              <w:jc w:val="right"/>
              <w:rPr>
                <w:color w:val="000000"/>
                <w:sz w:val="20"/>
                <w:szCs w:val="20"/>
                <w:lang w:bidi="ar-SA"/>
              </w:rPr>
            </w:pPr>
            <w:r w:rsidRPr="002A7643">
              <w:rPr>
                <w:sz w:val="20"/>
                <w:szCs w:val="20"/>
              </w:rPr>
              <w:t>$1,018.8</w:t>
            </w:r>
          </w:p>
        </w:tc>
        <w:tc>
          <w:tcPr>
            <w:tcW w:w="1444" w:type="dxa"/>
            <w:shd w:val="clear" w:color="auto" w:fill="auto"/>
            <w:noWrap/>
            <w:vAlign w:val="bottom"/>
          </w:tcPr>
          <w:p w14:paraId="3A59EFC9" w14:textId="3945AF62" w:rsidR="00F57BA5" w:rsidRPr="002A7643" w:rsidRDefault="00F57BA5" w:rsidP="00F57BA5">
            <w:pPr>
              <w:spacing w:after="0" w:line="240" w:lineRule="auto"/>
              <w:jc w:val="right"/>
              <w:rPr>
                <w:color w:val="000000"/>
                <w:sz w:val="20"/>
                <w:szCs w:val="20"/>
                <w:lang w:bidi="ar-SA"/>
              </w:rPr>
            </w:pPr>
            <w:r w:rsidRPr="002A7643">
              <w:rPr>
                <w:sz w:val="20"/>
                <w:szCs w:val="20"/>
              </w:rPr>
              <w:t>$107</w:t>
            </w:r>
          </w:p>
        </w:tc>
        <w:tc>
          <w:tcPr>
            <w:tcW w:w="918" w:type="dxa"/>
          </w:tcPr>
          <w:p w14:paraId="671918A8" w14:textId="77777777" w:rsidR="00F57BA5" w:rsidRPr="002A7643" w:rsidRDefault="00F57BA5" w:rsidP="00F57BA5">
            <w:pPr>
              <w:spacing w:after="0" w:line="240" w:lineRule="auto"/>
              <w:jc w:val="right"/>
              <w:rPr>
                <w:sz w:val="20"/>
                <w:szCs w:val="20"/>
              </w:rPr>
            </w:pPr>
          </w:p>
        </w:tc>
      </w:tr>
      <w:tr w:rsidR="00F57BA5" w:rsidRPr="0049452D" w14:paraId="78A748DC" w14:textId="48D3D19A" w:rsidTr="00F57BA5">
        <w:trPr>
          <w:trHeight w:hRule="exact" w:val="274"/>
        </w:trPr>
        <w:tc>
          <w:tcPr>
            <w:tcW w:w="1530" w:type="dxa"/>
            <w:shd w:val="clear" w:color="auto" w:fill="auto"/>
            <w:noWrap/>
            <w:vAlign w:val="bottom"/>
            <w:hideMark/>
          </w:tcPr>
          <w:p w14:paraId="60DE4C17" w14:textId="77777777" w:rsidR="00F57BA5" w:rsidRPr="0049452D" w:rsidRDefault="00F57BA5" w:rsidP="00F57BA5">
            <w:pPr>
              <w:spacing w:after="0" w:line="240" w:lineRule="auto"/>
              <w:rPr>
                <w:b/>
                <w:bCs/>
                <w:color w:val="000000"/>
                <w:sz w:val="20"/>
                <w:szCs w:val="20"/>
                <w:lang w:bidi="ar-SA"/>
              </w:rPr>
            </w:pPr>
            <w:r w:rsidRPr="0049452D">
              <w:rPr>
                <w:b/>
                <w:bCs/>
                <w:color w:val="000000"/>
                <w:sz w:val="20"/>
                <w:szCs w:val="20"/>
                <w:lang w:bidi="ar-SA"/>
              </w:rPr>
              <w:t xml:space="preserve">   Mixed Base</w:t>
            </w:r>
          </w:p>
        </w:tc>
        <w:tc>
          <w:tcPr>
            <w:tcW w:w="1083" w:type="dxa"/>
            <w:shd w:val="clear" w:color="auto" w:fill="auto"/>
            <w:noWrap/>
            <w:vAlign w:val="bottom"/>
            <w:hideMark/>
          </w:tcPr>
          <w:p w14:paraId="4B19EFFD" w14:textId="77777777" w:rsidR="00F57BA5" w:rsidRPr="0049452D" w:rsidRDefault="00F57BA5" w:rsidP="00F57BA5">
            <w:pPr>
              <w:spacing w:after="0" w:line="240" w:lineRule="auto"/>
              <w:rPr>
                <w:b/>
                <w:bCs/>
                <w:color w:val="000000"/>
                <w:sz w:val="20"/>
                <w:szCs w:val="20"/>
                <w:lang w:bidi="ar-SA"/>
              </w:rPr>
            </w:pPr>
          </w:p>
        </w:tc>
        <w:tc>
          <w:tcPr>
            <w:tcW w:w="1347" w:type="dxa"/>
            <w:shd w:val="clear" w:color="auto" w:fill="auto"/>
            <w:noWrap/>
            <w:vAlign w:val="bottom"/>
          </w:tcPr>
          <w:p w14:paraId="3D188A63" w14:textId="77777777" w:rsidR="00F57BA5" w:rsidRPr="0049452D" w:rsidRDefault="00F57BA5" w:rsidP="00F57BA5">
            <w:pPr>
              <w:spacing w:after="0" w:line="240" w:lineRule="auto"/>
              <w:rPr>
                <w:sz w:val="20"/>
                <w:szCs w:val="20"/>
                <w:lang w:bidi="ar-SA"/>
              </w:rPr>
            </w:pPr>
          </w:p>
        </w:tc>
        <w:tc>
          <w:tcPr>
            <w:tcW w:w="900" w:type="dxa"/>
            <w:shd w:val="clear" w:color="auto" w:fill="auto"/>
            <w:noWrap/>
            <w:vAlign w:val="bottom"/>
          </w:tcPr>
          <w:p w14:paraId="7181CAC2" w14:textId="77777777" w:rsidR="00F57BA5" w:rsidRPr="0049452D" w:rsidRDefault="00F57BA5" w:rsidP="00F57BA5">
            <w:pPr>
              <w:spacing w:after="0" w:line="240" w:lineRule="auto"/>
              <w:rPr>
                <w:sz w:val="20"/>
                <w:szCs w:val="20"/>
                <w:lang w:bidi="ar-SA"/>
              </w:rPr>
            </w:pPr>
          </w:p>
        </w:tc>
        <w:tc>
          <w:tcPr>
            <w:tcW w:w="1260" w:type="dxa"/>
            <w:shd w:val="clear" w:color="auto" w:fill="auto"/>
            <w:noWrap/>
            <w:vAlign w:val="bottom"/>
          </w:tcPr>
          <w:p w14:paraId="1B4C69AB" w14:textId="77777777" w:rsidR="00F57BA5" w:rsidRPr="0049452D" w:rsidRDefault="00F57BA5" w:rsidP="00F57BA5">
            <w:pPr>
              <w:spacing w:after="0" w:line="240" w:lineRule="auto"/>
              <w:rPr>
                <w:sz w:val="20"/>
                <w:szCs w:val="20"/>
                <w:lang w:bidi="ar-SA"/>
              </w:rPr>
            </w:pPr>
          </w:p>
        </w:tc>
        <w:tc>
          <w:tcPr>
            <w:tcW w:w="1616" w:type="dxa"/>
            <w:shd w:val="clear" w:color="auto" w:fill="auto"/>
            <w:noWrap/>
            <w:vAlign w:val="bottom"/>
          </w:tcPr>
          <w:p w14:paraId="5D7E7BE4" w14:textId="77777777" w:rsidR="00F57BA5" w:rsidRPr="002A7643" w:rsidRDefault="00F57BA5" w:rsidP="00F57BA5">
            <w:pPr>
              <w:spacing w:after="0" w:line="240" w:lineRule="auto"/>
              <w:rPr>
                <w:sz w:val="20"/>
                <w:szCs w:val="20"/>
                <w:lang w:bidi="ar-SA"/>
              </w:rPr>
            </w:pPr>
          </w:p>
        </w:tc>
        <w:tc>
          <w:tcPr>
            <w:tcW w:w="1440" w:type="dxa"/>
            <w:shd w:val="clear" w:color="auto" w:fill="auto"/>
            <w:noWrap/>
            <w:vAlign w:val="bottom"/>
          </w:tcPr>
          <w:p w14:paraId="5863D190" w14:textId="77777777" w:rsidR="00F57BA5" w:rsidRPr="002A7643" w:rsidRDefault="00F57BA5" w:rsidP="00F57BA5">
            <w:pPr>
              <w:spacing w:after="0" w:line="240" w:lineRule="auto"/>
              <w:rPr>
                <w:sz w:val="20"/>
                <w:szCs w:val="20"/>
                <w:lang w:bidi="ar-SA"/>
              </w:rPr>
            </w:pPr>
          </w:p>
        </w:tc>
        <w:tc>
          <w:tcPr>
            <w:tcW w:w="1530" w:type="dxa"/>
            <w:shd w:val="clear" w:color="auto" w:fill="auto"/>
            <w:noWrap/>
            <w:vAlign w:val="bottom"/>
          </w:tcPr>
          <w:p w14:paraId="086B6532" w14:textId="77777777" w:rsidR="00F57BA5" w:rsidRPr="002A7643" w:rsidRDefault="00F57BA5" w:rsidP="00F57BA5">
            <w:pPr>
              <w:spacing w:after="0" w:line="240" w:lineRule="auto"/>
              <w:rPr>
                <w:sz w:val="20"/>
                <w:szCs w:val="20"/>
                <w:lang w:bidi="ar-SA"/>
              </w:rPr>
            </w:pPr>
          </w:p>
        </w:tc>
        <w:tc>
          <w:tcPr>
            <w:tcW w:w="1444" w:type="dxa"/>
            <w:shd w:val="clear" w:color="auto" w:fill="auto"/>
            <w:noWrap/>
            <w:vAlign w:val="bottom"/>
          </w:tcPr>
          <w:p w14:paraId="1B15E783" w14:textId="77777777" w:rsidR="00F57BA5" w:rsidRPr="002A7643" w:rsidRDefault="00F57BA5" w:rsidP="00F57BA5">
            <w:pPr>
              <w:spacing w:after="0" w:line="240" w:lineRule="auto"/>
              <w:rPr>
                <w:sz w:val="20"/>
                <w:szCs w:val="20"/>
                <w:lang w:bidi="ar-SA"/>
              </w:rPr>
            </w:pPr>
          </w:p>
        </w:tc>
        <w:tc>
          <w:tcPr>
            <w:tcW w:w="918" w:type="dxa"/>
          </w:tcPr>
          <w:p w14:paraId="011CE25B" w14:textId="77777777" w:rsidR="00F57BA5" w:rsidRPr="002A7643" w:rsidRDefault="00F57BA5" w:rsidP="00F57BA5">
            <w:pPr>
              <w:spacing w:after="0" w:line="240" w:lineRule="auto"/>
              <w:rPr>
                <w:sz w:val="20"/>
                <w:szCs w:val="20"/>
                <w:lang w:bidi="ar-SA"/>
              </w:rPr>
            </w:pPr>
          </w:p>
        </w:tc>
      </w:tr>
      <w:tr w:rsidR="00F57BA5" w:rsidRPr="0049452D" w14:paraId="29E2CECC" w14:textId="4C2475A1" w:rsidTr="00F57BA5">
        <w:trPr>
          <w:trHeight w:hRule="exact" w:val="274"/>
        </w:trPr>
        <w:tc>
          <w:tcPr>
            <w:tcW w:w="1530" w:type="dxa"/>
            <w:shd w:val="clear" w:color="auto" w:fill="auto"/>
            <w:noWrap/>
            <w:vAlign w:val="bottom"/>
            <w:hideMark/>
          </w:tcPr>
          <w:p w14:paraId="44A3066C"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Hamden</w:t>
            </w:r>
          </w:p>
        </w:tc>
        <w:tc>
          <w:tcPr>
            <w:tcW w:w="1083" w:type="dxa"/>
            <w:shd w:val="clear" w:color="auto" w:fill="auto"/>
            <w:noWrap/>
            <w:vAlign w:val="bottom"/>
            <w:hideMark/>
          </w:tcPr>
          <w:p w14:paraId="3D3A49A8"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61,607</w:t>
            </w:r>
          </w:p>
        </w:tc>
        <w:tc>
          <w:tcPr>
            <w:tcW w:w="1347" w:type="dxa"/>
            <w:shd w:val="clear" w:color="auto" w:fill="auto"/>
            <w:noWrap/>
            <w:vAlign w:val="bottom"/>
          </w:tcPr>
          <w:p w14:paraId="00288581" w14:textId="1FC2C6DE"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$4,049 </w:t>
            </w:r>
          </w:p>
        </w:tc>
        <w:tc>
          <w:tcPr>
            <w:tcW w:w="900" w:type="dxa"/>
            <w:shd w:val="clear" w:color="auto" w:fill="auto"/>
            <w:noWrap/>
            <w:vAlign w:val="bottom"/>
          </w:tcPr>
          <w:p w14:paraId="2D9666AD" w14:textId="6CA369D0"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37.14</w:t>
            </w:r>
          </w:p>
        </w:tc>
        <w:tc>
          <w:tcPr>
            <w:tcW w:w="1260" w:type="dxa"/>
            <w:shd w:val="clear" w:color="auto" w:fill="auto"/>
            <w:noWrap/>
            <w:vAlign w:val="bottom"/>
          </w:tcPr>
          <w:p w14:paraId="7DEDD941" w14:textId="5E8C869B"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$149.05 </w:t>
            </w:r>
          </w:p>
        </w:tc>
        <w:tc>
          <w:tcPr>
            <w:tcW w:w="1616" w:type="dxa"/>
            <w:shd w:val="clear" w:color="auto" w:fill="auto"/>
            <w:noWrap/>
            <w:vAlign w:val="bottom"/>
          </w:tcPr>
          <w:p w14:paraId="28B49C1C" w14:textId="41661519" w:rsidR="00F57BA5" w:rsidRPr="002A7643" w:rsidRDefault="00F57BA5" w:rsidP="00F57BA5">
            <w:pPr>
              <w:spacing w:after="0" w:line="240" w:lineRule="auto"/>
              <w:jc w:val="right"/>
              <w:rPr>
                <w:color w:val="000000"/>
                <w:sz w:val="20"/>
                <w:szCs w:val="20"/>
                <w:lang w:bidi="ar-SA"/>
              </w:rPr>
            </w:pPr>
            <w:r w:rsidRPr="002A7643">
              <w:rPr>
                <w:sz w:val="20"/>
                <w:szCs w:val="20"/>
              </w:rPr>
              <w:t>$5,544.5</w:t>
            </w:r>
          </w:p>
        </w:tc>
        <w:tc>
          <w:tcPr>
            <w:tcW w:w="1440" w:type="dxa"/>
            <w:shd w:val="clear" w:color="auto" w:fill="auto"/>
            <w:noWrap/>
            <w:vAlign w:val="bottom"/>
          </w:tcPr>
          <w:p w14:paraId="33D59DA3" w14:textId="04443967" w:rsidR="00F57BA5" w:rsidRPr="002A7643" w:rsidRDefault="00F57BA5" w:rsidP="00F57BA5">
            <w:pPr>
              <w:spacing w:after="0" w:line="240" w:lineRule="auto"/>
              <w:jc w:val="right"/>
              <w:rPr>
                <w:color w:val="000000"/>
                <w:sz w:val="20"/>
                <w:szCs w:val="20"/>
                <w:lang w:bidi="ar-SA"/>
              </w:rPr>
            </w:pPr>
            <w:r w:rsidRPr="002A7643">
              <w:rPr>
                <w:sz w:val="20"/>
                <w:szCs w:val="20"/>
              </w:rPr>
              <w:t xml:space="preserve">$90 </w:t>
            </w:r>
          </w:p>
        </w:tc>
        <w:tc>
          <w:tcPr>
            <w:tcW w:w="1530" w:type="dxa"/>
            <w:shd w:val="clear" w:color="auto" w:fill="auto"/>
            <w:noWrap/>
            <w:vAlign w:val="bottom"/>
          </w:tcPr>
          <w:p w14:paraId="250D4A49" w14:textId="485AC550" w:rsidR="00F57BA5" w:rsidRPr="002A7643" w:rsidRDefault="00F57BA5" w:rsidP="00F57BA5">
            <w:pPr>
              <w:spacing w:after="0" w:line="240" w:lineRule="auto"/>
              <w:jc w:val="right"/>
              <w:rPr>
                <w:color w:val="000000"/>
                <w:sz w:val="20"/>
                <w:szCs w:val="20"/>
                <w:lang w:bidi="ar-SA"/>
              </w:rPr>
            </w:pPr>
            <w:r w:rsidRPr="002A7643">
              <w:rPr>
                <w:sz w:val="20"/>
                <w:szCs w:val="20"/>
              </w:rPr>
              <w:t>$1,334.5</w:t>
            </w:r>
          </w:p>
        </w:tc>
        <w:tc>
          <w:tcPr>
            <w:tcW w:w="1444" w:type="dxa"/>
            <w:shd w:val="clear" w:color="auto" w:fill="auto"/>
            <w:noWrap/>
            <w:vAlign w:val="bottom"/>
          </w:tcPr>
          <w:p w14:paraId="09E7A4B8" w14:textId="5D505DEF" w:rsidR="00F57BA5" w:rsidRPr="002A7643" w:rsidRDefault="00F57BA5" w:rsidP="00F57BA5">
            <w:pPr>
              <w:spacing w:after="0" w:line="240" w:lineRule="auto"/>
              <w:jc w:val="right"/>
              <w:rPr>
                <w:color w:val="000000"/>
                <w:sz w:val="20"/>
                <w:szCs w:val="20"/>
                <w:lang w:bidi="ar-SA"/>
              </w:rPr>
            </w:pPr>
            <w:r w:rsidRPr="002A7643">
              <w:rPr>
                <w:sz w:val="20"/>
                <w:szCs w:val="20"/>
              </w:rPr>
              <w:t>$70</w:t>
            </w:r>
          </w:p>
        </w:tc>
        <w:tc>
          <w:tcPr>
            <w:tcW w:w="918" w:type="dxa"/>
          </w:tcPr>
          <w:p w14:paraId="2DC180A6" w14:textId="77777777" w:rsidR="00F57BA5" w:rsidRPr="002A7643" w:rsidRDefault="00F57BA5" w:rsidP="00F57BA5">
            <w:pPr>
              <w:spacing w:after="0" w:line="240" w:lineRule="auto"/>
              <w:jc w:val="right"/>
              <w:rPr>
                <w:sz w:val="20"/>
                <w:szCs w:val="20"/>
              </w:rPr>
            </w:pPr>
          </w:p>
        </w:tc>
      </w:tr>
      <w:tr w:rsidR="00F57BA5" w:rsidRPr="0049452D" w14:paraId="6967704A" w14:textId="73713977" w:rsidTr="00F57BA5">
        <w:trPr>
          <w:trHeight w:hRule="exact" w:val="274"/>
        </w:trPr>
        <w:tc>
          <w:tcPr>
            <w:tcW w:w="1530" w:type="dxa"/>
            <w:shd w:val="clear" w:color="auto" w:fill="auto"/>
            <w:noWrap/>
            <w:vAlign w:val="bottom"/>
            <w:hideMark/>
          </w:tcPr>
          <w:p w14:paraId="7D243AE7"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Middletown</w:t>
            </w:r>
          </w:p>
        </w:tc>
        <w:tc>
          <w:tcPr>
            <w:tcW w:w="1083" w:type="dxa"/>
            <w:shd w:val="clear" w:color="auto" w:fill="auto"/>
            <w:noWrap/>
            <w:vAlign w:val="bottom"/>
            <w:hideMark/>
          </w:tcPr>
          <w:p w14:paraId="71F4A51A"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47,333</w:t>
            </w:r>
          </w:p>
        </w:tc>
        <w:tc>
          <w:tcPr>
            <w:tcW w:w="1347" w:type="dxa"/>
            <w:shd w:val="clear" w:color="auto" w:fill="auto"/>
            <w:noWrap/>
            <w:vAlign w:val="bottom"/>
          </w:tcPr>
          <w:p w14:paraId="516ED9F2" w14:textId="0E5408BF"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$3,581 </w:t>
            </w:r>
          </w:p>
        </w:tc>
        <w:tc>
          <w:tcPr>
            <w:tcW w:w="900" w:type="dxa"/>
            <w:shd w:val="clear" w:color="auto" w:fill="auto"/>
            <w:noWrap/>
            <w:vAlign w:val="bottom"/>
          </w:tcPr>
          <w:p w14:paraId="24ABEA5D" w14:textId="541F45D3"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26.90</w:t>
            </w:r>
          </w:p>
        </w:tc>
        <w:tc>
          <w:tcPr>
            <w:tcW w:w="1260" w:type="dxa"/>
            <w:shd w:val="clear" w:color="auto" w:fill="auto"/>
            <w:noWrap/>
            <w:vAlign w:val="bottom"/>
          </w:tcPr>
          <w:p w14:paraId="724AB644" w14:textId="5014D6AD"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$95.67 </w:t>
            </w:r>
          </w:p>
        </w:tc>
        <w:tc>
          <w:tcPr>
            <w:tcW w:w="1616" w:type="dxa"/>
            <w:shd w:val="clear" w:color="auto" w:fill="auto"/>
            <w:noWrap/>
            <w:vAlign w:val="bottom"/>
          </w:tcPr>
          <w:p w14:paraId="373F4FA8" w14:textId="6F308BCA" w:rsidR="00F57BA5" w:rsidRPr="002A7643" w:rsidRDefault="00F57BA5" w:rsidP="00F57BA5">
            <w:pPr>
              <w:spacing w:after="0" w:line="240" w:lineRule="auto"/>
              <w:jc w:val="right"/>
              <w:rPr>
                <w:color w:val="000000"/>
                <w:sz w:val="20"/>
                <w:szCs w:val="20"/>
                <w:lang w:bidi="ar-SA"/>
              </w:rPr>
            </w:pPr>
            <w:r w:rsidRPr="002A7643">
              <w:rPr>
                <w:sz w:val="20"/>
                <w:szCs w:val="20"/>
              </w:rPr>
              <w:t>$5,077.0</w:t>
            </w:r>
          </w:p>
        </w:tc>
        <w:tc>
          <w:tcPr>
            <w:tcW w:w="1440" w:type="dxa"/>
            <w:shd w:val="clear" w:color="auto" w:fill="auto"/>
            <w:noWrap/>
            <w:vAlign w:val="bottom"/>
          </w:tcPr>
          <w:p w14:paraId="12DFAABD" w14:textId="346FA8CA" w:rsidR="00F57BA5" w:rsidRPr="002A7643" w:rsidRDefault="00F57BA5" w:rsidP="00F57BA5">
            <w:pPr>
              <w:spacing w:after="0" w:line="240" w:lineRule="auto"/>
              <w:jc w:val="right"/>
              <w:rPr>
                <w:color w:val="000000"/>
                <w:sz w:val="20"/>
                <w:szCs w:val="20"/>
                <w:lang w:bidi="ar-SA"/>
              </w:rPr>
            </w:pPr>
            <w:r w:rsidRPr="002A7643">
              <w:rPr>
                <w:sz w:val="20"/>
                <w:szCs w:val="20"/>
              </w:rPr>
              <w:t xml:space="preserve">$107 </w:t>
            </w:r>
          </w:p>
        </w:tc>
        <w:tc>
          <w:tcPr>
            <w:tcW w:w="1530" w:type="dxa"/>
            <w:shd w:val="clear" w:color="auto" w:fill="auto"/>
            <w:noWrap/>
            <w:vAlign w:val="bottom"/>
          </w:tcPr>
          <w:p w14:paraId="29A5CBCF" w14:textId="3AAB1025" w:rsidR="00F57BA5" w:rsidRPr="002A7643" w:rsidRDefault="00F57BA5" w:rsidP="00F57BA5">
            <w:pPr>
              <w:spacing w:after="0" w:line="240" w:lineRule="auto"/>
              <w:jc w:val="right"/>
              <w:rPr>
                <w:color w:val="000000"/>
                <w:sz w:val="20"/>
                <w:szCs w:val="20"/>
                <w:lang w:bidi="ar-SA"/>
              </w:rPr>
            </w:pPr>
            <w:r w:rsidRPr="002A7643">
              <w:rPr>
                <w:sz w:val="20"/>
                <w:szCs w:val="20"/>
              </w:rPr>
              <w:t>$231.8</w:t>
            </w:r>
          </w:p>
        </w:tc>
        <w:tc>
          <w:tcPr>
            <w:tcW w:w="1444" w:type="dxa"/>
            <w:shd w:val="clear" w:color="auto" w:fill="auto"/>
            <w:noWrap/>
            <w:vAlign w:val="bottom"/>
          </w:tcPr>
          <w:p w14:paraId="5888920C" w14:textId="4F972F36" w:rsidR="00F57BA5" w:rsidRPr="002A7643" w:rsidRDefault="00F57BA5" w:rsidP="00F57BA5">
            <w:pPr>
              <w:spacing w:after="0" w:line="240" w:lineRule="auto"/>
              <w:jc w:val="right"/>
              <w:rPr>
                <w:color w:val="000000"/>
                <w:sz w:val="20"/>
                <w:szCs w:val="20"/>
                <w:lang w:bidi="ar-SA"/>
              </w:rPr>
            </w:pPr>
            <w:r w:rsidRPr="002A7643">
              <w:rPr>
                <w:sz w:val="20"/>
                <w:szCs w:val="20"/>
              </w:rPr>
              <w:t>$45</w:t>
            </w:r>
          </w:p>
        </w:tc>
        <w:tc>
          <w:tcPr>
            <w:tcW w:w="918" w:type="dxa"/>
          </w:tcPr>
          <w:p w14:paraId="59B69047" w14:textId="77777777" w:rsidR="00F57BA5" w:rsidRPr="002A7643" w:rsidRDefault="00F57BA5" w:rsidP="00F57BA5">
            <w:pPr>
              <w:spacing w:after="0" w:line="240" w:lineRule="auto"/>
              <w:jc w:val="right"/>
              <w:rPr>
                <w:sz w:val="20"/>
                <w:szCs w:val="20"/>
              </w:rPr>
            </w:pPr>
          </w:p>
        </w:tc>
      </w:tr>
      <w:tr w:rsidR="00F57BA5" w:rsidRPr="0049452D" w14:paraId="23C8E16F" w14:textId="4BC9CBFC" w:rsidTr="00F57BA5">
        <w:trPr>
          <w:trHeight w:hRule="exact" w:val="274"/>
        </w:trPr>
        <w:tc>
          <w:tcPr>
            <w:tcW w:w="1530" w:type="dxa"/>
            <w:shd w:val="clear" w:color="auto" w:fill="auto"/>
            <w:noWrap/>
            <w:vAlign w:val="bottom"/>
            <w:hideMark/>
          </w:tcPr>
          <w:p w14:paraId="404BB34E"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Norwich</w:t>
            </w:r>
          </w:p>
        </w:tc>
        <w:tc>
          <w:tcPr>
            <w:tcW w:w="1083" w:type="dxa"/>
            <w:shd w:val="clear" w:color="auto" w:fill="auto"/>
            <w:noWrap/>
            <w:vAlign w:val="bottom"/>
            <w:hideMark/>
          </w:tcPr>
          <w:p w14:paraId="332A8ACF"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40,347</w:t>
            </w:r>
          </w:p>
        </w:tc>
        <w:tc>
          <w:tcPr>
            <w:tcW w:w="1347" w:type="dxa"/>
            <w:shd w:val="clear" w:color="auto" w:fill="auto"/>
            <w:noWrap/>
            <w:vAlign w:val="bottom"/>
          </w:tcPr>
          <w:p w14:paraId="021BE804" w14:textId="48E02F8C"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$2,433 </w:t>
            </w:r>
          </w:p>
        </w:tc>
        <w:tc>
          <w:tcPr>
            <w:tcW w:w="900" w:type="dxa"/>
            <w:shd w:val="clear" w:color="auto" w:fill="auto"/>
            <w:noWrap/>
            <w:vAlign w:val="bottom"/>
          </w:tcPr>
          <w:p w14:paraId="03A09981" w14:textId="4EC693D5"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26.90</w:t>
            </w:r>
          </w:p>
        </w:tc>
        <w:tc>
          <w:tcPr>
            <w:tcW w:w="1260" w:type="dxa"/>
            <w:shd w:val="clear" w:color="auto" w:fill="auto"/>
            <w:noWrap/>
            <w:vAlign w:val="bottom"/>
          </w:tcPr>
          <w:p w14:paraId="432D983F" w14:textId="4A7C9A0A"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$64.82 </w:t>
            </w:r>
          </w:p>
        </w:tc>
        <w:tc>
          <w:tcPr>
            <w:tcW w:w="1616" w:type="dxa"/>
            <w:shd w:val="clear" w:color="auto" w:fill="auto"/>
            <w:noWrap/>
            <w:vAlign w:val="bottom"/>
          </w:tcPr>
          <w:p w14:paraId="47368411" w14:textId="75FB074D" w:rsidR="00F57BA5" w:rsidRPr="002A7643" w:rsidRDefault="00F57BA5" w:rsidP="00F57BA5">
            <w:pPr>
              <w:spacing w:after="0" w:line="240" w:lineRule="auto"/>
              <w:jc w:val="right"/>
              <w:rPr>
                <w:color w:val="000000"/>
                <w:sz w:val="20"/>
                <w:szCs w:val="20"/>
                <w:lang w:bidi="ar-SA"/>
              </w:rPr>
            </w:pPr>
            <w:r w:rsidRPr="002A7643">
              <w:rPr>
                <w:sz w:val="20"/>
                <w:szCs w:val="20"/>
              </w:rPr>
              <w:t>$3,968.8</w:t>
            </w:r>
          </w:p>
        </w:tc>
        <w:tc>
          <w:tcPr>
            <w:tcW w:w="1440" w:type="dxa"/>
            <w:shd w:val="clear" w:color="auto" w:fill="auto"/>
            <w:noWrap/>
            <w:vAlign w:val="bottom"/>
          </w:tcPr>
          <w:p w14:paraId="11754CE8" w14:textId="3A540943" w:rsidR="00F57BA5" w:rsidRPr="002A7643" w:rsidRDefault="00F57BA5" w:rsidP="00F57BA5">
            <w:pPr>
              <w:spacing w:after="0" w:line="240" w:lineRule="auto"/>
              <w:jc w:val="right"/>
              <w:rPr>
                <w:color w:val="000000"/>
                <w:sz w:val="20"/>
                <w:szCs w:val="20"/>
                <w:lang w:bidi="ar-SA"/>
              </w:rPr>
            </w:pPr>
            <w:r w:rsidRPr="002A7643">
              <w:rPr>
                <w:sz w:val="20"/>
                <w:szCs w:val="20"/>
              </w:rPr>
              <w:t xml:space="preserve">$98 </w:t>
            </w:r>
          </w:p>
        </w:tc>
        <w:tc>
          <w:tcPr>
            <w:tcW w:w="1530" w:type="dxa"/>
            <w:shd w:val="clear" w:color="auto" w:fill="auto"/>
            <w:noWrap/>
            <w:vAlign w:val="bottom"/>
          </w:tcPr>
          <w:p w14:paraId="5C1413C1" w14:textId="44F42595" w:rsidR="00F57BA5" w:rsidRPr="002A7643" w:rsidRDefault="00F57BA5" w:rsidP="00F57BA5">
            <w:pPr>
              <w:spacing w:after="0" w:line="240" w:lineRule="auto"/>
              <w:jc w:val="right"/>
              <w:rPr>
                <w:color w:val="000000"/>
                <w:sz w:val="20"/>
                <w:szCs w:val="20"/>
                <w:lang w:bidi="ar-SA"/>
              </w:rPr>
            </w:pPr>
            <w:r w:rsidRPr="002A7643">
              <w:rPr>
                <w:sz w:val="20"/>
                <w:szCs w:val="20"/>
              </w:rPr>
              <w:t>$480.8</w:t>
            </w:r>
          </w:p>
        </w:tc>
        <w:tc>
          <w:tcPr>
            <w:tcW w:w="1444" w:type="dxa"/>
            <w:shd w:val="clear" w:color="auto" w:fill="auto"/>
            <w:noWrap/>
            <w:vAlign w:val="bottom"/>
          </w:tcPr>
          <w:p w14:paraId="0946CB27" w14:textId="6552A197" w:rsidR="00F57BA5" w:rsidRPr="002A7643" w:rsidRDefault="00F57BA5" w:rsidP="00F57BA5">
            <w:pPr>
              <w:spacing w:after="0" w:line="240" w:lineRule="auto"/>
              <w:jc w:val="right"/>
              <w:rPr>
                <w:color w:val="000000"/>
                <w:sz w:val="20"/>
                <w:szCs w:val="20"/>
                <w:lang w:bidi="ar-SA"/>
              </w:rPr>
            </w:pPr>
            <w:r w:rsidRPr="002A7643">
              <w:rPr>
                <w:sz w:val="20"/>
                <w:szCs w:val="20"/>
              </w:rPr>
              <w:t>$85</w:t>
            </w:r>
          </w:p>
        </w:tc>
        <w:tc>
          <w:tcPr>
            <w:tcW w:w="918" w:type="dxa"/>
          </w:tcPr>
          <w:p w14:paraId="17A3545F" w14:textId="77777777" w:rsidR="00F57BA5" w:rsidRPr="002A7643" w:rsidRDefault="00F57BA5" w:rsidP="00F57BA5">
            <w:pPr>
              <w:spacing w:after="0" w:line="240" w:lineRule="auto"/>
              <w:jc w:val="right"/>
              <w:rPr>
                <w:sz w:val="20"/>
                <w:szCs w:val="20"/>
              </w:rPr>
            </w:pPr>
          </w:p>
        </w:tc>
      </w:tr>
      <w:tr w:rsidR="00F57BA5" w:rsidRPr="0049452D" w14:paraId="7259CD89" w14:textId="6FE88179" w:rsidTr="00F57BA5">
        <w:trPr>
          <w:trHeight w:hRule="exact" w:val="274"/>
        </w:trPr>
        <w:tc>
          <w:tcPr>
            <w:tcW w:w="1530" w:type="dxa"/>
            <w:shd w:val="clear" w:color="auto" w:fill="auto"/>
            <w:noWrap/>
            <w:vAlign w:val="bottom"/>
            <w:hideMark/>
          </w:tcPr>
          <w:p w14:paraId="6C7D2A66"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Windsor</w:t>
            </w:r>
          </w:p>
        </w:tc>
        <w:tc>
          <w:tcPr>
            <w:tcW w:w="1083" w:type="dxa"/>
            <w:shd w:val="clear" w:color="auto" w:fill="auto"/>
            <w:noWrap/>
            <w:vAlign w:val="bottom"/>
            <w:hideMark/>
          </w:tcPr>
          <w:p w14:paraId="18D08B69"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29,142</w:t>
            </w:r>
          </w:p>
        </w:tc>
        <w:tc>
          <w:tcPr>
            <w:tcW w:w="1347" w:type="dxa"/>
            <w:shd w:val="clear" w:color="auto" w:fill="auto"/>
            <w:noWrap/>
            <w:vAlign w:val="bottom"/>
          </w:tcPr>
          <w:p w14:paraId="1380F478" w14:textId="5B8CF57C"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$2,908 </w:t>
            </w:r>
          </w:p>
        </w:tc>
        <w:tc>
          <w:tcPr>
            <w:tcW w:w="900" w:type="dxa"/>
            <w:shd w:val="clear" w:color="auto" w:fill="auto"/>
            <w:noWrap/>
            <w:vAlign w:val="bottom"/>
          </w:tcPr>
          <w:p w14:paraId="552F5158" w14:textId="33222699"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27.95</w:t>
            </w:r>
          </w:p>
        </w:tc>
        <w:tc>
          <w:tcPr>
            <w:tcW w:w="1260" w:type="dxa"/>
            <w:shd w:val="clear" w:color="auto" w:fill="auto"/>
            <w:noWrap/>
            <w:vAlign w:val="bottom"/>
          </w:tcPr>
          <w:p w14:paraId="13508E30" w14:textId="292E60C1"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$8.22 </w:t>
            </w:r>
          </w:p>
        </w:tc>
        <w:tc>
          <w:tcPr>
            <w:tcW w:w="1616" w:type="dxa"/>
            <w:shd w:val="clear" w:color="auto" w:fill="auto"/>
            <w:noWrap/>
            <w:vAlign w:val="bottom"/>
          </w:tcPr>
          <w:p w14:paraId="146B8C86" w14:textId="2E0DFD3E" w:rsidR="00F57BA5" w:rsidRPr="002A7643" w:rsidRDefault="00F57BA5" w:rsidP="00F57BA5">
            <w:pPr>
              <w:spacing w:after="0" w:line="240" w:lineRule="auto"/>
              <w:jc w:val="right"/>
              <w:rPr>
                <w:color w:val="000000"/>
                <w:sz w:val="20"/>
                <w:szCs w:val="20"/>
                <w:lang w:bidi="ar-SA"/>
              </w:rPr>
            </w:pPr>
            <w:r w:rsidRPr="002A7643">
              <w:rPr>
                <w:sz w:val="20"/>
                <w:szCs w:val="20"/>
              </w:rPr>
              <w:t>$3,575.7</w:t>
            </w:r>
          </w:p>
        </w:tc>
        <w:tc>
          <w:tcPr>
            <w:tcW w:w="1440" w:type="dxa"/>
            <w:shd w:val="clear" w:color="auto" w:fill="auto"/>
            <w:noWrap/>
            <w:vAlign w:val="bottom"/>
          </w:tcPr>
          <w:p w14:paraId="7CFAB649" w14:textId="69B8EFC3" w:rsidR="00F57BA5" w:rsidRPr="002A7643" w:rsidRDefault="00F57BA5" w:rsidP="00F57BA5">
            <w:pPr>
              <w:spacing w:after="0" w:line="240" w:lineRule="auto"/>
              <w:jc w:val="right"/>
              <w:rPr>
                <w:color w:val="000000"/>
                <w:sz w:val="20"/>
                <w:szCs w:val="20"/>
                <w:lang w:bidi="ar-SA"/>
              </w:rPr>
            </w:pPr>
            <w:r w:rsidRPr="002A7643">
              <w:rPr>
                <w:sz w:val="20"/>
                <w:szCs w:val="20"/>
              </w:rPr>
              <w:t xml:space="preserve">$123 </w:t>
            </w:r>
          </w:p>
        </w:tc>
        <w:tc>
          <w:tcPr>
            <w:tcW w:w="1530" w:type="dxa"/>
            <w:shd w:val="clear" w:color="auto" w:fill="auto"/>
            <w:noWrap/>
            <w:vAlign w:val="bottom"/>
          </w:tcPr>
          <w:p w14:paraId="393004E8" w14:textId="76D30D8A" w:rsidR="00F57BA5" w:rsidRPr="002A7643" w:rsidRDefault="00F57BA5" w:rsidP="00F57BA5">
            <w:pPr>
              <w:spacing w:after="0" w:line="240" w:lineRule="auto"/>
              <w:jc w:val="right"/>
              <w:rPr>
                <w:color w:val="000000"/>
                <w:sz w:val="20"/>
                <w:szCs w:val="20"/>
                <w:lang w:bidi="ar-SA"/>
              </w:rPr>
            </w:pPr>
            <w:r w:rsidRPr="002A7643">
              <w:rPr>
                <w:sz w:val="20"/>
                <w:szCs w:val="20"/>
              </w:rPr>
              <w:t>$4,053.0</w:t>
            </w:r>
          </w:p>
        </w:tc>
        <w:tc>
          <w:tcPr>
            <w:tcW w:w="1444" w:type="dxa"/>
            <w:shd w:val="clear" w:color="auto" w:fill="auto"/>
            <w:noWrap/>
            <w:vAlign w:val="bottom"/>
          </w:tcPr>
          <w:p w14:paraId="023911D3" w14:textId="19BB5116" w:rsidR="00F57BA5" w:rsidRPr="002A7643" w:rsidRDefault="00F57BA5" w:rsidP="00F57BA5">
            <w:pPr>
              <w:spacing w:after="0" w:line="240" w:lineRule="auto"/>
              <w:jc w:val="right"/>
              <w:rPr>
                <w:color w:val="000000"/>
                <w:sz w:val="20"/>
                <w:szCs w:val="20"/>
                <w:lang w:bidi="ar-SA"/>
              </w:rPr>
            </w:pPr>
            <w:r w:rsidRPr="002A7643">
              <w:rPr>
                <w:sz w:val="20"/>
                <w:szCs w:val="20"/>
              </w:rPr>
              <w:t>$163</w:t>
            </w:r>
          </w:p>
        </w:tc>
        <w:tc>
          <w:tcPr>
            <w:tcW w:w="918" w:type="dxa"/>
          </w:tcPr>
          <w:p w14:paraId="45BBEB4E" w14:textId="77777777" w:rsidR="00F57BA5" w:rsidRPr="002A7643" w:rsidRDefault="00F57BA5" w:rsidP="00F57BA5">
            <w:pPr>
              <w:spacing w:after="0" w:line="240" w:lineRule="auto"/>
              <w:jc w:val="right"/>
              <w:rPr>
                <w:sz w:val="20"/>
                <w:szCs w:val="20"/>
              </w:rPr>
            </w:pPr>
          </w:p>
        </w:tc>
      </w:tr>
      <w:tr w:rsidR="00F57BA5" w:rsidRPr="0049452D" w14:paraId="0B01D552" w14:textId="553EDBFD" w:rsidTr="00F57BA5">
        <w:trPr>
          <w:trHeight w:hRule="exact" w:val="274"/>
        </w:trPr>
        <w:tc>
          <w:tcPr>
            <w:tcW w:w="1530" w:type="dxa"/>
            <w:shd w:val="clear" w:color="auto" w:fill="auto"/>
            <w:noWrap/>
            <w:vAlign w:val="bottom"/>
            <w:hideMark/>
          </w:tcPr>
          <w:p w14:paraId="7A2EF701" w14:textId="77777777" w:rsidR="00F57BA5" w:rsidRPr="0049452D" w:rsidRDefault="00F57BA5" w:rsidP="00F57BA5">
            <w:pPr>
              <w:spacing w:after="0" w:line="240" w:lineRule="auto"/>
              <w:rPr>
                <w:b/>
                <w:bCs/>
                <w:color w:val="000000"/>
                <w:sz w:val="20"/>
                <w:szCs w:val="20"/>
                <w:lang w:bidi="ar-SA"/>
              </w:rPr>
            </w:pPr>
            <w:r w:rsidRPr="0049452D">
              <w:rPr>
                <w:b/>
                <w:bCs/>
                <w:color w:val="000000"/>
                <w:sz w:val="20"/>
                <w:szCs w:val="20"/>
                <w:lang w:bidi="ar-SA"/>
              </w:rPr>
              <w:t xml:space="preserve">   Rural</w:t>
            </w:r>
          </w:p>
        </w:tc>
        <w:tc>
          <w:tcPr>
            <w:tcW w:w="1083" w:type="dxa"/>
            <w:shd w:val="clear" w:color="auto" w:fill="auto"/>
            <w:noWrap/>
            <w:vAlign w:val="bottom"/>
            <w:hideMark/>
          </w:tcPr>
          <w:p w14:paraId="76C6D37A" w14:textId="77777777" w:rsidR="00F57BA5" w:rsidRPr="0049452D" w:rsidRDefault="00F57BA5" w:rsidP="00F57BA5">
            <w:pPr>
              <w:spacing w:after="0" w:line="240" w:lineRule="auto"/>
              <w:rPr>
                <w:b/>
                <w:bCs/>
                <w:color w:val="000000"/>
                <w:sz w:val="20"/>
                <w:szCs w:val="20"/>
                <w:lang w:bidi="ar-SA"/>
              </w:rPr>
            </w:pPr>
          </w:p>
        </w:tc>
        <w:tc>
          <w:tcPr>
            <w:tcW w:w="1347" w:type="dxa"/>
            <w:shd w:val="clear" w:color="auto" w:fill="auto"/>
            <w:noWrap/>
            <w:vAlign w:val="bottom"/>
          </w:tcPr>
          <w:p w14:paraId="44ABE1BC" w14:textId="77777777" w:rsidR="00F57BA5" w:rsidRPr="0049452D" w:rsidRDefault="00F57BA5" w:rsidP="00F57BA5">
            <w:pPr>
              <w:spacing w:after="0" w:line="240" w:lineRule="auto"/>
              <w:rPr>
                <w:sz w:val="20"/>
                <w:szCs w:val="20"/>
                <w:lang w:bidi="ar-SA"/>
              </w:rPr>
            </w:pPr>
          </w:p>
        </w:tc>
        <w:tc>
          <w:tcPr>
            <w:tcW w:w="900" w:type="dxa"/>
            <w:shd w:val="clear" w:color="auto" w:fill="auto"/>
            <w:noWrap/>
            <w:vAlign w:val="bottom"/>
          </w:tcPr>
          <w:p w14:paraId="10FFD13A" w14:textId="77777777" w:rsidR="00F57BA5" w:rsidRPr="0049452D" w:rsidRDefault="00F57BA5" w:rsidP="00F57BA5">
            <w:pPr>
              <w:spacing w:after="0" w:line="240" w:lineRule="auto"/>
              <w:rPr>
                <w:sz w:val="20"/>
                <w:szCs w:val="20"/>
                <w:lang w:bidi="ar-SA"/>
              </w:rPr>
            </w:pPr>
          </w:p>
        </w:tc>
        <w:tc>
          <w:tcPr>
            <w:tcW w:w="1260" w:type="dxa"/>
            <w:shd w:val="clear" w:color="auto" w:fill="auto"/>
            <w:noWrap/>
            <w:vAlign w:val="bottom"/>
          </w:tcPr>
          <w:p w14:paraId="410A4F13" w14:textId="77777777" w:rsidR="00F57BA5" w:rsidRPr="0049452D" w:rsidRDefault="00F57BA5" w:rsidP="00F57BA5">
            <w:pPr>
              <w:spacing w:after="0" w:line="240" w:lineRule="auto"/>
              <w:rPr>
                <w:sz w:val="20"/>
                <w:szCs w:val="20"/>
                <w:lang w:bidi="ar-SA"/>
              </w:rPr>
            </w:pPr>
          </w:p>
        </w:tc>
        <w:tc>
          <w:tcPr>
            <w:tcW w:w="1616" w:type="dxa"/>
            <w:shd w:val="clear" w:color="auto" w:fill="auto"/>
            <w:noWrap/>
            <w:vAlign w:val="bottom"/>
          </w:tcPr>
          <w:p w14:paraId="43885DCD" w14:textId="77777777" w:rsidR="00F57BA5" w:rsidRPr="002A7643" w:rsidRDefault="00F57BA5" w:rsidP="00F57BA5">
            <w:pPr>
              <w:spacing w:after="0" w:line="240" w:lineRule="auto"/>
              <w:rPr>
                <w:sz w:val="20"/>
                <w:szCs w:val="20"/>
                <w:lang w:bidi="ar-SA"/>
              </w:rPr>
            </w:pPr>
          </w:p>
        </w:tc>
        <w:tc>
          <w:tcPr>
            <w:tcW w:w="1440" w:type="dxa"/>
            <w:shd w:val="clear" w:color="auto" w:fill="auto"/>
            <w:noWrap/>
            <w:vAlign w:val="bottom"/>
          </w:tcPr>
          <w:p w14:paraId="61834967" w14:textId="77777777" w:rsidR="00F57BA5" w:rsidRPr="002A7643" w:rsidRDefault="00F57BA5" w:rsidP="00F57BA5">
            <w:pPr>
              <w:spacing w:after="0" w:line="240" w:lineRule="auto"/>
              <w:rPr>
                <w:sz w:val="20"/>
                <w:szCs w:val="20"/>
                <w:lang w:bidi="ar-SA"/>
              </w:rPr>
            </w:pPr>
          </w:p>
        </w:tc>
        <w:tc>
          <w:tcPr>
            <w:tcW w:w="1530" w:type="dxa"/>
            <w:shd w:val="clear" w:color="auto" w:fill="auto"/>
            <w:noWrap/>
            <w:vAlign w:val="bottom"/>
          </w:tcPr>
          <w:p w14:paraId="04A3DCA6" w14:textId="77777777" w:rsidR="00F57BA5" w:rsidRPr="002A7643" w:rsidRDefault="00F57BA5" w:rsidP="00F57BA5">
            <w:pPr>
              <w:spacing w:after="0" w:line="240" w:lineRule="auto"/>
              <w:rPr>
                <w:sz w:val="20"/>
                <w:szCs w:val="20"/>
                <w:lang w:bidi="ar-SA"/>
              </w:rPr>
            </w:pPr>
          </w:p>
        </w:tc>
        <w:tc>
          <w:tcPr>
            <w:tcW w:w="1444" w:type="dxa"/>
            <w:shd w:val="clear" w:color="auto" w:fill="auto"/>
            <w:noWrap/>
            <w:vAlign w:val="bottom"/>
          </w:tcPr>
          <w:p w14:paraId="1D5472D2" w14:textId="77777777" w:rsidR="00F57BA5" w:rsidRPr="002A7643" w:rsidRDefault="00F57BA5" w:rsidP="00F57BA5">
            <w:pPr>
              <w:spacing w:after="0" w:line="240" w:lineRule="auto"/>
              <w:rPr>
                <w:sz w:val="20"/>
                <w:szCs w:val="20"/>
                <w:lang w:bidi="ar-SA"/>
              </w:rPr>
            </w:pPr>
          </w:p>
        </w:tc>
        <w:tc>
          <w:tcPr>
            <w:tcW w:w="918" w:type="dxa"/>
          </w:tcPr>
          <w:p w14:paraId="678A4BC7" w14:textId="77777777" w:rsidR="00F57BA5" w:rsidRPr="002A7643" w:rsidRDefault="00F57BA5" w:rsidP="00F57BA5">
            <w:pPr>
              <w:spacing w:after="0" w:line="240" w:lineRule="auto"/>
              <w:rPr>
                <w:sz w:val="20"/>
                <w:szCs w:val="20"/>
                <w:lang w:bidi="ar-SA"/>
              </w:rPr>
            </w:pPr>
          </w:p>
        </w:tc>
      </w:tr>
      <w:tr w:rsidR="00F57BA5" w:rsidRPr="0049452D" w14:paraId="7B85884C" w14:textId="3F8A0D73" w:rsidTr="00F57BA5">
        <w:trPr>
          <w:trHeight w:hRule="exact" w:val="274"/>
        </w:trPr>
        <w:tc>
          <w:tcPr>
            <w:tcW w:w="1530" w:type="dxa"/>
            <w:shd w:val="clear" w:color="auto" w:fill="auto"/>
            <w:noWrap/>
            <w:vAlign w:val="bottom"/>
            <w:hideMark/>
          </w:tcPr>
          <w:p w14:paraId="60616D8C"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Bozrah</w:t>
            </w:r>
          </w:p>
        </w:tc>
        <w:tc>
          <w:tcPr>
            <w:tcW w:w="1083" w:type="dxa"/>
            <w:shd w:val="clear" w:color="auto" w:fill="auto"/>
            <w:noWrap/>
            <w:vAlign w:val="bottom"/>
            <w:hideMark/>
          </w:tcPr>
          <w:p w14:paraId="14B48DFF"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2,639</w:t>
            </w:r>
          </w:p>
        </w:tc>
        <w:tc>
          <w:tcPr>
            <w:tcW w:w="1347" w:type="dxa"/>
            <w:shd w:val="clear" w:color="auto" w:fill="auto"/>
            <w:noWrap/>
            <w:vAlign w:val="bottom"/>
          </w:tcPr>
          <w:p w14:paraId="6DB825F5" w14:textId="49B277E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$244 </w:t>
            </w:r>
          </w:p>
        </w:tc>
        <w:tc>
          <w:tcPr>
            <w:tcW w:w="900" w:type="dxa"/>
            <w:shd w:val="clear" w:color="auto" w:fill="auto"/>
            <w:noWrap/>
            <w:vAlign w:val="bottom"/>
          </w:tcPr>
          <w:p w14:paraId="4C951C4B" w14:textId="402F9BB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22.50</w:t>
            </w:r>
          </w:p>
        </w:tc>
        <w:tc>
          <w:tcPr>
            <w:tcW w:w="1260" w:type="dxa"/>
            <w:shd w:val="clear" w:color="auto" w:fill="auto"/>
            <w:noWrap/>
            <w:vAlign w:val="bottom"/>
          </w:tcPr>
          <w:p w14:paraId="0F6B3F7E" w14:textId="73428DE6"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$5.42 </w:t>
            </w:r>
          </w:p>
        </w:tc>
        <w:tc>
          <w:tcPr>
            <w:tcW w:w="1616" w:type="dxa"/>
            <w:shd w:val="clear" w:color="auto" w:fill="auto"/>
            <w:noWrap/>
            <w:vAlign w:val="bottom"/>
          </w:tcPr>
          <w:p w14:paraId="206F7AE0" w14:textId="42226679" w:rsidR="00F57BA5" w:rsidRPr="002A7643" w:rsidRDefault="00F57BA5" w:rsidP="00F57BA5">
            <w:pPr>
              <w:spacing w:after="0" w:line="240" w:lineRule="auto"/>
              <w:jc w:val="right"/>
              <w:rPr>
                <w:color w:val="000000"/>
                <w:sz w:val="20"/>
                <w:szCs w:val="20"/>
                <w:lang w:bidi="ar-SA"/>
              </w:rPr>
            </w:pPr>
            <w:r w:rsidRPr="002A7643">
              <w:rPr>
                <w:sz w:val="20"/>
                <w:szCs w:val="20"/>
              </w:rPr>
              <w:t>$282.3</w:t>
            </w:r>
          </w:p>
        </w:tc>
        <w:tc>
          <w:tcPr>
            <w:tcW w:w="1440" w:type="dxa"/>
            <w:shd w:val="clear" w:color="auto" w:fill="auto"/>
            <w:noWrap/>
            <w:vAlign w:val="bottom"/>
          </w:tcPr>
          <w:p w14:paraId="6FC99C65" w14:textId="3CC2139D" w:rsidR="00F57BA5" w:rsidRPr="002A7643" w:rsidRDefault="00F57BA5" w:rsidP="00F57BA5">
            <w:pPr>
              <w:spacing w:after="0" w:line="240" w:lineRule="auto"/>
              <w:jc w:val="right"/>
              <w:rPr>
                <w:color w:val="000000"/>
                <w:sz w:val="20"/>
                <w:szCs w:val="20"/>
                <w:lang w:bidi="ar-SA"/>
              </w:rPr>
            </w:pPr>
            <w:r w:rsidRPr="002A7643">
              <w:rPr>
                <w:sz w:val="20"/>
                <w:szCs w:val="20"/>
              </w:rPr>
              <w:t xml:space="preserve">$108 </w:t>
            </w:r>
          </w:p>
        </w:tc>
        <w:tc>
          <w:tcPr>
            <w:tcW w:w="1530" w:type="dxa"/>
            <w:shd w:val="clear" w:color="auto" w:fill="auto"/>
            <w:noWrap/>
            <w:vAlign w:val="bottom"/>
          </w:tcPr>
          <w:p w14:paraId="2481B14D" w14:textId="7C7737D6" w:rsidR="00F57BA5" w:rsidRPr="002A7643" w:rsidRDefault="00F57BA5" w:rsidP="00F57BA5">
            <w:pPr>
              <w:spacing w:after="0" w:line="240" w:lineRule="auto"/>
              <w:jc w:val="right"/>
              <w:rPr>
                <w:color w:val="000000"/>
                <w:sz w:val="20"/>
                <w:szCs w:val="20"/>
                <w:lang w:bidi="ar-SA"/>
              </w:rPr>
            </w:pPr>
            <w:r w:rsidRPr="002A7643">
              <w:rPr>
                <w:sz w:val="20"/>
                <w:szCs w:val="20"/>
              </w:rPr>
              <w:t>$5,668.7</w:t>
            </w:r>
          </w:p>
        </w:tc>
        <w:tc>
          <w:tcPr>
            <w:tcW w:w="1444" w:type="dxa"/>
            <w:shd w:val="clear" w:color="auto" w:fill="auto"/>
            <w:noWrap/>
            <w:vAlign w:val="bottom"/>
          </w:tcPr>
          <w:p w14:paraId="1E7B8BF3" w14:textId="04A609BA" w:rsidR="00F57BA5" w:rsidRPr="002A7643" w:rsidRDefault="00F57BA5" w:rsidP="00F57BA5">
            <w:pPr>
              <w:spacing w:after="0" w:line="240" w:lineRule="auto"/>
              <w:jc w:val="right"/>
              <w:rPr>
                <w:color w:val="000000"/>
                <w:sz w:val="20"/>
                <w:szCs w:val="20"/>
                <w:lang w:bidi="ar-SA"/>
              </w:rPr>
            </w:pPr>
            <w:r w:rsidRPr="002A7643">
              <w:rPr>
                <w:sz w:val="20"/>
                <w:szCs w:val="20"/>
              </w:rPr>
              <w:t>$127</w:t>
            </w:r>
          </w:p>
        </w:tc>
        <w:tc>
          <w:tcPr>
            <w:tcW w:w="918" w:type="dxa"/>
          </w:tcPr>
          <w:p w14:paraId="2E32CDCB" w14:textId="77777777" w:rsidR="00F57BA5" w:rsidRPr="002A7643" w:rsidRDefault="00F57BA5" w:rsidP="00F57BA5">
            <w:pPr>
              <w:spacing w:after="0" w:line="240" w:lineRule="auto"/>
              <w:jc w:val="right"/>
              <w:rPr>
                <w:sz w:val="20"/>
                <w:szCs w:val="20"/>
              </w:rPr>
            </w:pPr>
          </w:p>
        </w:tc>
      </w:tr>
      <w:tr w:rsidR="00F57BA5" w:rsidRPr="0049452D" w14:paraId="28B02824" w14:textId="6E0DB67E" w:rsidTr="00F57BA5">
        <w:trPr>
          <w:trHeight w:hRule="exact" w:val="274"/>
        </w:trPr>
        <w:tc>
          <w:tcPr>
            <w:tcW w:w="1530" w:type="dxa"/>
            <w:shd w:val="clear" w:color="auto" w:fill="auto"/>
            <w:noWrap/>
            <w:vAlign w:val="bottom"/>
            <w:hideMark/>
          </w:tcPr>
          <w:p w14:paraId="4CCAD2B4"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Durham</w:t>
            </w:r>
          </w:p>
        </w:tc>
        <w:tc>
          <w:tcPr>
            <w:tcW w:w="1083" w:type="dxa"/>
            <w:shd w:val="clear" w:color="auto" w:fill="auto"/>
            <w:noWrap/>
            <w:vAlign w:val="bottom"/>
            <w:hideMark/>
          </w:tcPr>
          <w:p w14:paraId="1C02306A"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7,361</w:t>
            </w:r>
          </w:p>
        </w:tc>
        <w:tc>
          <w:tcPr>
            <w:tcW w:w="1347" w:type="dxa"/>
            <w:shd w:val="clear" w:color="auto" w:fill="auto"/>
            <w:noWrap/>
            <w:vAlign w:val="bottom"/>
          </w:tcPr>
          <w:p w14:paraId="1B081100" w14:textId="5EAEBB4C"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$732 </w:t>
            </w:r>
          </w:p>
        </w:tc>
        <w:tc>
          <w:tcPr>
            <w:tcW w:w="900" w:type="dxa"/>
            <w:shd w:val="clear" w:color="auto" w:fill="auto"/>
            <w:noWrap/>
            <w:vAlign w:val="bottom"/>
          </w:tcPr>
          <w:p w14:paraId="1F80F336" w14:textId="7D75970A"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32.19</w:t>
            </w:r>
          </w:p>
        </w:tc>
        <w:tc>
          <w:tcPr>
            <w:tcW w:w="1260" w:type="dxa"/>
            <w:shd w:val="clear" w:color="auto" w:fill="auto"/>
            <w:noWrap/>
            <w:vAlign w:val="bottom"/>
          </w:tcPr>
          <w:p w14:paraId="30FF19A9" w14:textId="5B4A9CD3"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$23.55 </w:t>
            </w:r>
          </w:p>
        </w:tc>
        <w:tc>
          <w:tcPr>
            <w:tcW w:w="1616" w:type="dxa"/>
            <w:shd w:val="clear" w:color="auto" w:fill="auto"/>
            <w:noWrap/>
            <w:vAlign w:val="bottom"/>
          </w:tcPr>
          <w:p w14:paraId="45884754" w14:textId="70CFD725" w:rsidR="00F57BA5" w:rsidRPr="002A7643" w:rsidRDefault="00F57BA5" w:rsidP="00F57BA5">
            <w:pPr>
              <w:spacing w:after="0" w:line="240" w:lineRule="auto"/>
              <w:jc w:val="right"/>
              <w:rPr>
                <w:color w:val="000000"/>
                <w:sz w:val="20"/>
                <w:szCs w:val="20"/>
                <w:lang w:bidi="ar-SA"/>
              </w:rPr>
            </w:pPr>
            <w:r w:rsidRPr="002A7643">
              <w:rPr>
                <w:sz w:val="20"/>
                <w:szCs w:val="20"/>
              </w:rPr>
              <w:t>$410.4</w:t>
            </w:r>
          </w:p>
        </w:tc>
        <w:tc>
          <w:tcPr>
            <w:tcW w:w="1440" w:type="dxa"/>
            <w:shd w:val="clear" w:color="auto" w:fill="auto"/>
            <w:noWrap/>
            <w:vAlign w:val="bottom"/>
          </w:tcPr>
          <w:p w14:paraId="182540AD" w14:textId="707D9795" w:rsidR="00F57BA5" w:rsidRPr="002A7643" w:rsidRDefault="00F57BA5" w:rsidP="00F57BA5">
            <w:pPr>
              <w:spacing w:after="0" w:line="240" w:lineRule="auto"/>
              <w:jc w:val="right"/>
              <w:rPr>
                <w:color w:val="000000"/>
                <w:sz w:val="20"/>
                <w:szCs w:val="20"/>
                <w:lang w:bidi="ar-SA"/>
              </w:rPr>
            </w:pPr>
            <w:r w:rsidRPr="002A7643">
              <w:rPr>
                <w:sz w:val="20"/>
                <w:szCs w:val="20"/>
              </w:rPr>
              <w:t xml:space="preserve">$56 </w:t>
            </w:r>
          </w:p>
        </w:tc>
        <w:tc>
          <w:tcPr>
            <w:tcW w:w="1530" w:type="dxa"/>
            <w:shd w:val="clear" w:color="auto" w:fill="auto"/>
            <w:noWrap/>
            <w:vAlign w:val="bottom"/>
          </w:tcPr>
          <w:p w14:paraId="682EFA8C" w14:textId="1D2D13C3" w:rsidR="00F57BA5" w:rsidRPr="002A7643" w:rsidRDefault="00F57BA5" w:rsidP="00F57BA5">
            <w:pPr>
              <w:spacing w:after="0" w:line="240" w:lineRule="auto"/>
              <w:jc w:val="right"/>
              <w:rPr>
                <w:color w:val="000000"/>
                <w:sz w:val="20"/>
                <w:szCs w:val="20"/>
                <w:lang w:bidi="ar-SA"/>
              </w:rPr>
            </w:pPr>
            <w:r w:rsidRPr="002A7643">
              <w:rPr>
                <w:sz w:val="20"/>
                <w:szCs w:val="20"/>
              </w:rPr>
              <w:t>$2,548.4</w:t>
            </w:r>
          </w:p>
        </w:tc>
        <w:tc>
          <w:tcPr>
            <w:tcW w:w="1444" w:type="dxa"/>
            <w:shd w:val="clear" w:color="auto" w:fill="auto"/>
            <w:noWrap/>
            <w:vAlign w:val="bottom"/>
          </w:tcPr>
          <w:p w14:paraId="6D4EB48F" w14:textId="655BD137" w:rsidR="00F57BA5" w:rsidRPr="002A7643" w:rsidRDefault="00F57BA5" w:rsidP="00F57BA5">
            <w:pPr>
              <w:spacing w:after="0" w:line="240" w:lineRule="auto"/>
              <w:jc w:val="right"/>
              <w:rPr>
                <w:color w:val="000000"/>
                <w:sz w:val="20"/>
                <w:szCs w:val="20"/>
                <w:lang w:bidi="ar-SA"/>
              </w:rPr>
            </w:pPr>
            <w:r w:rsidRPr="002A7643">
              <w:rPr>
                <w:sz w:val="20"/>
                <w:szCs w:val="20"/>
              </w:rPr>
              <w:t>$203</w:t>
            </w:r>
          </w:p>
        </w:tc>
        <w:tc>
          <w:tcPr>
            <w:tcW w:w="918" w:type="dxa"/>
          </w:tcPr>
          <w:p w14:paraId="1F1EE022" w14:textId="77777777" w:rsidR="00F57BA5" w:rsidRPr="002A7643" w:rsidRDefault="00F57BA5" w:rsidP="00F57BA5">
            <w:pPr>
              <w:spacing w:after="0" w:line="240" w:lineRule="auto"/>
              <w:jc w:val="right"/>
              <w:rPr>
                <w:sz w:val="20"/>
                <w:szCs w:val="20"/>
              </w:rPr>
            </w:pPr>
          </w:p>
        </w:tc>
      </w:tr>
      <w:tr w:rsidR="00F57BA5" w:rsidRPr="0049452D" w14:paraId="4453F973" w14:textId="7E89429A" w:rsidTr="00F57BA5">
        <w:trPr>
          <w:trHeight w:hRule="exact" w:val="274"/>
        </w:trPr>
        <w:tc>
          <w:tcPr>
            <w:tcW w:w="1530" w:type="dxa"/>
            <w:shd w:val="clear" w:color="auto" w:fill="auto"/>
            <w:noWrap/>
            <w:vAlign w:val="bottom"/>
            <w:hideMark/>
          </w:tcPr>
          <w:p w14:paraId="0900B6BC"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Killingly</w:t>
            </w:r>
          </w:p>
        </w:tc>
        <w:tc>
          <w:tcPr>
            <w:tcW w:w="1083" w:type="dxa"/>
            <w:shd w:val="clear" w:color="auto" w:fill="auto"/>
            <w:noWrap/>
            <w:vAlign w:val="bottom"/>
            <w:hideMark/>
          </w:tcPr>
          <w:p w14:paraId="7B6F12F9"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17,233</w:t>
            </w:r>
          </w:p>
        </w:tc>
        <w:tc>
          <w:tcPr>
            <w:tcW w:w="1347" w:type="dxa"/>
            <w:shd w:val="clear" w:color="auto" w:fill="auto"/>
            <w:noWrap/>
            <w:vAlign w:val="bottom"/>
          </w:tcPr>
          <w:p w14:paraId="6F37E200" w14:textId="70543F6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$1,365 </w:t>
            </w:r>
          </w:p>
        </w:tc>
        <w:tc>
          <w:tcPr>
            <w:tcW w:w="900" w:type="dxa"/>
            <w:shd w:val="clear" w:color="auto" w:fill="auto"/>
            <w:noWrap/>
            <w:vAlign w:val="bottom"/>
          </w:tcPr>
          <w:p w14:paraId="4DE60A78" w14:textId="2330597D"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19.70</w:t>
            </w:r>
          </w:p>
        </w:tc>
        <w:tc>
          <w:tcPr>
            <w:tcW w:w="1260" w:type="dxa"/>
            <w:shd w:val="clear" w:color="auto" w:fill="auto"/>
            <w:noWrap/>
            <w:vAlign w:val="bottom"/>
          </w:tcPr>
          <w:p w14:paraId="0D2C69CD" w14:textId="586F369F"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$28.73 </w:t>
            </w:r>
          </w:p>
        </w:tc>
        <w:tc>
          <w:tcPr>
            <w:tcW w:w="1616" w:type="dxa"/>
            <w:shd w:val="clear" w:color="auto" w:fill="auto"/>
            <w:noWrap/>
            <w:vAlign w:val="bottom"/>
          </w:tcPr>
          <w:p w14:paraId="7BE38688" w14:textId="0E761FB9" w:rsidR="00F57BA5" w:rsidRPr="002A7643" w:rsidRDefault="00F57BA5" w:rsidP="00F57BA5">
            <w:pPr>
              <w:spacing w:after="0" w:line="240" w:lineRule="auto"/>
              <w:jc w:val="right"/>
              <w:rPr>
                <w:color w:val="000000"/>
                <w:sz w:val="20"/>
                <w:szCs w:val="20"/>
                <w:lang w:bidi="ar-SA"/>
              </w:rPr>
            </w:pPr>
            <w:r w:rsidRPr="002A7643">
              <w:rPr>
                <w:sz w:val="20"/>
                <w:szCs w:val="20"/>
              </w:rPr>
              <w:t>$1,702.2</w:t>
            </w:r>
          </w:p>
        </w:tc>
        <w:tc>
          <w:tcPr>
            <w:tcW w:w="1440" w:type="dxa"/>
            <w:shd w:val="clear" w:color="auto" w:fill="auto"/>
            <w:noWrap/>
            <w:vAlign w:val="bottom"/>
          </w:tcPr>
          <w:p w14:paraId="62ACFDEC" w14:textId="64ABAF88" w:rsidR="00F57BA5" w:rsidRPr="002A7643" w:rsidRDefault="00F57BA5" w:rsidP="00F57BA5">
            <w:pPr>
              <w:spacing w:after="0" w:line="240" w:lineRule="auto"/>
              <w:jc w:val="right"/>
              <w:rPr>
                <w:color w:val="000000"/>
                <w:sz w:val="20"/>
                <w:szCs w:val="20"/>
                <w:lang w:bidi="ar-SA"/>
              </w:rPr>
            </w:pPr>
            <w:r w:rsidRPr="002A7643">
              <w:rPr>
                <w:sz w:val="20"/>
                <w:szCs w:val="20"/>
              </w:rPr>
              <w:t xml:space="preserve">$98 </w:t>
            </w:r>
          </w:p>
        </w:tc>
        <w:tc>
          <w:tcPr>
            <w:tcW w:w="1530" w:type="dxa"/>
            <w:shd w:val="clear" w:color="auto" w:fill="auto"/>
            <w:noWrap/>
            <w:vAlign w:val="bottom"/>
          </w:tcPr>
          <w:p w14:paraId="219643F1" w14:textId="2979DE82" w:rsidR="00F57BA5" w:rsidRPr="002A7643" w:rsidRDefault="00F57BA5" w:rsidP="00F57BA5">
            <w:pPr>
              <w:spacing w:after="0" w:line="240" w:lineRule="auto"/>
              <w:jc w:val="right"/>
              <w:rPr>
                <w:color w:val="000000"/>
                <w:sz w:val="20"/>
                <w:szCs w:val="20"/>
                <w:lang w:bidi="ar-SA"/>
              </w:rPr>
            </w:pPr>
            <w:r w:rsidRPr="002A7643">
              <w:rPr>
                <w:sz w:val="20"/>
                <w:szCs w:val="20"/>
              </w:rPr>
              <w:t>$2,494.8</w:t>
            </w:r>
          </w:p>
        </w:tc>
        <w:tc>
          <w:tcPr>
            <w:tcW w:w="1444" w:type="dxa"/>
            <w:shd w:val="clear" w:color="auto" w:fill="auto"/>
            <w:noWrap/>
            <w:vAlign w:val="bottom"/>
          </w:tcPr>
          <w:p w14:paraId="1CB93C09" w14:textId="4359DC7F" w:rsidR="00F57BA5" w:rsidRPr="002A7643" w:rsidRDefault="00F57BA5" w:rsidP="00F57BA5">
            <w:pPr>
              <w:spacing w:after="0" w:line="240" w:lineRule="auto"/>
              <w:jc w:val="right"/>
              <w:rPr>
                <w:color w:val="000000"/>
                <w:sz w:val="20"/>
                <w:szCs w:val="20"/>
                <w:lang w:bidi="ar-SA"/>
              </w:rPr>
            </w:pPr>
            <w:r w:rsidRPr="002A7643">
              <w:rPr>
                <w:sz w:val="20"/>
                <w:szCs w:val="20"/>
              </w:rPr>
              <w:t>$78</w:t>
            </w:r>
          </w:p>
        </w:tc>
        <w:tc>
          <w:tcPr>
            <w:tcW w:w="918" w:type="dxa"/>
          </w:tcPr>
          <w:p w14:paraId="72CD0E5F" w14:textId="77777777" w:rsidR="00F57BA5" w:rsidRPr="002A7643" w:rsidRDefault="00F57BA5" w:rsidP="00F57BA5">
            <w:pPr>
              <w:spacing w:after="0" w:line="240" w:lineRule="auto"/>
              <w:jc w:val="right"/>
              <w:rPr>
                <w:sz w:val="20"/>
                <w:szCs w:val="20"/>
              </w:rPr>
            </w:pPr>
          </w:p>
        </w:tc>
      </w:tr>
      <w:tr w:rsidR="00F57BA5" w:rsidRPr="0049452D" w14:paraId="58D0BA45" w14:textId="3FAD393D" w:rsidTr="00F57BA5">
        <w:trPr>
          <w:trHeight w:hRule="exact" w:val="274"/>
        </w:trPr>
        <w:tc>
          <w:tcPr>
            <w:tcW w:w="1530" w:type="dxa"/>
            <w:shd w:val="clear" w:color="auto" w:fill="auto"/>
            <w:noWrap/>
            <w:vAlign w:val="bottom"/>
            <w:hideMark/>
          </w:tcPr>
          <w:p w14:paraId="649584D8"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North Canaan</w:t>
            </w:r>
          </w:p>
        </w:tc>
        <w:tc>
          <w:tcPr>
            <w:tcW w:w="1083" w:type="dxa"/>
            <w:shd w:val="clear" w:color="auto" w:fill="auto"/>
            <w:noWrap/>
            <w:vAlign w:val="bottom"/>
            <w:hideMark/>
          </w:tcPr>
          <w:p w14:paraId="57164B07"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3,241</w:t>
            </w:r>
          </w:p>
        </w:tc>
        <w:tc>
          <w:tcPr>
            <w:tcW w:w="1347" w:type="dxa"/>
            <w:shd w:val="clear" w:color="auto" w:fill="auto"/>
            <w:noWrap/>
            <w:vAlign w:val="bottom"/>
          </w:tcPr>
          <w:p w14:paraId="0D492F5A" w14:textId="6B1148BA"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$344 </w:t>
            </w:r>
          </w:p>
        </w:tc>
        <w:tc>
          <w:tcPr>
            <w:tcW w:w="900" w:type="dxa"/>
            <w:shd w:val="clear" w:color="auto" w:fill="auto"/>
            <w:noWrap/>
            <w:vAlign w:val="bottom"/>
          </w:tcPr>
          <w:p w14:paraId="4BAA4113" w14:textId="10E5D7D2"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21.50</w:t>
            </w:r>
          </w:p>
        </w:tc>
        <w:tc>
          <w:tcPr>
            <w:tcW w:w="1260" w:type="dxa"/>
            <w:shd w:val="clear" w:color="auto" w:fill="auto"/>
            <w:noWrap/>
            <w:vAlign w:val="bottom"/>
          </w:tcPr>
          <w:p w14:paraId="5D8F4447" w14:textId="3D8F6826"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$7.49 </w:t>
            </w:r>
          </w:p>
        </w:tc>
        <w:tc>
          <w:tcPr>
            <w:tcW w:w="1616" w:type="dxa"/>
            <w:shd w:val="clear" w:color="auto" w:fill="auto"/>
            <w:noWrap/>
            <w:vAlign w:val="bottom"/>
          </w:tcPr>
          <w:p w14:paraId="5C3B317B" w14:textId="696CC19C" w:rsidR="00F57BA5" w:rsidRPr="002A7643" w:rsidRDefault="00F57BA5" w:rsidP="00F57BA5">
            <w:pPr>
              <w:spacing w:after="0" w:line="240" w:lineRule="auto"/>
              <w:jc w:val="right"/>
              <w:rPr>
                <w:color w:val="000000"/>
                <w:sz w:val="20"/>
                <w:szCs w:val="20"/>
                <w:lang w:bidi="ar-SA"/>
              </w:rPr>
            </w:pPr>
            <w:r w:rsidRPr="002A7643">
              <w:rPr>
                <w:sz w:val="20"/>
                <w:szCs w:val="20"/>
              </w:rPr>
              <w:t>$70.3</w:t>
            </w:r>
          </w:p>
        </w:tc>
        <w:tc>
          <w:tcPr>
            <w:tcW w:w="1440" w:type="dxa"/>
            <w:shd w:val="clear" w:color="auto" w:fill="auto"/>
            <w:noWrap/>
            <w:vAlign w:val="bottom"/>
          </w:tcPr>
          <w:p w14:paraId="65E625C8" w14:textId="0C4C76D6" w:rsidR="00F57BA5" w:rsidRPr="002A7643" w:rsidRDefault="00F57BA5" w:rsidP="00F57BA5">
            <w:pPr>
              <w:spacing w:after="0" w:line="240" w:lineRule="auto"/>
              <w:jc w:val="right"/>
              <w:rPr>
                <w:color w:val="000000"/>
                <w:sz w:val="20"/>
                <w:szCs w:val="20"/>
                <w:lang w:bidi="ar-SA"/>
              </w:rPr>
            </w:pPr>
            <w:r w:rsidRPr="002A7643">
              <w:rPr>
                <w:sz w:val="20"/>
                <w:szCs w:val="20"/>
              </w:rPr>
              <w:t xml:space="preserve">$21 </w:t>
            </w:r>
          </w:p>
        </w:tc>
        <w:tc>
          <w:tcPr>
            <w:tcW w:w="1530" w:type="dxa"/>
            <w:shd w:val="clear" w:color="auto" w:fill="auto"/>
            <w:noWrap/>
            <w:vAlign w:val="bottom"/>
          </w:tcPr>
          <w:p w14:paraId="49444B4A" w14:textId="6C779833" w:rsidR="00F57BA5" w:rsidRPr="002A7643" w:rsidRDefault="00F57BA5" w:rsidP="00F57BA5">
            <w:pPr>
              <w:spacing w:after="0" w:line="240" w:lineRule="auto"/>
              <w:jc w:val="right"/>
              <w:rPr>
                <w:color w:val="000000"/>
                <w:sz w:val="20"/>
                <w:szCs w:val="20"/>
                <w:lang w:bidi="ar-SA"/>
              </w:rPr>
            </w:pPr>
            <w:r w:rsidRPr="002A7643">
              <w:rPr>
                <w:sz w:val="20"/>
                <w:szCs w:val="20"/>
              </w:rPr>
              <w:t>$136.9</w:t>
            </w:r>
          </w:p>
        </w:tc>
        <w:tc>
          <w:tcPr>
            <w:tcW w:w="1444" w:type="dxa"/>
            <w:shd w:val="clear" w:color="auto" w:fill="auto"/>
            <w:noWrap/>
            <w:vAlign w:val="bottom"/>
          </w:tcPr>
          <w:p w14:paraId="5C09235B" w14:textId="4316E007" w:rsidR="00F57BA5" w:rsidRPr="002A7643" w:rsidRDefault="00F57BA5" w:rsidP="00F57BA5">
            <w:pPr>
              <w:spacing w:after="0" w:line="240" w:lineRule="auto"/>
              <w:jc w:val="right"/>
              <w:rPr>
                <w:color w:val="000000"/>
                <w:sz w:val="20"/>
                <w:szCs w:val="20"/>
                <w:lang w:bidi="ar-SA"/>
              </w:rPr>
            </w:pPr>
            <w:r w:rsidRPr="002A7643">
              <w:rPr>
                <w:sz w:val="20"/>
                <w:szCs w:val="20"/>
              </w:rPr>
              <w:t>$90</w:t>
            </w:r>
          </w:p>
        </w:tc>
        <w:tc>
          <w:tcPr>
            <w:tcW w:w="918" w:type="dxa"/>
          </w:tcPr>
          <w:p w14:paraId="7379B432" w14:textId="77777777" w:rsidR="00F57BA5" w:rsidRPr="002A7643" w:rsidRDefault="00F57BA5" w:rsidP="00F57BA5">
            <w:pPr>
              <w:spacing w:after="0" w:line="240" w:lineRule="auto"/>
              <w:jc w:val="right"/>
              <w:rPr>
                <w:sz w:val="20"/>
                <w:szCs w:val="20"/>
              </w:rPr>
            </w:pPr>
          </w:p>
        </w:tc>
      </w:tr>
      <w:tr w:rsidR="00F57BA5" w:rsidRPr="0049452D" w14:paraId="28985405" w14:textId="1F02D69B" w:rsidTr="00F57BA5">
        <w:trPr>
          <w:trHeight w:hRule="exact" w:val="274"/>
        </w:trPr>
        <w:tc>
          <w:tcPr>
            <w:tcW w:w="1530" w:type="dxa"/>
            <w:shd w:val="clear" w:color="auto" w:fill="auto"/>
            <w:noWrap/>
            <w:vAlign w:val="bottom"/>
            <w:hideMark/>
          </w:tcPr>
          <w:p w14:paraId="5A86C322"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Plainfield</w:t>
            </w:r>
          </w:p>
        </w:tc>
        <w:tc>
          <w:tcPr>
            <w:tcW w:w="1083" w:type="dxa"/>
            <w:shd w:val="clear" w:color="auto" w:fill="auto"/>
            <w:noWrap/>
            <w:vAlign w:val="bottom"/>
            <w:hideMark/>
          </w:tcPr>
          <w:p w14:paraId="7EF8C691"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15,228</w:t>
            </w:r>
          </w:p>
        </w:tc>
        <w:tc>
          <w:tcPr>
            <w:tcW w:w="1347" w:type="dxa"/>
            <w:shd w:val="clear" w:color="auto" w:fill="auto"/>
            <w:noWrap/>
            <w:vAlign w:val="bottom"/>
          </w:tcPr>
          <w:p w14:paraId="28E69300" w14:textId="11200095"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$1,035 </w:t>
            </w:r>
          </w:p>
        </w:tc>
        <w:tc>
          <w:tcPr>
            <w:tcW w:w="900" w:type="dxa"/>
            <w:shd w:val="clear" w:color="auto" w:fill="auto"/>
            <w:noWrap/>
            <w:vAlign w:val="bottom"/>
          </w:tcPr>
          <w:p w14:paraId="30A23740" w14:textId="5C954ABC"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21.52</w:t>
            </w:r>
          </w:p>
        </w:tc>
        <w:tc>
          <w:tcPr>
            <w:tcW w:w="1260" w:type="dxa"/>
            <w:shd w:val="clear" w:color="auto" w:fill="auto"/>
            <w:noWrap/>
            <w:vAlign w:val="bottom"/>
          </w:tcPr>
          <w:p w14:paraId="5A2E5A54" w14:textId="419B5358"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$22.46 </w:t>
            </w:r>
          </w:p>
        </w:tc>
        <w:tc>
          <w:tcPr>
            <w:tcW w:w="1616" w:type="dxa"/>
            <w:shd w:val="clear" w:color="auto" w:fill="auto"/>
            <w:noWrap/>
            <w:vAlign w:val="bottom"/>
          </w:tcPr>
          <w:p w14:paraId="3F4C3EAE" w14:textId="5F9D3DFD" w:rsidR="00F57BA5" w:rsidRPr="002A7643" w:rsidRDefault="00F57BA5" w:rsidP="00F57BA5">
            <w:pPr>
              <w:spacing w:after="0" w:line="240" w:lineRule="auto"/>
              <w:jc w:val="right"/>
              <w:rPr>
                <w:color w:val="000000"/>
                <w:sz w:val="20"/>
                <w:szCs w:val="20"/>
                <w:lang w:bidi="ar-SA"/>
              </w:rPr>
            </w:pPr>
            <w:r w:rsidRPr="002A7643">
              <w:rPr>
                <w:sz w:val="20"/>
                <w:szCs w:val="20"/>
              </w:rPr>
              <w:t>$1,285.2</w:t>
            </w:r>
          </w:p>
        </w:tc>
        <w:tc>
          <w:tcPr>
            <w:tcW w:w="1440" w:type="dxa"/>
            <w:shd w:val="clear" w:color="auto" w:fill="auto"/>
            <w:noWrap/>
            <w:vAlign w:val="bottom"/>
          </w:tcPr>
          <w:p w14:paraId="6B0D5DD8" w14:textId="2E5FFDC2" w:rsidR="00F57BA5" w:rsidRPr="002A7643" w:rsidRDefault="00F57BA5" w:rsidP="00F57BA5">
            <w:pPr>
              <w:spacing w:after="0" w:line="240" w:lineRule="auto"/>
              <w:jc w:val="right"/>
              <w:rPr>
                <w:color w:val="000000"/>
                <w:sz w:val="20"/>
                <w:szCs w:val="20"/>
                <w:lang w:bidi="ar-SA"/>
              </w:rPr>
            </w:pPr>
            <w:r w:rsidRPr="002A7643">
              <w:rPr>
                <w:sz w:val="20"/>
                <w:szCs w:val="20"/>
              </w:rPr>
              <w:t xml:space="preserve">$84 </w:t>
            </w:r>
          </w:p>
        </w:tc>
        <w:tc>
          <w:tcPr>
            <w:tcW w:w="1530" w:type="dxa"/>
            <w:shd w:val="clear" w:color="auto" w:fill="auto"/>
            <w:noWrap/>
            <w:vAlign w:val="bottom"/>
          </w:tcPr>
          <w:p w14:paraId="7AD60FFE" w14:textId="3396D611" w:rsidR="00F57BA5" w:rsidRPr="002A7643" w:rsidRDefault="00F57BA5" w:rsidP="00F57BA5">
            <w:pPr>
              <w:spacing w:after="0" w:line="240" w:lineRule="auto"/>
              <w:jc w:val="right"/>
              <w:rPr>
                <w:color w:val="000000"/>
                <w:sz w:val="20"/>
                <w:szCs w:val="20"/>
                <w:lang w:bidi="ar-SA"/>
              </w:rPr>
            </w:pPr>
            <w:r w:rsidRPr="002A7643">
              <w:rPr>
                <w:sz w:val="20"/>
                <w:szCs w:val="20"/>
              </w:rPr>
              <w:t>$168.7</w:t>
            </w:r>
          </w:p>
        </w:tc>
        <w:tc>
          <w:tcPr>
            <w:tcW w:w="1444" w:type="dxa"/>
            <w:shd w:val="clear" w:color="auto" w:fill="auto"/>
            <w:noWrap/>
            <w:vAlign w:val="bottom"/>
          </w:tcPr>
          <w:p w14:paraId="01306C1A" w14:textId="3C9F14CE" w:rsidR="00F57BA5" w:rsidRPr="002A7643" w:rsidRDefault="00F57BA5" w:rsidP="00F57BA5">
            <w:pPr>
              <w:spacing w:after="0" w:line="240" w:lineRule="auto"/>
              <w:jc w:val="right"/>
              <w:rPr>
                <w:color w:val="000000"/>
                <w:sz w:val="20"/>
                <w:szCs w:val="20"/>
                <w:lang w:bidi="ar-SA"/>
              </w:rPr>
            </w:pPr>
            <w:r w:rsidRPr="002A7643">
              <w:rPr>
                <w:sz w:val="20"/>
                <w:szCs w:val="20"/>
              </w:rPr>
              <w:t>$113</w:t>
            </w:r>
          </w:p>
        </w:tc>
        <w:tc>
          <w:tcPr>
            <w:tcW w:w="918" w:type="dxa"/>
          </w:tcPr>
          <w:p w14:paraId="4AEFB646" w14:textId="77777777" w:rsidR="00F57BA5" w:rsidRPr="002A7643" w:rsidRDefault="00F57BA5" w:rsidP="00F57BA5">
            <w:pPr>
              <w:spacing w:after="0" w:line="240" w:lineRule="auto"/>
              <w:jc w:val="right"/>
              <w:rPr>
                <w:sz w:val="20"/>
                <w:szCs w:val="20"/>
              </w:rPr>
            </w:pPr>
          </w:p>
        </w:tc>
      </w:tr>
      <w:tr w:rsidR="00F57BA5" w:rsidRPr="0049452D" w14:paraId="3E397480" w14:textId="69307D95" w:rsidTr="00F57BA5">
        <w:trPr>
          <w:trHeight w:hRule="exact" w:val="274"/>
        </w:trPr>
        <w:tc>
          <w:tcPr>
            <w:tcW w:w="1530" w:type="dxa"/>
            <w:shd w:val="clear" w:color="auto" w:fill="auto"/>
            <w:noWrap/>
            <w:vAlign w:val="bottom"/>
            <w:hideMark/>
          </w:tcPr>
          <w:p w14:paraId="76DBFCFC"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Union</w:t>
            </w:r>
          </w:p>
        </w:tc>
        <w:tc>
          <w:tcPr>
            <w:tcW w:w="1083" w:type="dxa"/>
            <w:shd w:val="clear" w:color="auto" w:fill="auto"/>
            <w:noWrap/>
            <w:vAlign w:val="bottom"/>
            <w:hideMark/>
          </w:tcPr>
          <w:p w14:paraId="70854016"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848</w:t>
            </w:r>
          </w:p>
        </w:tc>
        <w:tc>
          <w:tcPr>
            <w:tcW w:w="1347" w:type="dxa"/>
            <w:shd w:val="clear" w:color="auto" w:fill="auto"/>
            <w:noWrap/>
            <w:vAlign w:val="bottom"/>
          </w:tcPr>
          <w:p w14:paraId="42F8859A" w14:textId="13C31518"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$98 </w:t>
            </w:r>
          </w:p>
        </w:tc>
        <w:tc>
          <w:tcPr>
            <w:tcW w:w="900" w:type="dxa"/>
            <w:shd w:val="clear" w:color="auto" w:fill="auto"/>
            <w:noWrap/>
            <w:vAlign w:val="bottom"/>
          </w:tcPr>
          <w:p w14:paraId="532A374A" w14:textId="6660F805"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23.59</w:t>
            </w:r>
          </w:p>
        </w:tc>
        <w:tc>
          <w:tcPr>
            <w:tcW w:w="1260" w:type="dxa"/>
            <w:shd w:val="clear" w:color="auto" w:fill="auto"/>
            <w:noWrap/>
            <w:vAlign w:val="bottom"/>
          </w:tcPr>
          <w:p w14:paraId="159803A0" w14:textId="7ED93321"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$2.31 </w:t>
            </w:r>
          </w:p>
        </w:tc>
        <w:tc>
          <w:tcPr>
            <w:tcW w:w="1616" w:type="dxa"/>
            <w:shd w:val="clear" w:color="auto" w:fill="auto"/>
            <w:noWrap/>
            <w:vAlign w:val="bottom"/>
          </w:tcPr>
          <w:p w14:paraId="03CFE0A1" w14:textId="3DEDF961" w:rsidR="00F57BA5" w:rsidRPr="002A7643" w:rsidRDefault="00F57BA5" w:rsidP="00F57BA5">
            <w:pPr>
              <w:spacing w:after="0" w:line="240" w:lineRule="auto"/>
              <w:jc w:val="right"/>
              <w:rPr>
                <w:color w:val="000000"/>
                <w:sz w:val="20"/>
                <w:szCs w:val="20"/>
                <w:lang w:bidi="ar-SA"/>
              </w:rPr>
            </w:pPr>
            <w:r w:rsidRPr="002A7643">
              <w:rPr>
                <w:sz w:val="20"/>
                <w:szCs w:val="20"/>
              </w:rPr>
              <w:t>$77.6</w:t>
            </w:r>
          </w:p>
        </w:tc>
        <w:tc>
          <w:tcPr>
            <w:tcW w:w="1440" w:type="dxa"/>
            <w:shd w:val="clear" w:color="auto" w:fill="auto"/>
            <w:noWrap/>
            <w:vAlign w:val="bottom"/>
          </w:tcPr>
          <w:p w14:paraId="58E92940" w14:textId="6D84D035" w:rsidR="00F57BA5" w:rsidRPr="002A7643" w:rsidRDefault="00F57BA5" w:rsidP="00F57BA5">
            <w:pPr>
              <w:spacing w:after="0" w:line="240" w:lineRule="auto"/>
              <w:jc w:val="right"/>
              <w:rPr>
                <w:color w:val="000000"/>
                <w:sz w:val="20"/>
                <w:szCs w:val="20"/>
                <w:lang w:bidi="ar-SA"/>
              </w:rPr>
            </w:pPr>
            <w:r w:rsidRPr="002A7643">
              <w:rPr>
                <w:sz w:val="20"/>
                <w:szCs w:val="20"/>
              </w:rPr>
              <w:t xml:space="preserve">$75 </w:t>
            </w:r>
          </w:p>
        </w:tc>
        <w:tc>
          <w:tcPr>
            <w:tcW w:w="1530" w:type="dxa"/>
            <w:shd w:val="clear" w:color="auto" w:fill="auto"/>
            <w:noWrap/>
            <w:vAlign w:val="bottom"/>
          </w:tcPr>
          <w:p w14:paraId="03E04EE6" w14:textId="1B347685" w:rsidR="00F57BA5" w:rsidRPr="002A7643" w:rsidRDefault="00F57BA5" w:rsidP="00F57BA5">
            <w:pPr>
              <w:spacing w:after="0" w:line="240" w:lineRule="auto"/>
              <w:jc w:val="right"/>
              <w:rPr>
                <w:color w:val="000000"/>
                <w:sz w:val="20"/>
                <w:szCs w:val="20"/>
                <w:lang w:bidi="ar-SA"/>
              </w:rPr>
            </w:pPr>
            <w:r w:rsidRPr="002A7643">
              <w:rPr>
                <w:sz w:val="20"/>
                <w:szCs w:val="20"/>
              </w:rPr>
              <w:t>$4,675.4</w:t>
            </w:r>
          </w:p>
        </w:tc>
        <w:tc>
          <w:tcPr>
            <w:tcW w:w="1444" w:type="dxa"/>
            <w:shd w:val="clear" w:color="auto" w:fill="auto"/>
            <w:noWrap/>
            <w:vAlign w:val="bottom"/>
          </w:tcPr>
          <w:p w14:paraId="4F3F8E71" w14:textId="46B38A22" w:rsidR="00F57BA5" w:rsidRPr="002A7643" w:rsidRDefault="00F57BA5" w:rsidP="00F57BA5">
            <w:pPr>
              <w:spacing w:after="0" w:line="240" w:lineRule="auto"/>
              <w:jc w:val="right"/>
              <w:rPr>
                <w:color w:val="000000"/>
                <w:sz w:val="20"/>
                <w:szCs w:val="20"/>
                <w:lang w:bidi="ar-SA"/>
              </w:rPr>
            </w:pPr>
            <w:r w:rsidRPr="002A7643">
              <w:rPr>
                <w:sz w:val="20"/>
                <w:szCs w:val="20"/>
              </w:rPr>
              <w:t>$116</w:t>
            </w:r>
          </w:p>
        </w:tc>
        <w:tc>
          <w:tcPr>
            <w:tcW w:w="918" w:type="dxa"/>
          </w:tcPr>
          <w:p w14:paraId="044EBB63" w14:textId="77777777" w:rsidR="00F57BA5" w:rsidRPr="002A7643" w:rsidRDefault="00F57BA5" w:rsidP="00F57BA5">
            <w:pPr>
              <w:spacing w:after="0" w:line="240" w:lineRule="auto"/>
              <w:jc w:val="right"/>
              <w:rPr>
                <w:sz w:val="20"/>
                <w:szCs w:val="20"/>
              </w:rPr>
            </w:pPr>
          </w:p>
        </w:tc>
      </w:tr>
      <w:tr w:rsidR="00F57BA5" w:rsidRPr="0049452D" w14:paraId="1573917D" w14:textId="5B777AE9" w:rsidTr="00F57BA5">
        <w:trPr>
          <w:trHeight w:hRule="exact" w:val="316"/>
        </w:trPr>
        <w:tc>
          <w:tcPr>
            <w:tcW w:w="1530" w:type="dxa"/>
            <w:tcBorders>
              <w:bottom w:val="single" w:sz="4" w:space="0" w:color="auto"/>
            </w:tcBorders>
            <w:shd w:val="clear" w:color="auto" w:fill="auto"/>
            <w:noWrap/>
            <w:vAlign w:val="bottom"/>
            <w:hideMark/>
          </w:tcPr>
          <w:p w14:paraId="3D372FA3" w14:textId="77777777" w:rsidR="00F57BA5" w:rsidRPr="0049452D" w:rsidRDefault="00F57BA5" w:rsidP="00F57BA5">
            <w:pPr>
              <w:spacing w:after="0" w:line="240" w:lineRule="auto"/>
              <w:rPr>
                <w:color w:val="000000"/>
                <w:sz w:val="20"/>
                <w:szCs w:val="20"/>
                <w:lang w:bidi="ar-SA"/>
              </w:rPr>
            </w:pPr>
            <w:r w:rsidRPr="0049452D">
              <w:rPr>
                <w:color w:val="000000"/>
                <w:sz w:val="20"/>
                <w:szCs w:val="20"/>
                <w:lang w:bidi="ar-SA"/>
              </w:rPr>
              <w:t xml:space="preserve">     Washington</w:t>
            </w:r>
          </w:p>
        </w:tc>
        <w:tc>
          <w:tcPr>
            <w:tcW w:w="1083" w:type="dxa"/>
            <w:tcBorders>
              <w:bottom w:val="single" w:sz="4" w:space="0" w:color="auto"/>
            </w:tcBorders>
            <w:shd w:val="clear" w:color="auto" w:fill="auto"/>
            <w:noWrap/>
            <w:vAlign w:val="bottom"/>
            <w:hideMark/>
          </w:tcPr>
          <w:p w14:paraId="092B5197" w14:textId="77777777"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3,526</w:t>
            </w:r>
          </w:p>
        </w:tc>
        <w:tc>
          <w:tcPr>
            <w:tcW w:w="1347" w:type="dxa"/>
            <w:tcBorders>
              <w:bottom w:val="single" w:sz="4" w:space="0" w:color="auto"/>
            </w:tcBorders>
            <w:shd w:val="clear" w:color="auto" w:fill="auto"/>
            <w:noWrap/>
            <w:vAlign w:val="bottom"/>
          </w:tcPr>
          <w:p w14:paraId="5DE5CB5F" w14:textId="3E0CFFB4"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$1,255 </w:t>
            </w:r>
          </w:p>
        </w:tc>
        <w:tc>
          <w:tcPr>
            <w:tcW w:w="900" w:type="dxa"/>
            <w:tcBorders>
              <w:bottom w:val="single" w:sz="4" w:space="0" w:color="auto"/>
            </w:tcBorders>
            <w:shd w:val="clear" w:color="auto" w:fill="auto"/>
            <w:noWrap/>
            <w:vAlign w:val="bottom"/>
          </w:tcPr>
          <w:p w14:paraId="53B7DA38" w14:textId="3117BCF9"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11.50</w:t>
            </w:r>
          </w:p>
        </w:tc>
        <w:tc>
          <w:tcPr>
            <w:tcW w:w="1260" w:type="dxa"/>
            <w:tcBorders>
              <w:bottom w:val="single" w:sz="4" w:space="0" w:color="auto"/>
            </w:tcBorders>
            <w:shd w:val="clear" w:color="auto" w:fill="auto"/>
            <w:noWrap/>
            <w:vAlign w:val="bottom"/>
          </w:tcPr>
          <w:p w14:paraId="4F3B86F6" w14:textId="6D8B62DC" w:rsidR="00F57BA5" w:rsidRPr="0049452D" w:rsidRDefault="00F57BA5" w:rsidP="00F57BA5">
            <w:pPr>
              <w:spacing w:after="0" w:line="240" w:lineRule="auto"/>
              <w:jc w:val="right"/>
              <w:rPr>
                <w:color w:val="000000"/>
                <w:sz w:val="20"/>
                <w:szCs w:val="20"/>
                <w:lang w:bidi="ar-SA"/>
              </w:rPr>
            </w:pPr>
            <w:r w:rsidRPr="0049452D">
              <w:rPr>
                <w:color w:val="000000"/>
                <w:sz w:val="20"/>
                <w:szCs w:val="20"/>
                <w:lang w:bidi="ar-SA"/>
              </w:rPr>
              <w:t xml:space="preserve">$14.38 </w:t>
            </w:r>
          </w:p>
        </w:tc>
        <w:tc>
          <w:tcPr>
            <w:tcW w:w="1616" w:type="dxa"/>
            <w:tcBorders>
              <w:bottom w:val="single" w:sz="4" w:space="0" w:color="auto"/>
            </w:tcBorders>
            <w:shd w:val="clear" w:color="auto" w:fill="auto"/>
            <w:noWrap/>
            <w:vAlign w:val="bottom"/>
          </w:tcPr>
          <w:p w14:paraId="39B5656F" w14:textId="70C70E91" w:rsidR="00F57BA5" w:rsidRPr="002A7643" w:rsidRDefault="00F57BA5" w:rsidP="00F57BA5">
            <w:pPr>
              <w:spacing w:after="0" w:line="240" w:lineRule="auto"/>
              <w:jc w:val="right"/>
              <w:rPr>
                <w:color w:val="000000"/>
                <w:sz w:val="20"/>
                <w:szCs w:val="20"/>
                <w:lang w:bidi="ar-SA"/>
              </w:rPr>
            </w:pPr>
            <w:r w:rsidRPr="002A7643">
              <w:rPr>
                <w:sz w:val="20"/>
                <w:szCs w:val="20"/>
              </w:rPr>
              <w:t>$453.2</w:t>
            </w:r>
          </w:p>
        </w:tc>
        <w:tc>
          <w:tcPr>
            <w:tcW w:w="1440" w:type="dxa"/>
            <w:tcBorders>
              <w:bottom w:val="single" w:sz="4" w:space="0" w:color="auto"/>
            </w:tcBorders>
            <w:shd w:val="clear" w:color="auto" w:fill="auto"/>
            <w:noWrap/>
            <w:vAlign w:val="bottom"/>
          </w:tcPr>
          <w:p w14:paraId="7F011389" w14:textId="1F86D72D" w:rsidR="00F57BA5" w:rsidRPr="002A7643" w:rsidRDefault="00F57BA5" w:rsidP="00F57BA5">
            <w:pPr>
              <w:spacing w:after="0" w:line="240" w:lineRule="auto"/>
              <w:jc w:val="right"/>
              <w:rPr>
                <w:color w:val="000000"/>
                <w:sz w:val="20"/>
                <w:szCs w:val="20"/>
                <w:lang w:bidi="ar-SA"/>
              </w:rPr>
            </w:pPr>
            <w:r w:rsidRPr="002A7643">
              <w:rPr>
                <w:sz w:val="20"/>
                <w:szCs w:val="20"/>
              </w:rPr>
              <w:t xml:space="preserve">$127 </w:t>
            </w:r>
          </w:p>
        </w:tc>
        <w:tc>
          <w:tcPr>
            <w:tcW w:w="1530" w:type="dxa"/>
            <w:tcBorders>
              <w:bottom w:val="single" w:sz="4" w:space="0" w:color="auto"/>
            </w:tcBorders>
            <w:shd w:val="clear" w:color="auto" w:fill="auto"/>
            <w:noWrap/>
            <w:vAlign w:val="bottom"/>
          </w:tcPr>
          <w:p w14:paraId="67576228" w14:textId="12F98EA0" w:rsidR="00F57BA5" w:rsidRPr="002A7643" w:rsidRDefault="00F57BA5" w:rsidP="00F57BA5">
            <w:pPr>
              <w:spacing w:after="0" w:line="240" w:lineRule="auto"/>
              <w:jc w:val="right"/>
              <w:rPr>
                <w:color w:val="000000"/>
                <w:sz w:val="20"/>
                <w:szCs w:val="20"/>
                <w:lang w:bidi="ar-SA"/>
              </w:rPr>
            </w:pPr>
            <w:r w:rsidRPr="002A7643">
              <w:rPr>
                <w:sz w:val="20"/>
                <w:szCs w:val="20"/>
              </w:rPr>
              <w:t>$2,658.2</w:t>
            </w:r>
          </w:p>
        </w:tc>
        <w:tc>
          <w:tcPr>
            <w:tcW w:w="1444" w:type="dxa"/>
            <w:tcBorders>
              <w:bottom w:val="single" w:sz="4" w:space="0" w:color="auto"/>
            </w:tcBorders>
            <w:shd w:val="clear" w:color="auto" w:fill="auto"/>
            <w:noWrap/>
            <w:vAlign w:val="bottom"/>
          </w:tcPr>
          <w:p w14:paraId="1E5D8E3F" w14:textId="0AE14939" w:rsidR="00F57BA5" w:rsidRPr="002A7643" w:rsidRDefault="00F57BA5" w:rsidP="00F57BA5">
            <w:pPr>
              <w:spacing w:after="0" w:line="240" w:lineRule="auto"/>
              <w:jc w:val="right"/>
              <w:rPr>
                <w:color w:val="000000"/>
                <w:sz w:val="20"/>
                <w:szCs w:val="20"/>
                <w:lang w:bidi="ar-SA"/>
              </w:rPr>
            </w:pPr>
            <w:r w:rsidRPr="002A7643">
              <w:rPr>
                <w:sz w:val="20"/>
                <w:szCs w:val="20"/>
              </w:rPr>
              <w:t>$136</w:t>
            </w:r>
          </w:p>
        </w:tc>
        <w:tc>
          <w:tcPr>
            <w:tcW w:w="918" w:type="dxa"/>
            <w:tcBorders>
              <w:bottom w:val="single" w:sz="4" w:space="0" w:color="auto"/>
            </w:tcBorders>
          </w:tcPr>
          <w:p w14:paraId="11B33475" w14:textId="77777777" w:rsidR="00F57BA5" w:rsidRPr="002A7643" w:rsidRDefault="00F57BA5" w:rsidP="00F57BA5">
            <w:pPr>
              <w:spacing w:after="0" w:line="240" w:lineRule="auto"/>
              <w:jc w:val="right"/>
              <w:rPr>
                <w:sz w:val="20"/>
                <w:szCs w:val="20"/>
              </w:rPr>
            </w:pPr>
          </w:p>
        </w:tc>
      </w:tr>
    </w:tbl>
    <w:p w14:paraId="2B27D661" w14:textId="52C92963" w:rsidR="00F57BA5" w:rsidRPr="00F57BA5" w:rsidRDefault="00F57BA5" w:rsidP="00F57BA5">
      <w:pPr>
        <w:pStyle w:val="Heading4"/>
        <w:rPr>
          <w:lang w:bidi="ar-SA"/>
        </w:rPr>
        <w:sectPr w:rsidR="00F57BA5" w:rsidRPr="00F57BA5" w:rsidSect="009F624A">
          <w:endnotePr>
            <w:numFmt w:val="decimal"/>
          </w:endnotePr>
          <w:pgSz w:w="15840" w:h="12240" w:orient="landscape"/>
          <w:pgMar w:top="1440" w:right="1440" w:bottom="1440" w:left="1440" w:header="720" w:footer="720" w:gutter="0"/>
          <w:cols w:space="720"/>
          <w:docGrid w:linePitch="360"/>
        </w:sectPr>
      </w:pPr>
      <w:bookmarkStart w:id="70" w:name="_Toc433373691"/>
      <w:r w:rsidRPr="00F57BA5">
        <w:rPr>
          <w:lang w:bidi="ar-SA"/>
        </w:rPr>
        <w:t>Table 3. Local and Regional Sales Taxes</w:t>
      </w:r>
      <w:bookmarkEnd w:id="70"/>
    </w:p>
    <w:p w14:paraId="54F478DC" w14:textId="329DB3C5" w:rsidR="00925950" w:rsidRPr="004803C4" w:rsidRDefault="00925950" w:rsidP="0031678C">
      <w:pPr>
        <w:pStyle w:val="Heading3"/>
      </w:pPr>
      <w:bookmarkStart w:id="71" w:name="_Toc433373652"/>
      <w:r w:rsidRPr="004803C4">
        <w:lastRenderedPageBreak/>
        <w:t>Equity/Fairness</w:t>
      </w:r>
      <w:bookmarkEnd w:id="71"/>
      <w:r w:rsidRPr="004803C4">
        <w:t xml:space="preserve"> </w:t>
      </w:r>
    </w:p>
    <w:p w14:paraId="41CD6A5C" w14:textId="13967237" w:rsidR="00925950" w:rsidRDefault="00C27350" w:rsidP="00925950">
      <w:pPr>
        <w:spacing w:after="0" w:line="360" w:lineRule="auto"/>
        <w:ind w:firstLine="720"/>
        <w:rPr>
          <w:color w:val="000000"/>
        </w:rPr>
      </w:pPr>
      <w:r>
        <w:rPr>
          <w:color w:val="000000"/>
        </w:rPr>
        <w:t>T</w:t>
      </w:r>
      <w:r w:rsidR="00395804">
        <w:rPr>
          <w:color w:val="000000"/>
        </w:rPr>
        <w:t xml:space="preserve">he sales tax </w:t>
      </w:r>
      <w:r w:rsidR="007209FC">
        <w:rPr>
          <w:color w:val="000000"/>
        </w:rPr>
        <w:t xml:space="preserve">in Connecticut </w:t>
      </w:r>
      <w:r w:rsidR="00395804">
        <w:rPr>
          <w:color w:val="000000"/>
        </w:rPr>
        <w:t>is more regressive than the property tax</w:t>
      </w:r>
      <w:r w:rsidR="007209FC">
        <w:rPr>
          <w:color w:val="000000"/>
        </w:rPr>
        <w:t xml:space="preserve"> (Institute on Taxation and Economic Policy 2015)</w:t>
      </w:r>
      <w:r w:rsidR="00395804">
        <w:rPr>
          <w:color w:val="000000"/>
        </w:rPr>
        <w:t>.</w:t>
      </w:r>
      <w:r w:rsidR="00925950" w:rsidRPr="003737CD">
        <w:rPr>
          <w:color w:val="000000"/>
        </w:rPr>
        <w:t xml:space="preserve"> However, the equity of the local sales tax will differ from the equity of the state sales tax if the local sales tax base differs f</w:t>
      </w:r>
      <w:r w:rsidR="00EF1D1B">
        <w:rPr>
          <w:color w:val="000000"/>
        </w:rPr>
        <w:t>rom</w:t>
      </w:r>
      <w:r w:rsidR="00925950" w:rsidRPr="003737CD">
        <w:rPr>
          <w:color w:val="000000"/>
        </w:rPr>
        <w:t xml:space="preserve"> the tax base for the state. </w:t>
      </w:r>
    </w:p>
    <w:p w14:paraId="05BDE920" w14:textId="0C6F2ED5" w:rsidR="00925950" w:rsidRDefault="00925950" w:rsidP="00925950">
      <w:pPr>
        <w:spacing w:after="0" w:line="360" w:lineRule="auto"/>
        <w:ind w:firstLine="720"/>
        <w:rPr>
          <w:color w:val="000000"/>
        </w:rPr>
      </w:pPr>
      <w:r>
        <w:rPr>
          <w:color w:val="000000"/>
        </w:rPr>
        <w:t xml:space="preserve">One might also be concerned with </w:t>
      </w:r>
      <w:r w:rsidR="00C27350">
        <w:rPr>
          <w:color w:val="000000"/>
        </w:rPr>
        <w:t xml:space="preserve">fiscal equity, i.e., </w:t>
      </w:r>
      <w:r>
        <w:rPr>
          <w:color w:val="000000"/>
        </w:rPr>
        <w:t xml:space="preserve">differences in the tax revenue per capita across towns. This was discussed above, where it was noted that there is a large variance </w:t>
      </w:r>
      <w:r w:rsidR="007209FC">
        <w:rPr>
          <w:color w:val="000000"/>
        </w:rPr>
        <w:t xml:space="preserve">across towns </w:t>
      </w:r>
      <w:r>
        <w:rPr>
          <w:color w:val="000000"/>
        </w:rPr>
        <w:t xml:space="preserve">in </w:t>
      </w:r>
      <w:r w:rsidR="007209FC">
        <w:rPr>
          <w:color w:val="000000"/>
        </w:rPr>
        <w:t>l</w:t>
      </w:r>
      <w:r>
        <w:rPr>
          <w:color w:val="000000"/>
        </w:rPr>
        <w:t xml:space="preserve">ocal </w:t>
      </w:r>
      <w:r w:rsidR="007209FC">
        <w:rPr>
          <w:color w:val="000000"/>
        </w:rPr>
        <w:t>s</w:t>
      </w:r>
      <w:r>
        <w:rPr>
          <w:color w:val="000000"/>
        </w:rPr>
        <w:t xml:space="preserve">ales </w:t>
      </w:r>
      <w:r w:rsidR="007209FC">
        <w:rPr>
          <w:color w:val="000000"/>
        </w:rPr>
        <w:t>t</w:t>
      </w:r>
      <w:r>
        <w:rPr>
          <w:color w:val="000000"/>
        </w:rPr>
        <w:t xml:space="preserve">ax revenue per capita. </w:t>
      </w:r>
    </w:p>
    <w:p w14:paraId="50E1DD1B" w14:textId="6489A838" w:rsidR="00925950" w:rsidRDefault="00925950" w:rsidP="00495617">
      <w:pPr>
        <w:spacing w:after="0" w:line="360" w:lineRule="auto"/>
        <w:ind w:firstLine="720"/>
        <w:rPr>
          <w:color w:val="000000"/>
        </w:rPr>
      </w:pPr>
      <w:r>
        <w:rPr>
          <w:color w:val="000000"/>
        </w:rPr>
        <w:t xml:space="preserve">One fairness issue concerns the link between the cost of public services and sales tax revenue. </w:t>
      </w:r>
      <w:r w:rsidRPr="00BB56D7">
        <w:rPr>
          <w:color w:val="000000"/>
        </w:rPr>
        <w:t>The sales tax in any given city will generate revenue from</w:t>
      </w:r>
      <w:r w:rsidRPr="00BB56D7">
        <w:rPr>
          <w:bCs/>
        </w:rPr>
        <w:t xml:space="preserve"> tourists, shoppers and commuters from other Connecticut cities and other states. </w:t>
      </w:r>
      <w:r w:rsidRPr="00BB56D7">
        <w:rPr>
          <w:color w:val="000000"/>
        </w:rPr>
        <w:t>This is especially true for cities that are</w:t>
      </w:r>
      <w:r>
        <w:rPr>
          <w:color w:val="000000"/>
        </w:rPr>
        <w:t xml:space="preserve"> large retail center. </w:t>
      </w:r>
      <w:r w:rsidRPr="00BB56D7">
        <w:rPr>
          <w:color w:val="000000"/>
        </w:rPr>
        <w:t xml:space="preserve">Thus, a </w:t>
      </w:r>
      <w:r>
        <w:rPr>
          <w:color w:val="000000"/>
        </w:rPr>
        <w:t>significant</w:t>
      </w:r>
      <w:r w:rsidRPr="00BB56D7">
        <w:rPr>
          <w:color w:val="000000"/>
        </w:rPr>
        <w:t xml:space="preserve"> percentage of local sales taxes that an individual pays is likely paid to a jurisdiction other than the jurisdiction of residence, and this percentage is likely to vary widely across jurisdictions.</w:t>
      </w:r>
      <w:r>
        <w:rPr>
          <w:color w:val="000000"/>
        </w:rPr>
        <w:t xml:space="preserve"> The likely result is that there will be differences across jurisdictions in the relationship between the benefits received from public services and the taxes paid. We are unable to estimate the percentage of sales tax revenue in any town that is paid by non-residents.</w:t>
      </w:r>
    </w:p>
    <w:p w14:paraId="03EC2609" w14:textId="77777777" w:rsidR="00925950" w:rsidRPr="004803C4" w:rsidRDefault="00925950" w:rsidP="0031678C">
      <w:pPr>
        <w:pStyle w:val="Heading3"/>
      </w:pPr>
      <w:bookmarkStart w:id="72" w:name="_Toc433373653"/>
      <w:r w:rsidRPr="004803C4">
        <w:t>Fiscal Disparities</w:t>
      </w:r>
      <w:bookmarkEnd w:id="72"/>
    </w:p>
    <w:p w14:paraId="4CA5F5FF" w14:textId="769CCFBD" w:rsidR="00925950" w:rsidRDefault="00925950" w:rsidP="00BA6ACD">
      <w:pPr>
        <w:spacing w:after="0" w:line="360" w:lineRule="auto"/>
        <w:ind w:firstLine="720"/>
        <w:rPr>
          <w:color w:val="000000"/>
        </w:rPr>
      </w:pPr>
      <w:r w:rsidRPr="003737CD">
        <w:rPr>
          <w:color w:val="000000"/>
        </w:rPr>
        <w:t>A recent report from the New England Public Policy Center at the Federal Reserve Bank of Boston (Zhao and Weiner 2015) provide</w:t>
      </w:r>
      <w:r>
        <w:rPr>
          <w:color w:val="000000"/>
        </w:rPr>
        <w:t>s an index</w:t>
      </w:r>
      <w:r w:rsidRPr="003737CD">
        <w:rPr>
          <w:color w:val="000000"/>
        </w:rPr>
        <w:t xml:space="preserve"> of fiscal </w:t>
      </w:r>
      <w:r w:rsidR="00EF1D1B">
        <w:rPr>
          <w:color w:val="000000"/>
        </w:rPr>
        <w:t>disparities</w:t>
      </w:r>
      <w:r w:rsidRPr="003737CD">
        <w:rPr>
          <w:color w:val="000000"/>
        </w:rPr>
        <w:t xml:space="preserve"> </w:t>
      </w:r>
      <w:r>
        <w:rPr>
          <w:color w:val="000000"/>
        </w:rPr>
        <w:t>for all</w:t>
      </w:r>
      <w:r w:rsidRPr="003737CD">
        <w:rPr>
          <w:color w:val="000000"/>
        </w:rPr>
        <w:t xml:space="preserve"> Connecticut cities</w:t>
      </w:r>
      <w:r>
        <w:rPr>
          <w:color w:val="000000"/>
        </w:rPr>
        <w:t xml:space="preserve"> (see c</w:t>
      </w:r>
      <w:r w:rsidRPr="00D939D6">
        <w:rPr>
          <w:color w:val="000000"/>
        </w:rPr>
        <w:t xml:space="preserve">olumn </w:t>
      </w:r>
      <w:r>
        <w:rPr>
          <w:color w:val="000000"/>
        </w:rPr>
        <w:t>5</w:t>
      </w:r>
      <w:r w:rsidRPr="00D939D6">
        <w:rPr>
          <w:color w:val="000000"/>
        </w:rPr>
        <w:t xml:space="preserve"> of </w:t>
      </w:r>
      <w:r>
        <w:rPr>
          <w:color w:val="000000"/>
        </w:rPr>
        <w:t>Appendix Table A1).</w:t>
      </w:r>
      <w:r w:rsidRPr="003737CD">
        <w:rPr>
          <w:color w:val="000000"/>
        </w:rPr>
        <w:t xml:space="preserve"> </w:t>
      </w:r>
      <w:r>
        <w:rPr>
          <w:color w:val="000000"/>
        </w:rPr>
        <w:t xml:space="preserve">The </w:t>
      </w:r>
      <w:r w:rsidR="00EF1D1B">
        <w:rPr>
          <w:color w:val="000000"/>
        </w:rPr>
        <w:t>index</w:t>
      </w:r>
      <w:r>
        <w:rPr>
          <w:color w:val="000000"/>
        </w:rPr>
        <w:t xml:space="preserve"> is the difference between the cost of providing non-school public services (costs) and the economic resources available to pay for those services (capacity). A larger positive (negative) number represents a larger (smaller) </w:t>
      </w:r>
      <w:r w:rsidR="00FF4666">
        <w:rPr>
          <w:color w:val="000000"/>
        </w:rPr>
        <w:t>disparities</w:t>
      </w:r>
      <w:r>
        <w:rPr>
          <w:color w:val="000000"/>
        </w:rPr>
        <w:t xml:space="preserve">, i.e., greater fiscal disparity since the cost of service exceeds (is less than) the resources. </w:t>
      </w:r>
      <w:r w:rsidRPr="003737CD">
        <w:rPr>
          <w:color w:val="000000"/>
        </w:rPr>
        <w:t xml:space="preserve">To better see the relationship between </w:t>
      </w:r>
      <w:r w:rsidR="00C27350">
        <w:rPr>
          <w:color w:val="000000"/>
        </w:rPr>
        <w:t>local government</w:t>
      </w:r>
      <w:r w:rsidRPr="003737CD">
        <w:rPr>
          <w:color w:val="000000"/>
        </w:rPr>
        <w:t xml:space="preserve"> sales taxes and fiscal disparities we plotted estimated </w:t>
      </w:r>
      <w:r w:rsidR="007209FC" w:rsidRPr="003737CD">
        <w:rPr>
          <w:color w:val="000000"/>
        </w:rPr>
        <w:t>revenue per capita</w:t>
      </w:r>
      <w:r w:rsidR="007209FC">
        <w:rPr>
          <w:color w:val="000000"/>
        </w:rPr>
        <w:t xml:space="preserve"> for the</w:t>
      </w:r>
      <w:r w:rsidR="007209FC" w:rsidRPr="003737CD">
        <w:rPr>
          <w:color w:val="000000"/>
        </w:rPr>
        <w:t xml:space="preserve"> </w:t>
      </w:r>
      <w:r w:rsidR="007209FC">
        <w:rPr>
          <w:color w:val="000000"/>
        </w:rPr>
        <w:t>L</w:t>
      </w:r>
      <w:r w:rsidR="00BA6ACD">
        <w:rPr>
          <w:color w:val="000000"/>
        </w:rPr>
        <w:t>ocal</w:t>
      </w:r>
      <w:r w:rsidR="007209FC">
        <w:rPr>
          <w:color w:val="000000"/>
        </w:rPr>
        <w:t xml:space="preserve"> Sales Tax</w:t>
      </w:r>
      <w:r w:rsidR="00BA6ACD">
        <w:rPr>
          <w:color w:val="000000"/>
        </w:rPr>
        <w:t xml:space="preserve"> and </w:t>
      </w:r>
      <w:r w:rsidR="007209FC">
        <w:rPr>
          <w:color w:val="000000"/>
        </w:rPr>
        <w:t>R</w:t>
      </w:r>
      <w:r w:rsidR="00BA6ACD">
        <w:rPr>
          <w:color w:val="000000"/>
        </w:rPr>
        <w:t xml:space="preserve">egional </w:t>
      </w:r>
      <w:r w:rsidR="007209FC">
        <w:rPr>
          <w:color w:val="000000"/>
        </w:rPr>
        <w:t>S</w:t>
      </w:r>
      <w:r w:rsidRPr="003737CD">
        <w:rPr>
          <w:color w:val="000000"/>
        </w:rPr>
        <w:t xml:space="preserve">ales </w:t>
      </w:r>
      <w:r w:rsidR="007209FC">
        <w:rPr>
          <w:color w:val="000000"/>
        </w:rPr>
        <w:t>T</w:t>
      </w:r>
      <w:r w:rsidRPr="003737CD">
        <w:rPr>
          <w:color w:val="000000"/>
        </w:rPr>
        <w:t xml:space="preserve">ax </w:t>
      </w:r>
      <w:r>
        <w:rPr>
          <w:color w:val="000000"/>
        </w:rPr>
        <w:t>against</w:t>
      </w:r>
      <w:r w:rsidRPr="003737CD">
        <w:rPr>
          <w:color w:val="000000"/>
        </w:rPr>
        <w:t xml:space="preserve"> the fiscal disparity index</w:t>
      </w:r>
      <w:r w:rsidR="00BA6ACD">
        <w:rPr>
          <w:color w:val="000000"/>
        </w:rPr>
        <w:t xml:space="preserve"> in </w:t>
      </w:r>
      <w:r w:rsidRPr="00925950">
        <w:rPr>
          <w:color w:val="000000"/>
        </w:rPr>
        <w:t>Figure 4</w:t>
      </w:r>
      <w:r w:rsidR="00BA6ACD">
        <w:rPr>
          <w:color w:val="000000"/>
        </w:rPr>
        <w:t xml:space="preserve"> and Figure</w:t>
      </w:r>
      <w:r w:rsidRPr="00925950">
        <w:rPr>
          <w:color w:val="000000"/>
        </w:rPr>
        <w:t xml:space="preserve"> 5</w:t>
      </w:r>
      <w:r w:rsidR="00BA6ACD">
        <w:rPr>
          <w:color w:val="000000"/>
        </w:rPr>
        <w:t>, respectively</w:t>
      </w:r>
      <w:r w:rsidRPr="003737CD">
        <w:rPr>
          <w:color w:val="000000"/>
        </w:rPr>
        <w:t xml:space="preserve">. </w:t>
      </w:r>
      <w:r w:rsidR="007209FC">
        <w:rPr>
          <w:color w:val="000000"/>
        </w:rPr>
        <w:t xml:space="preserve">The correlation coefficient between the index and Local Sales Tax revenue per capita is -0.13, and -0.26 for the Regional Sales Tax, which suggests that larger sales tax revenues per capita are associated with towns with greater fiscal health. </w:t>
      </w:r>
      <w:r w:rsidRPr="003737CD">
        <w:rPr>
          <w:color w:val="000000"/>
        </w:rPr>
        <w:t>As can be seen</w:t>
      </w:r>
      <w:r w:rsidR="007209FC">
        <w:rPr>
          <w:color w:val="000000"/>
        </w:rPr>
        <w:t xml:space="preserve"> m</w:t>
      </w:r>
      <w:r w:rsidR="00EF1D1B">
        <w:rPr>
          <w:color w:val="000000"/>
        </w:rPr>
        <w:t>ost of the towns are concentrated near the zero value of the index, particularly for the Local Sales Tax. However,</w:t>
      </w:r>
      <w:r w:rsidR="007209FC">
        <w:rPr>
          <w:color w:val="000000"/>
        </w:rPr>
        <w:t xml:space="preserve"> even in the mass of towns near zero fiscal disparity, the correlations with sales tax revenues are about the same as reported </w:t>
      </w:r>
      <w:r w:rsidR="007209FC">
        <w:rPr>
          <w:color w:val="000000"/>
        </w:rPr>
        <w:lastRenderedPageBreak/>
        <w:t>above.</w:t>
      </w:r>
      <w:r w:rsidR="00EF1D1B">
        <w:rPr>
          <w:color w:val="000000"/>
        </w:rPr>
        <w:t xml:space="preserve"> </w:t>
      </w:r>
      <w:r w:rsidR="00BA6ACD">
        <w:rPr>
          <w:color w:val="000000"/>
        </w:rPr>
        <w:t>So, it appears that neither a local or regional sales tax will reduce the fiscal disparities between towns.</w:t>
      </w:r>
      <w:r w:rsidR="00C27350">
        <w:rPr>
          <w:color w:val="000000"/>
        </w:rPr>
        <w:t xml:space="preserve"> </w:t>
      </w:r>
    </w:p>
    <w:p w14:paraId="67928B84" w14:textId="7FC565E6" w:rsidR="00395804" w:rsidRPr="00454652" w:rsidRDefault="00454652" w:rsidP="009D2E18">
      <w:pPr>
        <w:pStyle w:val="Heading5"/>
      </w:pPr>
      <w:bookmarkStart w:id="73" w:name="_Toc433373706"/>
      <w:r w:rsidRPr="00454652">
        <w:t xml:space="preserve">Figure 4. Local Sales Tax and Fiscal </w:t>
      </w:r>
      <w:r w:rsidR="00EF1D1B">
        <w:t>Disparities</w:t>
      </w:r>
      <w:bookmarkEnd w:id="73"/>
    </w:p>
    <w:p w14:paraId="15DB16CC" w14:textId="77777777" w:rsidR="00925950" w:rsidRDefault="00925950" w:rsidP="009D2E18">
      <w:pPr>
        <w:spacing w:after="0" w:line="360" w:lineRule="auto"/>
        <w:rPr>
          <w:color w:val="000000"/>
        </w:rPr>
      </w:pPr>
      <w:r>
        <w:rPr>
          <w:noProof/>
          <w:lang w:bidi="ar-SA"/>
        </w:rPr>
        <w:drawing>
          <wp:inline distT="0" distB="0" distL="0" distR="0" wp14:anchorId="72D42160" wp14:editId="385A4481">
            <wp:extent cx="5760720" cy="329184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9521F8" w14:textId="653CA689" w:rsidR="00454652" w:rsidRPr="00454652" w:rsidRDefault="00454652" w:rsidP="009D2E18">
      <w:pPr>
        <w:pStyle w:val="Heading5"/>
      </w:pPr>
      <w:bookmarkStart w:id="74" w:name="_Toc433373707"/>
      <w:r w:rsidRPr="00454652">
        <w:t>Figure 5. Regional Sales Tax and Fiscal</w:t>
      </w:r>
      <w:r w:rsidR="00EF1D1B">
        <w:t xml:space="preserve"> Disparities</w:t>
      </w:r>
      <w:bookmarkEnd w:id="74"/>
    </w:p>
    <w:p w14:paraId="3EF9F900" w14:textId="14DB0AC2" w:rsidR="00AD75E6" w:rsidRDefault="00925950" w:rsidP="009D2E18">
      <w:pPr>
        <w:pStyle w:val="ListParagraph"/>
        <w:spacing w:after="0" w:line="360" w:lineRule="auto"/>
        <w:ind w:left="0"/>
        <w:rPr>
          <w:color w:val="000000"/>
        </w:rPr>
      </w:pPr>
      <w:r>
        <w:rPr>
          <w:noProof/>
          <w:lang w:bidi="ar-SA"/>
        </w:rPr>
        <w:drawing>
          <wp:inline distT="0" distB="0" distL="0" distR="0" wp14:anchorId="69494974" wp14:editId="1D746143">
            <wp:extent cx="5623560" cy="3162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59EBEE" w14:textId="77777777" w:rsidR="004C1BAF" w:rsidRDefault="004C1BAF" w:rsidP="00925950">
      <w:pPr>
        <w:pStyle w:val="ListParagraph"/>
        <w:spacing w:after="0" w:line="360" w:lineRule="auto"/>
        <w:ind w:left="360"/>
        <w:rPr>
          <w:color w:val="000000"/>
        </w:rPr>
      </w:pPr>
    </w:p>
    <w:p w14:paraId="637383D4" w14:textId="464F0549" w:rsidR="004C1BAF" w:rsidRDefault="004C1BAF" w:rsidP="004C1BAF">
      <w:pPr>
        <w:pStyle w:val="ListParagraph"/>
        <w:spacing w:after="0" w:line="360" w:lineRule="auto"/>
        <w:ind w:left="0"/>
        <w:rPr>
          <w:color w:val="000000"/>
        </w:rPr>
      </w:pPr>
      <w:r>
        <w:rPr>
          <w:color w:val="000000"/>
        </w:rPr>
        <w:lastRenderedPageBreak/>
        <w:tab/>
        <w:t xml:space="preserve">We also considered the relationship </w:t>
      </w:r>
      <w:r w:rsidR="007209FC">
        <w:rPr>
          <w:color w:val="000000"/>
        </w:rPr>
        <w:t xml:space="preserve">across towns </w:t>
      </w:r>
      <w:r>
        <w:rPr>
          <w:color w:val="000000"/>
        </w:rPr>
        <w:t>between sales tax base per capita and the property tax base (Grand List) per capita.</w:t>
      </w:r>
      <w:r w:rsidR="007209FC">
        <w:rPr>
          <w:color w:val="000000"/>
        </w:rPr>
        <w:t xml:space="preserve"> The relationship is similar to that shown in Figures 4 and 5</w:t>
      </w:r>
      <w:r>
        <w:rPr>
          <w:color w:val="000000"/>
        </w:rPr>
        <w:t xml:space="preserve">, </w:t>
      </w:r>
      <w:r w:rsidR="007209FC">
        <w:rPr>
          <w:color w:val="000000"/>
        </w:rPr>
        <w:t xml:space="preserve">i.e., </w:t>
      </w:r>
      <w:r>
        <w:rPr>
          <w:color w:val="000000"/>
        </w:rPr>
        <w:t xml:space="preserve">sales tax base per capita is positively related to the property tax base per capita, </w:t>
      </w:r>
      <w:r w:rsidR="007209FC">
        <w:rPr>
          <w:color w:val="000000"/>
        </w:rPr>
        <w:t xml:space="preserve">again </w:t>
      </w:r>
      <w:r>
        <w:rPr>
          <w:color w:val="000000"/>
        </w:rPr>
        <w:t>implying that a local sales tax will not do much to reduce fiscal disparities.</w:t>
      </w:r>
      <w:r w:rsidR="00036487">
        <w:rPr>
          <w:color w:val="000000"/>
        </w:rPr>
        <w:t xml:space="preserve"> This is not surprising since the correlation between the index of fiscal disparities and the Grand List per capita -0.47.</w:t>
      </w:r>
    </w:p>
    <w:p w14:paraId="516F7434" w14:textId="33520042" w:rsidR="00A422B9" w:rsidRPr="00345887" w:rsidRDefault="00DE60F7" w:rsidP="0031678C">
      <w:pPr>
        <w:pStyle w:val="Heading2"/>
      </w:pPr>
      <w:bookmarkStart w:id="75" w:name="_Toc433373654"/>
      <w:r w:rsidRPr="00345887">
        <w:t xml:space="preserve">Summary </w:t>
      </w:r>
      <w:r w:rsidR="003D16F5" w:rsidRPr="00345887">
        <w:t>Discussion Regarding Adopting a Local Sales Tax</w:t>
      </w:r>
      <w:bookmarkEnd w:id="75"/>
      <w:r w:rsidR="00367D82" w:rsidRPr="00345887">
        <w:t xml:space="preserve"> </w:t>
      </w:r>
    </w:p>
    <w:p w14:paraId="43862DC0" w14:textId="0E360E51" w:rsidR="00DE60F7" w:rsidRDefault="00DE60F7" w:rsidP="00D422A0">
      <w:pPr>
        <w:spacing w:after="0" w:line="360" w:lineRule="auto"/>
        <w:ind w:firstLine="720"/>
        <w:rPr>
          <w:color w:val="000000"/>
        </w:rPr>
      </w:pPr>
      <w:r w:rsidRPr="00DE60F7">
        <w:rPr>
          <w:color w:val="000000"/>
        </w:rPr>
        <w:t xml:space="preserve">The following are relevant points in considering the adoption of local </w:t>
      </w:r>
      <w:r w:rsidR="00AB7042">
        <w:rPr>
          <w:color w:val="000000"/>
        </w:rPr>
        <w:t xml:space="preserve">sales </w:t>
      </w:r>
      <w:r w:rsidRPr="00DE60F7">
        <w:rPr>
          <w:color w:val="000000"/>
        </w:rPr>
        <w:t>taxes.</w:t>
      </w:r>
    </w:p>
    <w:p w14:paraId="3221BFBE" w14:textId="6C629AFC" w:rsidR="00DE60F7" w:rsidRDefault="003D16F5" w:rsidP="00D422A0">
      <w:pPr>
        <w:pStyle w:val="ListParagraph"/>
        <w:numPr>
          <w:ilvl w:val="0"/>
          <w:numId w:val="3"/>
        </w:numPr>
        <w:spacing w:after="0" w:line="360" w:lineRule="auto"/>
        <w:rPr>
          <w:color w:val="000000"/>
        </w:rPr>
      </w:pPr>
      <w:r w:rsidRPr="00DE60F7">
        <w:rPr>
          <w:color w:val="000000"/>
        </w:rPr>
        <w:t xml:space="preserve">The principal reasons for </w:t>
      </w:r>
      <w:r w:rsidR="002470B6" w:rsidRPr="00DE60F7">
        <w:rPr>
          <w:color w:val="000000"/>
        </w:rPr>
        <w:t xml:space="preserve">a </w:t>
      </w:r>
      <w:r w:rsidRPr="00DE60F7">
        <w:rPr>
          <w:color w:val="000000"/>
        </w:rPr>
        <w:t xml:space="preserve">adopting local sales tax is that </w:t>
      </w:r>
      <w:r w:rsidR="002470B6" w:rsidRPr="00DE60F7">
        <w:rPr>
          <w:color w:val="000000"/>
        </w:rPr>
        <w:t>it will</w:t>
      </w:r>
      <w:r w:rsidRPr="00DE60F7">
        <w:rPr>
          <w:color w:val="000000"/>
        </w:rPr>
        <w:t xml:space="preserve"> diversi</w:t>
      </w:r>
      <w:r w:rsidR="004334D1">
        <w:rPr>
          <w:color w:val="000000"/>
        </w:rPr>
        <w:t>fy</w:t>
      </w:r>
      <w:r w:rsidRPr="00DE60F7">
        <w:rPr>
          <w:color w:val="000000"/>
        </w:rPr>
        <w:t xml:space="preserve"> the local revenue structure and </w:t>
      </w:r>
      <w:r w:rsidR="004334D1">
        <w:rPr>
          <w:color w:val="000000"/>
        </w:rPr>
        <w:t xml:space="preserve">the revenue </w:t>
      </w:r>
      <w:r w:rsidRPr="00DE60F7">
        <w:rPr>
          <w:color w:val="000000"/>
        </w:rPr>
        <w:t xml:space="preserve">can </w:t>
      </w:r>
      <w:r w:rsidR="004334D1">
        <w:rPr>
          <w:color w:val="000000"/>
        </w:rPr>
        <w:t xml:space="preserve">be used to </w:t>
      </w:r>
      <w:r w:rsidRPr="00DE60F7">
        <w:rPr>
          <w:color w:val="000000"/>
        </w:rPr>
        <w:t>reduce property tax</w:t>
      </w:r>
      <w:r w:rsidR="00C27350">
        <w:rPr>
          <w:color w:val="000000"/>
        </w:rPr>
        <w:t>es</w:t>
      </w:r>
      <w:r w:rsidRPr="00DE60F7">
        <w:rPr>
          <w:color w:val="000000"/>
        </w:rPr>
        <w:t xml:space="preserve">. </w:t>
      </w:r>
    </w:p>
    <w:p w14:paraId="63AAC7C6" w14:textId="4ACFFD29" w:rsidR="00DE60F7" w:rsidRDefault="003D16F5" w:rsidP="00D422A0">
      <w:pPr>
        <w:pStyle w:val="ListParagraph"/>
        <w:numPr>
          <w:ilvl w:val="0"/>
          <w:numId w:val="3"/>
        </w:numPr>
        <w:spacing w:after="0" w:line="360" w:lineRule="auto"/>
        <w:rPr>
          <w:color w:val="000000"/>
        </w:rPr>
      </w:pPr>
      <w:r w:rsidRPr="00DE60F7">
        <w:rPr>
          <w:color w:val="000000"/>
        </w:rPr>
        <w:t xml:space="preserve">A </w:t>
      </w:r>
      <w:r w:rsidR="00981F02">
        <w:rPr>
          <w:color w:val="000000"/>
        </w:rPr>
        <w:t xml:space="preserve">one </w:t>
      </w:r>
      <w:r w:rsidRPr="00DE60F7">
        <w:rPr>
          <w:color w:val="000000"/>
        </w:rPr>
        <w:t>percent local sales tax, if adopted statewide</w:t>
      </w:r>
      <w:r w:rsidR="008C6181" w:rsidRPr="00DE60F7">
        <w:rPr>
          <w:color w:val="000000"/>
        </w:rPr>
        <w:t xml:space="preserve"> and used just for property tax relief</w:t>
      </w:r>
      <w:r w:rsidRPr="00DE60F7">
        <w:rPr>
          <w:color w:val="000000"/>
        </w:rPr>
        <w:t xml:space="preserve">, could reduce property taxes by </w:t>
      </w:r>
      <w:r w:rsidR="008C6181" w:rsidRPr="00DE60F7">
        <w:rPr>
          <w:color w:val="000000"/>
        </w:rPr>
        <w:t xml:space="preserve">about </w:t>
      </w:r>
      <w:r w:rsidR="00A94466">
        <w:rPr>
          <w:color w:val="000000"/>
        </w:rPr>
        <w:t>6.1</w:t>
      </w:r>
      <w:r w:rsidR="008C6181" w:rsidRPr="00DE60F7">
        <w:rPr>
          <w:color w:val="000000"/>
        </w:rPr>
        <w:t xml:space="preserve"> percent</w:t>
      </w:r>
      <w:r w:rsidR="00AB7042">
        <w:rPr>
          <w:color w:val="000000"/>
        </w:rPr>
        <w:t>,</w:t>
      </w:r>
      <w:r w:rsidR="00F87636">
        <w:rPr>
          <w:color w:val="000000"/>
        </w:rPr>
        <w:t xml:space="preserve"> on average</w:t>
      </w:r>
      <w:r w:rsidR="008C6181" w:rsidRPr="00DE60F7">
        <w:rPr>
          <w:color w:val="000000"/>
        </w:rPr>
        <w:t xml:space="preserve">. </w:t>
      </w:r>
    </w:p>
    <w:p w14:paraId="1A6FAF51" w14:textId="77777777" w:rsidR="00DE60F7" w:rsidRDefault="003D16F5" w:rsidP="00D422A0">
      <w:pPr>
        <w:pStyle w:val="ListParagraph"/>
        <w:numPr>
          <w:ilvl w:val="0"/>
          <w:numId w:val="3"/>
        </w:numPr>
        <w:spacing w:after="0" w:line="360" w:lineRule="auto"/>
        <w:rPr>
          <w:color w:val="000000"/>
        </w:rPr>
      </w:pPr>
      <w:r w:rsidRPr="00DE60F7">
        <w:rPr>
          <w:color w:val="000000"/>
        </w:rPr>
        <w:t xml:space="preserve">If structured as an add-on to the state sales tax, the cost of administration and compliance would be small. </w:t>
      </w:r>
    </w:p>
    <w:p w14:paraId="6A862CF5" w14:textId="30E68F8F" w:rsidR="00DE60F7" w:rsidRDefault="00F87636" w:rsidP="00D422A0">
      <w:pPr>
        <w:pStyle w:val="ListParagraph"/>
        <w:numPr>
          <w:ilvl w:val="0"/>
          <w:numId w:val="3"/>
        </w:numPr>
        <w:spacing w:after="0" w:line="360" w:lineRule="auto"/>
        <w:rPr>
          <w:color w:val="000000"/>
        </w:rPr>
      </w:pPr>
      <w:r>
        <w:rPr>
          <w:color w:val="000000"/>
        </w:rPr>
        <w:t>A local sales tax</w:t>
      </w:r>
      <w:r w:rsidR="008C6181" w:rsidRPr="00DE60F7">
        <w:rPr>
          <w:color w:val="000000"/>
        </w:rPr>
        <w:t xml:space="preserve"> would generate tax revenu</w:t>
      </w:r>
      <w:r w:rsidR="00C27350">
        <w:rPr>
          <w:color w:val="000000"/>
        </w:rPr>
        <w:t>e from commuters and visitors,</w:t>
      </w:r>
      <w:r w:rsidR="008C6181" w:rsidRPr="00DE60F7">
        <w:rPr>
          <w:color w:val="000000"/>
        </w:rPr>
        <w:t xml:space="preserve"> thus offsetting some of the service costs associated with commuters and visitors.</w:t>
      </w:r>
      <w:r w:rsidR="0073042B">
        <w:rPr>
          <w:color w:val="000000"/>
        </w:rPr>
        <w:t xml:space="preserve"> </w:t>
      </w:r>
    </w:p>
    <w:p w14:paraId="61204113" w14:textId="096C9F55" w:rsidR="00DE60F7" w:rsidRDefault="008C6181" w:rsidP="00D422A0">
      <w:pPr>
        <w:pStyle w:val="ListParagraph"/>
        <w:numPr>
          <w:ilvl w:val="0"/>
          <w:numId w:val="3"/>
        </w:numPr>
        <w:spacing w:after="0" w:line="360" w:lineRule="auto"/>
        <w:rPr>
          <w:color w:val="000000"/>
        </w:rPr>
      </w:pPr>
      <w:r w:rsidRPr="00DE60F7">
        <w:rPr>
          <w:color w:val="000000"/>
        </w:rPr>
        <w:t>Sales tax revenue</w:t>
      </w:r>
      <w:r w:rsidR="00AB7042">
        <w:rPr>
          <w:color w:val="000000"/>
        </w:rPr>
        <w:t>s</w:t>
      </w:r>
      <w:r w:rsidRPr="00DE60F7">
        <w:rPr>
          <w:color w:val="000000"/>
        </w:rPr>
        <w:t xml:space="preserve"> per capita</w:t>
      </w:r>
      <w:r w:rsidR="00345887">
        <w:rPr>
          <w:color w:val="000000"/>
        </w:rPr>
        <w:t xml:space="preserve"> vary widely across towns, from $5 to $717 for the </w:t>
      </w:r>
      <w:r w:rsidR="004334D1">
        <w:rPr>
          <w:color w:val="000000"/>
        </w:rPr>
        <w:t>L</w:t>
      </w:r>
      <w:r w:rsidR="00345887">
        <w:rPr>
          <w:color w:val="000000"/>
        </w:rPr>
        <w:t>o</w:t>
      </w:r>
      <w:r w:rsidR="00A94466">
        <w:rPr>
          <w:color w:val="000000"/>
        </w:rPr>
        <w:t xml:space="preserve">cal </w:t>
      </w:r>
      <w:r w:rsidR="004334D1">
        <w:rPr>
          <w:color w:val="000000"/>
        </w:rPr>
        <w:t>S</w:t>
      </w:r>
      <w:r w:rsidR="00A94466">
        <w:rPr>
          <w:color w:val="000000"/>
        </w:rPr>
        <w:t xml:space="preserve">ales </w:t>
      </w:r>
      <w:r w:rsidR="004334D1">
        <w:rPr>
          <w:color w:val="000000"/>
        </w:rPr>
        <w:t>T</w:t>
      </w:r>
      <w:r w:rsidR="00A94466">
        <w:rPr>
          <w:color w:val="000000"/>
        </w:rPr>
        <w:t xml:space="preserve">ax </w:t>
      </w:r>
      <w:r w:rsidR="00345887">
        <w:rPr>
          <w:color w:val="000000"/>
        </w:rPr>
        <w:t>and</w:t>
      </w:r>
      <w:r w:rsidR="00A94466">
        <w:rPr>
          <w:color w:val="000000"/>
        </w:rPr>
        <w:t xml:space="preserve"> </w:t>
      </w:r>
      <w:r w:rsidR="00345887">
        <w:rPr>
          <w:color w:val="000000"/>
        </w:rPr>
        <w:t xml:space="preserve">from $42 to $230 for </w:t>
      </w:r>
      <w:r w:rsidR="00A94466">
        <w:rPr>
          <w:color w:val="000000"/>
        </w:rPr>
        <w:t xml:space="preserve">the </w:t>
      </w:r>
      <w:r w:rsidR="004334D1">
        <w:rPr>
          <w:color w:val="000000"/>
        </w:rPr>
        <w:t>R</w:t>
      </w:r>
      <w:r w:rsidR="00A94466">
        <w:rPr>
          <w:color w:val="000000"/>
        </w:rPr>
        <w:t xml:space="preserve">egional </w:t>
      </w:r>
      <w:r w:rsidR="004334D1">
        <w:rPr>
          <w:color w:val="000000"/>
        </w:rPr>
        <w:t>S</w:t>
      </w:r>
      <w:r w:rsidR="00A94466">
        <w:rPr>
          <w:color w:val="000000"/>
        </w:rPr>
        <w:t xml:space="preserve">ales </w:t>
      </w:r>
      <w:r w:rsidR="004334D1">
        <w:rPr>
          <w:color w:val="000000"/>
        </w:rPr>
        <w:t>T</w:t>
      </w:r>
      <w:r w:rsidR="00A94466">
        <w:rPr>
          <w:color w:val="000000"/>
        </w:rPr>
        <w:t>ax</w:t>
      </w:r>
      <w:r w:rsidR="00345887">
        <w:rPr>
          <w:color w:val="000000"/>
        </w:rPr>
        <w:t>.</w:t>
      </w:r>
      <w:r w:rsidR="00A94466">
        <w:rPr>
          <w:color w:val="000000"/>
        </w:rPr>
        <w:t xml:space="preserve"> </w:t>
      </w:r>
    </w:p>
    <w:p w14:paraId="284F5475" w14:textId="5204DB85" w:rsidR="00DE60F7" w:rsidRDefault="008C6181" w:rsidP="00D422A0">
      <w:pPr>
        <w:pStyle w:val="ListParagraph"/>
        <w:numPr>
          <w:ilvl w:val="0"/>
          <w:numId w:val="3"/>
        </w:numPr>
        <w:spacing w:after="0" w:line="360" w:lineRule="auto"/>
        <w:rPr>
          <w:color w:val="000000"/>
        </w:rPr>
      </w:pPr>
      <w:r w:rsidRPr="00DE60F7">
        <w:rPr>
          <w:color w:val="000000"/>
        </w:rPr>
        <w:t>Estimated sales tax revenue</w:t>
      </w:r>
      <w:r w:rsidR="00AB7042">
        <w:rPr>
          <w:color w:val="000000"/>
        </w:rPr>
        <w:t>s</w:t>
      </w:r>
      <w:r w:rsidRPr="00DE60F7">
        <w:rPr>
          <w:color w:val="000000"/>
        </w:rPr>
        <w:t xml:space="preserve"> per capita are </w:t>
      </w:r>
      <w:r w:rsidR="00345887">
        <w:rPr>
          <w:color w:val="000000"/>
        </w:rPr>
        <w:t xml:space="preserve">negatively </w:t>
      </w:r>
      <w:r w:rsidRPr="00DE60F7">
        <w:rPr>
          <w:color w:val="000000"/>
        </w:rPr>
        <w:t>correlated with a measure of fiscal disparity</w:t>
      </w:r>
      <w:r w:rsidR="00345887">
        <w:rPr>
          <w:color w:val="000000"/>
        </w:rPr>
        <w:t>, meaning that sales tax revenues per capita are higher the smaller the fiscal gap</w:t>
      </w:r>
      <w:r w:rsidRPr="00DE60F7">
        <w:rPr>
          <w:color w:val="000000"/>
        </w:rPr>
        <w:t>.</w:t>
      </w:r>
      <w:r w:rsidR="0073042B">
        <w:rPr>
          <w:color w:val="000000"/>
        </w:rPr>
        <w:t xml:space="preserve"> </w:t>
      </w:r>
    </w:p>
    <w:p w14:paraId="42649607" w14:textId="27292CFD" w:rsidR="00DE60F7" w:rsidRDefault="008C6181" w:rsidP="00D422A0">
      <w:pPr>
        <w:pStyle w:val="ListParagraph"/>
        <w:numPr>
          <w:ilvl w:val="0"/>
          <w:numId w:val="3"/>
        </w:numPr>
        <w:spacing w:after="0" w:line="360" w:lineRule="auto"/>
        <w:rPr>
          <w:color w:val="000000"/>
        </w:rPr>
      </w:pPr>
      <w:r w:rsidRPr="00DE60F7">
        <w:rPr>
          <w:color w:val="000000"/>
        </w:rPr>
        <w:t>Given the sales tax rates in border</w:t>
      </w:r>
      <w:r w:rsidR="00392BBA" w:rsidRPr="00DE60F7">
        <w:rPr>
          <w:color w:val="000000"/>
        </w:rPr>
        <w:t xml:space="preserve"> </w:t>
      </w:r>
      <w:r w:rsidRPr="00DE60F7">
        <w:rPr>
          <w:color w:val="000000"/>
        </w:rPr>
        <w:t xml:space="preserve">states, adding a </w:t>
      </w:r>
      <w:r w:rsidR="00981F02">
        <w:rPr>
          <w:color w:val="000000"/>
        </w:rPr>
        <w:t xml:space="preserve">one </w:t>
      </w:r>
      <w:r w:rsidRPr="00DE60F7">
        <w:rPr>
          <w:color w:val="000000"/>
        </w:rPr>
        <w:t xml:space="preserve">percent </w:t>
      </w:r>
      <w:r w:rsidR="00AB7042">
        <w:rPr>
          <w:color w:val="000000"/>
        </w:rPr>
        <w:t xml:space="preserve">local </w:t>
      </w:r>
      <w:r w:rsidRPr="00DE60F7">
        <w:rPr>
          <w:color w:val="000000"/>
        </w:rPr>
        <w:t xml:space="preserve">sales tax should not have a major effect on the </w:t>
      </w:r>
      <w:r w:rsidR="004334D1">
        <w:rPr>
          <w:color w:val="000000"/>
        </w:rPr>
        <w:t xml:space="preserve">interstate </w:t>
      </w:r>
      <w:r w:rsidRPr="00DE60F7">
        <w:rPr>
          <w:color w:val="000000"/>
        </w:rPr>
        <w:t>location of businesses.</w:t>
      </w:r>
      <w:r w:rsidR="00F159E8" w:rsidRPr="00DE60F7">
        <w:rPr>
          <w:color w:val="000000"/>
        </w:rPr>
        <w:t xml:space="preserve"> </w:t>
      </w:r>
    </w:p>
    <w:p w14:paraId="1238D663" w14:textId="1F815D06" w:rsidR="004334D1" w:rsidRDefault="004334D1" w:rsidP="00D422A0">
      <w:pPr>
        <w:pStyle w:val="ListParagraph"/>
        <w:numPr>
          <w:ilvl w:val="0"/>
          <w:numId w:val="3"/>
        </w:numPr>
        <w:spacing w:after="0" w:line="360" w:lineRule="auto"/>
        <w:rPr>
          <w:color w:val="000000"/>
        </w:rPr>
      </w:pPr>
      <w:r>
        <w:rPr>
          <w:color w:val="000000"/>
        </w:rPr>
        <w:t>Differences in local sales tax rates across town will result in some shifting of sales between towns</w:t>
      </w:r>
      <w:r w:rsidR="00606697">
        <w:rPr>
          <w:color w:val="000000"/>
        </w:rPr>
        <w:t xml:space="preserve"> similar to the shifting across state’s border</w:t>
      </w:r>
      <w:r>
        <w:rPr>
          <w:color w:val="000000"/>
        </w:rPr>
        <w:t>.</w:t>
      </w:r>
    </w:p>
    <w:p w14:paraId="28E19C2D" w14:textId="5BD4EA99" w:rsidR="00CC29C7" w:rsidRPr="00AB7042" w:rsidRDefault="00345887" w:rsidP="004C1BAF">
      <w:pPr>
        <w:pStyle w:val="ListParagraph"/>
        <w:numPr>
          <w:ilvl w:val="0"/>
          <w:numId w:val="3"/>
        </w:numPr>
        <w:spacing w:after="0" w:line="360" w:lineRule="auto"/>
        <w:rPr>
          <w:b/>
          <w:bCs/>
          <w:caps/>
        </w:rPr>
      </w:pPr>
      <w:r w:rsidRPr="00495617">
        <w:rPr>
          <w:color w:val="000000"/>
        </w:rPr>
        <w:t xml:space="preserve">If local governments adopt a sales tax, it is expected that towns will compete for sales tax base in </w:t>
      </w:r>
      <w:r w:rsidR="004334D1">
        <w:rPr>
          <w:color w:val="000000"/>
        </w:rPr>
        <w:t xml:space="preserve">a </w:t>
      </w:r>
      <w:r w:rsidRPr="00495617">
        <w:rPr>
          <w:color w:val="000000"/>
        </w:rPr>
        <w:t xml:space="preserve">way </w:t>
      </w:r>
      <w:r w:rsidR="004334D1">
        <w:rPr>
          <w:color w:val="000000"/>
        </w:rPr>
        <w:t>similar to how t</w:t>
      </w:r>
      <w:r w:rsidRPr="00495617">
        <w:rPr>
          <w:color w:val="000000"/>
        </w:rPr>
        <w:t>hey</w:t>
      </w:r>
      <w:r w:rsidR="004334D1">
        <w:rPr>
          <w:color w:val="000000"/>
        </w:rPr>
        <w:t xml:space="preserve"> currently</w:t>
      </w:r>
      <w:r w:rsidRPr="00495617">
        <w:rPr>
          <w:color w:val="000000"/>
        </w:rPr>
        <w:t xml:space="preserve"> compete for property tax base.</w:t>
      </w:r>
    </w:p>
    <w:p w14:paraId="331C375C" w14:textId="59CB7CA2" w:rsidR="00AB7042" w:rsidRPr="00AB7042" w:rsidRDefault="00AB7042" w:rsidP="004C1BAF">
      <w:pPr>
        <w:pStyle w:val="ListParagraph"/>
        <w:numPr>
          <w:ilvl w:val="0"/>
          <w:numId w:val="3"/>
        </w:numPr>
        <w:spacing w:after="0" w:line="360" w:lineRule="auto"/>
        <w:rPr>
          <w:b/>
          <w:bCs/>
          <w:caps/>
        </w:rPr>
      </w:pPr>
      <w:r>
        <w:rPr>
          <w:color w:val="000000"/>
        </w:rPr>
        <w:t>The sales tax is more regressive than the property tax.</w:t>
      </w:r>
    </w:p>
    <w:p w14:paraId="66BF73D4" w14:textId="465F52C6" w:rsidR="00AB7042" w:rsidRDefault="00B64827" w:rsidP="00B64827">
      <w:pPr>
        <w:spacing w:after="0" w:line="360" w:lineRule="auto"/>
        <w:rPr>
          <w:color w:val="000000"/>
        </w:rPr>
      </w:pPr>
      <w:r>
        <w:rPr>
          <w:color w:val="000000"/>
        </w:rPr>
        <w:t>Although not discussed above, it should be pointed out that a</w:t>
      </w:r>
      <w:r w:rsidR="00AB7042" w:rsidRPr="00B64827">
        <w:rPr>
          <w:color w:val="000000"/>
        </w:rPr>
        <w:t>dopting local sales taxes could preclude the state from increasing the state sales tax rate.</w:t>
      </w:r>
    </w:p>
    <w:p w14:paraId="5D3BBDC9" w14:textId="77777777" w:rsidR="004334D1" w:rsidRDefault="004334D1" w:rsidP="00B64827">
      <w:pPr>
        <w:spacing w:after="0" w:line="360" w:lineRule="auto"/>
        <w:rPr>
          <w:color w:val="000000"/>
        </w:rPr>
      </w:pPr>
    </w:p>
    <w:p w14:paraId="57ECBEC8" w14:textId="77777777" w:rsidR="004334D1" w:rsidRPr="00B64827" w:rsidRDefault="004334D1" w:rsidP="00B64827">
      <w:pPr>
        <w:spacing w:after="0" w:line="360" w:lineRule="auto"/>
        <w:rPr>
          <w:b/>
          <w:bCs/>
          <w:caps/>
        </w:rPr>
      </w:pPr>
    </w:p>
    <w:p w14:paraId="737790ED" w14:textId="72D2FDCC" w:rsidR="00096C9D" w:rsidRPr="009F624A" w:rsidRDefault="00096C9D" w:rsidP="00EF1C56">
      <w:pPr>
        <w:pStyle w:val="Heading1"/>
      </w:pPr>
      <w:bookmarkStart w:id="76" w:name="_Toc433373655"/>
      <w:r w:rsidRPr="009F624A">
        <w:t>Local Income Tax</w:t>
      </w:r>
      <w:r w:rsidR="009F624A">
        <w:t>es</w:t>
      </w:r>
      <w:bookmarkEnd w:id="76"/>
    </w:p>
    <w:p w14:paraId="4CFFCC5B" w14:textId="34054EA5" w:rsidR="00096C9D" w:rsidRPr="00345887" w:rsidRDefault="00096C9D" w:rsidP="00EF1C56">
      <w:pPr>
        <w:pStyle w:val="Heading2"/>
      </w:pPr>
      <w:bookmarkStart w:id="77" w:name="_Toc433373656"/>
      <w:r w:rsidRPr="00345887">
        <w:t>Reliance on Local Income Taxes</w:t>
      </w:r>
      <w:bookmarkEnd w:id="77"/>
    </w:p>
    <w:p w14:paraId="5D2CBD80" w14:textId="602BB81E" w:rsidR="00096C9D" w:rsidRDefault="00096C9D" w:rsidP="00D422A0">
      <w:pPr>
        <w:pStyle w:val="ListParagraph"/>
        <w:spacing w:after="0" w:line="360" w:lineRule="auto"/>
        <w:ind w:left="0"/>
        <w:rPr>
          <w:color w:val="000000"/>
        </w:rPr>
      </w:pPr>
      <w:r w:rsidRPr="00710363">
        <w:tab/>
      </w:r>
      <w:r w:rsidRPr="00710363">
        <w:rPr>
          <w:bCs/>
        </w:rPr>
        <w:t>In 20</w:t>
      </w:r>
      <w:r w:rsidR="00656975">
        <w:rPr>
          <w:bCs/>
        </w:rPr>
        <w:t>12</w:t>
      </w:r>
      <w:r w:rsidRPr="00710363">
        <w:rPr>
          <w:bCs/>
        </w:rPr>
        <w:t>, local income tax</w:t>
      </w:r>
      <w:r w:rsidR="00656975">
        <w:rPr>
          <w:bCs/>
        </w:rPr>
        <w:t>es were imposed in 12</w:t>
      </w:r>
      <w:r w:rsidRPr="00710363">
        <w:rPr>
          <w:bCs/>
        </w:rPr>
        <w:t xml:space="preserve"> states (Table </w:t>
      </w:r>
      <w:r w:rsidR="00F3671B">
        <w:rPr>
          <w:bCs/>
        </w:rPr>
        <w:t>4</w:t>
      </w:r>
      <w:r w:rsidRPr="00710363">
        <w:rPr>
          <w:bCs/>
        </w:rPr>
        <w:t>). New Jersey (Newark) and California (San Francisco</w:t>
      </w:r>
      <w:r w:rsidR="00CD4B8B">
        <w:rPr>
          <w:bCs/>
        </w:rPr>
        <w:t xml:space="preserve"> and Los Angeles</w:t>
      </w:r>
      <w:r w:rsidRPr="00710363">
        <w:rPr>
          <w:bCs/>
        </w:rPr>
        <w:t>) have local payroll taxes</w:t>
      </w:r>
      <w:r w:rsidR="00C33370">
        <w:rPr>
          <w:bCs/>
        </w:rPr>
        <w:t xml:space="preserve"> imposed on employers</w:t>
      </w:r>
      <w:r w:rsidRPr="00710363">
        <w:rPr>
          <w:bCs/>
        </w:rPr>
        <w:t xml:space="preserve">, but the Census Bureau does not classify them as income taxes and therefore does not report </w:t>
      </w:r>
      <w:r w:rsidR="00F87636">
        <w:rPr>
          <w:bCs/>
        </w:rPr>
        <w:t xml:space="preserve">the </w:t>
      </w:r>
      <w:r w:rsidRPr="00710363">
        <w:rPr>
          <w:bCs/>
        </w:rPr>
        <w:t>revenue as income tax</w:t>
      </w:r>
      <w:r w:rsidR="00F87636">
        <w:rPr>
          <w:bCs/>
        </w:rPr>
        <w:t xml:space="preserve"> revenue</w:t>
      </w:r>
      <w:r w:rsidRPr="00710363">
        <w:rPr>
          <w:bCs/>
        </w:rPr>
        <w:t>; thus these two st</w:t>
      </w:r>
      <w:r w:rsidR="00F52FE1">
        <w:rPr>
          <w:bCs/>
        </w:rPr>
        <w:t xml:space="preserve">ates are not included in Table </w:t>
      </w:r>
      <w:r w:rsidR="00F3671B">
        <w:rPr>
          <w:bCs/>
        </w:rPr>
        <w:t>4</w:t>
      </w:r>
      <w:r w:rsidRPr="00710363">
        <w:rPr>
          <w:bCs/>
        </w:rPr>
        <w:t>.</w:t>
      </w:r>
      <w:r>
        <w:rPr>
          <w:rStyle w:val="FootnoteReference"/>
          <w:bCs/>
        </w:rPr>
        <w:footnoteReference w:id="16"/>
      </w:r>
      <w:r w:rsidR="0073042B">
        <w:rPr>
          <w:bCs/>
        </w:rPr>
        <w:t xml:space="preserve"> </w:t>
      </w:r>
      <w:r w:rsidRPr="00710363">
        <w:rPr>
          <w:bCs/>
        </w:rPr>
        <w:t xml:space="preserve">In most states </w:t>
      </w:r>
      <w:r w:rsidR="00F52FE1">
        <w:rPr>
          <w:bCs/>
        </w:rPr>
        <w:t>that allow</w:t>
      </w:r>
      <w:r w:rsidRPr="00710363">
        <w:rPr>
          <w:bCs/>
        </w:rPr>
        <w:t xml:space="preserve"> local income taxes, very few local governments </w:t>
      </w:r>
      <w:r>
        <w:rPr>
          <w:bCs/>
        </w:rPr>
        <w:t xml:space="preserve">actually </w:t>
      </w:r>
      <w:r w:rsidRPr="00710363">
        <w:rPr>
          <w:bCs/>
        </w:rPr>
        <w:t>have local income or payroll taxes; for example, one city in Delaware, two cities in Missouri and in New York (including New York City), and two transit districts in Oregon have local income taxes.</w:t>
      </w:r>
      <w:r w:rsidR="0073042B">
        <w:rPr>
          <w:bCs/>
        </w:rPr>
        <w:t xml:space="preserve"> </w:t>
      </w:r>
      <w:r w:rsidR="00CD4B8B">
        <w:rPr>
          <w:bCs/>
        </w:rPr>
        <w:t>The s</w:t>
      </w:r>
      <w:r w:rsidR="00656975">
        <w:rPr>
          <w:bCs/>
        </w:rPr>
        <w:t xml:space="preserve">tates in which a substantial number of </w:t>
      </w:r>
      <w:r w:rsidR="00CD4B8B">
        <w:rPr>
          <w:bCs/>
        </w:rPr>
        <w:t>municipal or county</w:t>
      </w:r>
      <w:r w:rsidR="00656975">
        <w:rPr>
          <w:bCs/>
        </w:rPr>
        <w:t xml:space="preserve"> governments impose an income tax are </w:t>
      </w:r>
      <w:r w:rsidR="00255E9A" w:rsidRPr="00710363">
        <w:rPr>
          <w:bCs/>
        </w:rPr>
        <w:t>Maryland</w:t>
      </w:r>
      <w:r w:rsidR="00255E9A">
        <w:rPr>
          <w:bCs/>
        </w:rPr>
        <w:t>,</w:t>
      </w:r>
      <w:r w:rsidR="00255E9A" w:rsidRPr="00710363">
        <w:rPr>
          <w:bCs/>
        </w:rPr>
        <w:t xml:space="preserve"> Kentucky</w:t>
      </w:r>
      <w:r w:rsidR="00255E9A">
        <w:rPr>
          <w:bCs/>
        </w:rPr>
        <w:t>,</w:t>
      </w:r>
      <w:r w:rsidR="00255E9A" w:rsidRPr="00710363">
        <w:rPr>
          <w:bCs/>
        </w:rPr>
        <w:t xml:space="preserve"> Ohio</w:t>
      </w:r>
      <w:r w:rsidR="00255E9A">
        <w:rPr>
          <w:bCs/>
        </w:rPr>
        <w:t>, and</w:t>
      </w:r>
      <w:r w:rsidR="00255E9A" w:rsidRPr="00710363">
        <w:rPr>
          <w:bCs/>
        </w:rPr>
        <w:t xml:space="preserve"> </w:t>
      </w:r>
      <w:r w:rsidR="00656975" w:rsidRPr="00710363">
        <w:rPr>
          <w:bCs/>
        </w:rPr>
        <w:t>Pennsylvania</w:t>
      </w:r>
      <w:r w:rsidR="00656975">
        <w:rPr>
          <w:bCs/>
        </w:rPr>
        <w:t>.</w:t>
      </w:r>
      <w:r w:rsidR="00656975" w:rsidRPr="00710363">
        <w:rPr>
          <w:bCs/>
        </w:rPr>
        <w:t xml:space="preserve"> </w:t>
      </w:r>
      <w:r w:rsidR="00CD4B8B">
        <w:rPr>
          <w:bCs/>
        </w:rPr>
        <w:t>T</w:t>
      </w:r>
      <w:r w:rsidR="00CD4B8B" w:rsidRPr="00710363">
        <w:rPr>
          <w:bCs/>
        </w:rPr>
        <w:t>here has been little growth in local income taxes as a percentage of taxes since 1980</w:t>
      </w:r>
      <w:r w:rsidR="005B5A89">
        <w:rPr>
          <w:bCs/>
        </w:rPr>
        <w:t>, in fact m</w:t>
      </w:r>
      <w:r w:rsidR="00CD4B8B" w:rsidRPr="00710363">
        <w:t>ost large cities that currently use the income tax adopted it by 1970.</w:t>
      </w:r>
      <w:r w:rsidR="00395804">
        <w:rPr>
          <w:rStyle w:val="FootnoteReference"/>
        </w:rPr>
        <w:footnoteReference w:id="17"/>
      </w:r>
      <w:r w:rsidR="00CD4B8B" w:rsidRPr="00710363">
        <w:t xml:space="preserve"> </w:t>
      </w:r>
    </w:p>
    <w:p w14:paraId="7C72A499" w14:textId="75E0D3E4" w:rsidR="00EF6F64" w:rsidRPr="00EE3C2A" w:rsidRDefault="00EF6F64" w:rsidP="005831B2">
      <w:pPr>
        <w:pStyle w:val="Heading4"/>
        <w:rPr>
          <w:color w:val="000000"/>
          <w:sz w:val="23"/>
          <w:szCs w:val="23"/>
        </w:rPr>
      </w:pPr>
      <w:bookmarkStart w:id="78" w:name="_Toc433373692"/>
      <w:r w:rsidRPr="00EE3C2A">
        <w:t xml:space="preserve">Table </w:t>
      </w:r>
      <w:r w:rsidR="00F3671B">
        <w:t>4</w:t>
      </w:r>
      <w:r w:rsidRPr="00EE3C2A">
        <w:t xml:space="preserve">. Local </w:t>
      </w:r>
      <w:r>
        <w:t>Income</w:t>
      </w:r>
      <w:r w:rsidRPr="00EE3C2A">
        <w:t xml:space="preserve"> Tax Revenue as a Percent</w:t>
      </w:r>
      <w:r w:rsidR="00D32CF3">
        <w:t>age</w:t>
      </w:r>
      <w:r w:rsidRPr="00EE3C2A">
        <w:t xml:space="preserve"> of Local Tax Revenue, 20</w:t>
      </w:r>
      <w:r w:rsidR="00D32CF3">
        <w:t>12</w:t>
      </w:r>
      <w:bookmarkEnd w:id="78"/>
    </w:p>
    <w:tbl>
      <w:tblPr>
        <w:tblW w:w="7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7"/>
        <w:gridCol w:w="1890"/>
        <w:gridCol w:w="1980"/>
        <w:gridCol w:w="1890"/>
      </w:tblGrid>
      <w:tr w:rsidR="00EF6F64" w:rsidRPr="00530545" w14:paraId="1A0A29CF" w14:textId="77777777" w:rsidTr="00BA7354">
        <w:trPr>
          <w:trHeight w:hRule="exact" w:val="488"/>
        </w:trPr>
        <w:tc>
          <w:tcPr>
            <w:tcW w:w="2087" w:type="dxa"/>
            <w:tcBorders>
              <w:top w:val="single" w:sz="12" w:space="0" w:color="auto"/>
              <w:left w:val="nil"/>
              <w:bottom w:val="single" w:sz="12" w:space="0" w:color="auto"/>
              <w:right w:val="nil"/>
            </w:tcBorders>
            <w:shd w:val="clear" w:color="auto" w:fill="auto"/>
            <w:noWrap/>
            <w:tcMar>
              <w:top w:w="17" w:type="dxa"/>
              <w:left w:w="17" w:type="dxa"/>
              <w:bottom w:w="0" w:type="dxa"/>
              <w:right w:w="17" w:type="dxa"/>
            </w:tcMar>
            <w:vAlign w:val="bottom"/>
          </w:tcPr>
          <w:p w14:paraId="55216C81" w14:textId="77777777" w:rsidR="00EF6F64" w:rsidRPr="00530545" w:rsidRDefault="00EF6F64" w:rsidP="00D422A0">
            <w:pPr>
              <w:spacing w:after="0" w:line="240" w:lineRule="auto"/>
              <w:rPr>
                <w:b/>
              </w:rPr>
            </w:pPr>
            <w:r w:rsidRPr="00530545">
              <w:rPr>
                <w:b/>
              </w:rPr>
              <w:t>State</w:t>
            </w:r>
          </w:p>
        </w:tc>
        <w:tc>
          <w:tcPr>
            <w:tcW w:w="1890" w:type="dxa"/>
            <w:tcBorders>
              <w:top w:val="single" w:sz="12" w:space="0" w:color="auto"/>
              <w:left w:val="nil"/>
              <w:bottom w:val="single" w:sz="12" w:space="0" w:color="auto"/>
              <w:right w:val="single" w:sz="12" w:space="0" w:color="auto"/>
            </w:tcBorders>
            <w:shd w:val="clear" w:color="auto" w:fill="auto"/>
            <w:noWrap/>
            <w:tcMar>
              <w:top w:w="17" w:type="dxa"/>
              <w:left w:w="17" w:type="dxa"/>
              <w:bottom w:w="0" w:type="dxa"/>
              <w:right w:w="17" w:type="dxa"/>
            </w:tcMar>
            <w:vAlign w:val="bottom"/>
          </w:tcPr>
          <w:p w14:paraId="7E4C727E" w14:textId="77777777" w:rsidR="00EF6F64" w:rsidRPr="00530545" w:rsidRDefault="00EF6F64" w:rsidP="00D422A0">
            <w:pPr>
              <w:spacing w:after="0" w:line="240" w:lineRule="auto"/>
              <w:jc w:val="center"/>
              <w:rPr>
                <w:b/>
              </w:rPr>
            </w:pPr>
            <w:r>
              <w:rPr>
                <w:b/>
              </w:rPr>
              <w:t>Percent</w:t>
            </w:r>
          </w:p>
        </w:tc>
        <w:tc>
          <w:tcPr>
            <w:tcW w:w="1980" w:type="dxa"/>
            <w:tcBorders>
              <w:top w:val="single" w:sz="12" w:space="0" w:color="auto"/>
              <w:left w:val="single" w:sz="12" w:space="0" w:color="auto"/>
              <w:bottom w:val="single" w:sz="12" w:space="0" w:color="auto"/>
              <w:right w:val="nil"/>
            </w:tcBorders>
            <w:vAlign w:val="bottom"/>
          </w:tcPr>
          <w:p w14:paraId="55D13F9D" w14:textId="77777777" w:rsidR="00EF6F64" w:rsidRPr="00530545" w:rsidRDefault="00EF6F64" w:rsidP="00D422A0">
            <w:pPr>
              <w:spacing w:after="0" w:line="240" w:lineRule="auto"/>
              <w:ind w:left="90"/>
              <w:rPr>
                <w:b/>
              </w:rPr>
            </w:pPr>
            <w:r w:rsidRPr="00530545">
              <w:rPr>
                <w:b/>
              </w:rPr>
              <w:t>State</w:t>
            </w:r>
          </w:p>
        </w:tc>
        <w:tc>
          <w:tcPr>
            <w:tcW w:w="1890" w:type="dxa"/>
            <w:tcBorders>
              <w:top w:val="single" w:sz="12" w:space="0" w:color="auto"/>
              <w:left w:val="nil"/>
              <w:bottom w:val="single" w:sz="12" w:space="0" w:color="auto"/>
              <w:right w:val="nil"/>
            </w:tcBorders>
            <w:vAlign w:val="bottom"/>
          </w:tcPr>
          <w:p w14:paraId="3A6A45F2" w14:textId="77777777" w:rsidR="00EF6F64" w:rsidRPr="00530545" w:rsidRDefault="00EF6F64" w:rsidP="00D422A0">
            <w:pPr>
              <w:spacing w:after="0" w:line="240" w:lineRule="auto"/>
              <w:jc w:val="center"/>
              <w:rPr>
                <w:b/>
              </w:rPr>
            </w:pPr>
            <w:r>
              <w:rPr>
                <w:b/>
              </w:rPr>
              <w:t>Percent</w:t>
            </w:r>
          </w:p>
        </w:tc>
      </w:tr>
      <w:tr w:rsidR="00EF6F64" w:rsidRPr="00530545" w14:paraId="10EFB9DC" w14:textId="77777777" w:rsidTr="0073042B">
        <w:trPr>
          <w:trHeight w:hRule="exact" w:val="115"/>
        </w:trPr>
        <w:tc>
          <w:tcPr>
            <w:tcW w:w="2087" w:type="dxa"/>
            <w:tcBorders>
              <w:top w:val="single" w:sz="12" w:space="0" w:color="auto"/>
              <w:left w:val="nil"/>
              <w:bottom w:val="nil"/>
              <w:right w:val="nil"/>
            </w:tcBorders>
            <w:shd w:val="clear" w:color="auto" w:fill="auto"/>
            <w:noWrap/>
            <w:tcMar>
              <w:top w:w="17" w:type="dxa"/>
              <w:left w:w="17" w:type="dxa"/>
              <w:bottom w:w="0" w:type="dxa"/>
              <w:right w:w="17" w:type="dxa"/>
            </w:tcMar>
            <w:vAlign w:val="bottom"/>
          </w:tcPr>
          <w:p w14:paraId="12F2BC53" w14:textId="77777777" w:rsidR="00EF6F64" w:rsidRPr="00530545" w:rsidRDefault="00EF6F64" w:rsidP="00D422A0">
            <w:pPr>
              <w:spacing w:after="0" w:line="240" w:lineRule="auto"/>
            </w:pPr>
          </w:p>
        </w:tc>
        <w:tc>
          <w:tcPr>
            <w:tcW w:w="1890" w:type="dxa"/>
            <w:tcBorders>
              <w:top w:val="single" w:sz="12" w:space="0" w:color="auto"/>
              <w:left w:val="nil"/>
              <w:bottom w:val="nil"/>
              <w:right w:val="single" w:sz="12" w:space="0" w:color="auto"/>
            </w:tcBorders>
            <w:shd w:val="clear" w:color="auto" w:fill="auto"/>
            <w:noWrap/>
            <w:tcMar>
              <w:top w:w="17" w:type="dxa"/>
              <w:left w:w="17" w:type="dxa"/>
              <w:bottom w:w="0" w:type="dxa"/>
              <w:right w:w="17" w:type="dxa"/>
            </w:tcMar>
            <w:vAlign w:val="bottom"/>
          </w:tcPr>
          <w:p w14:paraId="052F72A1" w14:textId="77777777" w:rsidR="00EF6F64" w:rsidRPr="00530545" w:rsidRDefault="00EF6F64" w:rsidP="00D422A0">
            <w:pPr>
              <w:spacing w:after="0" w:line="240" w:lineRule="auto"/>
              <w:jc w:val="center"/>
            </w:pPr>
          </w:p>
        </w:tc>
        <w:tc>
          <w:tcPr>
            <w:tcW w:w="1980" w:type="dxa"/>
            <w:tcBorders>
              <w:top w:val="single" w:sz="12" w:space="0" w:color="auto"/>
              <w:left w:val="single" w:sz="12" w:space="0" w:color="auto"/>
              <w:bottom w:val="nil"/>
              <w:right w:val="nil"/>
            </w:tcBorders>
            <w:vAlign w:val="bottom"/>
          </w:tcPr>
          <w:p w14:paraId="084D3FFE" w14:textId="77777777" w:rsidR="00EF6F64" w:rsidRPr="00530545" w:rsidRDefault="00EF6F64" w:rsidP="00D422A0">
            <w:pPr>
              <w:spacing w:after="0" w:line="240" w:lineRule="auto"/>
            </w:pPr>
          </w:p>
        </w:tc>
        <w:tc>
          <w:tcPr>
            <w:tcW w:w="1890" w:type="dxa"/>
            <w:tcBorders>
              <w:top w:val="single" w:sz="12" w:space="0" w:color="auto"/>
              <w:left w:val="nil"/>
              <w:bottom w:val="nil"/>
              <w:right w:val="nil"/>
            </w:tcBorders>
            <w:vAlign w:val="bottom"/>
          </w:tcPr>
          <w:p w14:paraId="169C9AEA" w14:textId="77777777" w:rsidR="00EF6F64" w:rsidRPr="00530545" w:rsidRDefault="00EF6F64" w:rsidP="00D422A0">
            <w:pPr>
              <w:spacing w:after="0" w:line="240" w:lineRule="auto"/>
              <w:jc w:val="center"/>
            </w:pPr>
          </w:p>
        </w:tc>
      </w:tr>
      <w:tr w:rsidR="00CB3FC5" w:rsidRPr="00530545" w14:paraId="538CB897" w14:textId="77777777" w:rsidTr="0073042B">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57B9DEE6" w14:textId="69211224" w:rsidR="00CB3FC5" w:rsidRPr="00CB3FC5" w:rsidRDefault="00CB3FC5" w:rsidP="00D422A0">
            <w:pPr>
              <w:spacing w:after="0" w:line="240" w:lineRule="auto"/>
            </w:pPr>
            <w:r w:rsidRPr="00CB3FC5">
              <w:rPr>
                <w:color w:val="000000"/>
                <w:sz w:val="22"/>
                <w:szCs w:val="22"/>
              </w:rPr>
              <w:t>Maryland</w:t>
            </w:r>
          </w:p>
        </w:tc>
        <w:tc>
          <w:tcPr>
            <w:tcW w:w="189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10A8FD51" w14:textId="34C1E3AB" w:rsidR="00CB3FC5" w:rsidRPr="00CB3FC5" w:rsidRDefault="00CB3FC5" w:rsidP="00D422A0">
            <w:pPr>
              <w:spacing w:after="0" w:line="240" w:lineRule="auto"/>
              <w:jc w:val="center"/>
            </w:pPr>
            <w:r w:rsidRPr="00CB3FC5">
              <w:rPr>
                <w:color w:val="000000"/>
                <w:sz w:val="22"/>
                <w:szCs w:val="22"/>
              </w:rPr>
              <w:t>33.3%</w:t>
            </w:r>
          </w:p>
        </w:tc>
        <w:tc>
          <w:tcPr>
            <w:tcW w:w="1980" w:type="dxa"/>
            <w:tcBorders>
              <w:top w:val="nil"/>
              <w:left w:val="single" w:sz="12" w:space="0" w:color="auto"/>
              <w:bottom w:val="nil"/>
              <w:right w:val="nil"/>
            </w:tcBorders>
            <w:vAlign w:val="bottom"/>
          </w:tcPr>
          <w:p w14:paraId="3E0AC526" w14:textId="48865DCA" w:rsidR="00CB3FC5" w:rsidRPr="00CB3FC5" w:rsidRDefault="00CB3FC5" w:rsidP="00D422A0">
            <w:pPr>
              <w:spacing w:after="0" w:line="240" w:lineRule="auto"/>
            </w:pPr>
            <w:r w:rsidRPr="00CB3FC5">
              <w:rPr>
                <w:color w:val="000000"/>
                <w:sz w:val="22"/>
                <w:szCs w:val="22"/>
              </w:rPr>
              <w:t>Delaware</w:t>
            </w:r>
          </w:p>
        </w:tc>
        <w:tc>
          <w:tcPr>
            <w:tcW w:w="1890" w:type="dxa"/>
            <w:tcBorders>
              <w:top w:val="nil"/>
              <w:left w:val="nil"/>
              <w:bottom w:val="nil"/>
              <w:right w:val="nil"/>
            </w:tcBorders>
            <w:vAlign w:val="bottom"/>
          </w:tcPr>
          <w:p w14:paraId="3E3A098A" w14:textId="65C8E6CC" w:rsidR="00CB3FC5" w:rsidRPr="00CB3FC5" w:rsidRDefault="00CB3FC5" w:rsidP="00D422A0">
            <w:pPr>
              <w:spacing w:after="0" w:line="240" w:lineRule="auto"/>
              <w:jc w:val="center"/>
            </w:pPr>
            <w:r w:rsidRPr="00CB3FC5">
              <w:rPr>
                <w:color w:val="000000"/>
                <w:sz w:val="22"/>
                <w:szCs w:val="22"/>
              </w:rPr>
              <w:t>6.6%</w:t>
            </w:r>
          </w:p>
        </w:tc>
      </w:tr>
      <w:tr w:rsidR="00CB3FC5" w:rsidRPr="00530545" w14:paraId="3AD393FA" w14:textId="77777777" w:rsidTr="0073042B">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5892614E" w14:textId="0D47E2E1" w:rsidR="00CB3FC5" w:rsidRPr="00CB3FC5" w:rsidRDefault="00CB3FC5" w:rsidP="00D422A0">
            <w:pPr>
              <w:spacing w:after="0" w:line="240" w:lineRule="auto"/>
            </w:pPr>
            <w:r w:rsidRPr="00CB3FC5">
              <w:rPr>
                <w:color w:val="000000"/>
                <w:sz w:val="22"/>
                <w:szCs w:val="22"/>
              </w:rPr>
              <w:t>Kentucky</w:t>
            </w:r>
          </w:p>
        </w:tc>
        <w:tc>
          <w:tcPr>
            <w:tcW w:w="189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02ABCF1F" w14:textId="19D7775B" w:rsidR="00CB3FC5" w:rsidRPr="00CB3FC5" w:rsidRDefault="00CB3FC5" w:rsidP="00D422A0">
            <w:pPr>
              <w:spacing w:after="0" w:line="240" w:lineRule="auto"/>
              <w:jc w:val="center"/>
            </w:pPr>
            <w:r w:rsidRPr="00CB3FC5">
              <w:rPr>
                <w:color w:val="000000"/>
                <w:sz w:val="22"/>
                <w:szCs w:val="22"/>
              </w:rPr>
              <w:t>26.4%</w:t>
            </w:r>
          </w:p>
        </w:tc>
        <w:tc>
          <w:tcPr>
            <w:tcW w:w="1980" w:type="dxa"/>
            <w:tcBorders>
              <w:top w:val="nil"/>
              <w:left w:val="single" w:sz="12" w:space="0" w:color="auto"/>
              <w:bottom w:val="nil"/>
              <w:right w:val="nil"/>
            </w:tcBorders>
            <w:vAlign w:val="bottom"/>
          </w:tcPr>
          <w:p w14:paraId="14358D50" w14:textId="674B06D6" w:rsidR="00CB3FC5" w:rsidRPr="00CB3FC5" w:rsidRDefault="00CB3FC5" w:rsidP="00D422A0">
            <w:pPr>
              <w:spacing w:after="0" w:line="240" w:lineRule="auto"/>
            </w:pPr>
            <w:r w:rsidRPr="00CB3FC5">
              <w:rPr>
                <w:color w:val="000000"/>
                <w:sz w:val="22"/>
                <w:szCs w:val="22"/>
              </w:rPr>
              <w:t>Missouri</w:t>
            </w:r>
          </w:p>
        </w:tc>
        <w:tc>
          <w:tcPr>
            <w:tcW w:w="1890" w:type="dxa"/>
            <w:tcBorders>
              <w:top w:val="nil"/>
              <w:left w:val="nil"/>
              <w:bottom w:val="nil"/>
              <w:right w:val="nil"/>
            </w:tcBorders>
            <w:vAlign w:val="bottom"/>
          </w:tcPr>
          <w:p w14:paraId="657B009E" w14:textId="44521AB5" w:rsidR="00CB3FC5" w:rsidRPr="00CB3FC5" w:rsidRDefault="00CB3FC5" w:rsidP="00D422A0">
            <w:pPr>
              <w:spacing w:after="0" w:line="240" w:lineRule="auto"/>
              <w:jc w:val="center"/>
            </w:pPr>
            <w:r w:rsidRPr="00CB3FC5">
              <w:rPr>
                <w:color w:val="000000"/>
                <w:sz w:val="22"/>
                <w:szCs w:val="22"/>
              </w:rPr>
              <w:t>3.7%</w:t>
            </w:r>
          </w:p>
        </w:tc>
      </w:tr>
      <w:tr w:rsidR="00CB3FC5" w:rsidRPr="00530545" w14:paraId="26DF7994" w14:textId="77777777" w:rsidTr="0073042B">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61E0AAD8" w14:textId="7A0A9893" w:rsidR="00CB3FC5" w:rsidRPr="00CB3FC5" w:rsidRDefault="00CB3FC5" w:rsidP="00D422A0">
            <w:pPr>
              <w:spacing w:after="0" w:line="240" w:lineRule="auto"/>
            </w:pPr>
            <w:r w:rsidRPr="00CB3FC5">
              <w:rPr>
                <w:color w:val="000000"/>
                <w:sz w:val="22"/>
                <w:szCs w:val="22"/>
              </w:rPr>
              <w:t>Ohio</w:t>
            </w:r>
          </w:p>
        </w:tc>
        <w:tc>
          <w:tcPr>
            <w:tcW w:w="189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0307162F" w14:textId="038C3A4A" w:rsidR="00CB3FC5" w:rsidRPr="00CB3FC5" w:rsidRDefault="00CB3FC5" w:rsidP="00D422A0">
            <w:pPr>
              <w:spacing w:after="0" w:line="240" w:lineRule="auto"/>
              <w:jc w:val="center"/>
            </w:pPr>
            <w:r w:rsidRPr="00CB3FC5">
              <w:rPr>
                <w:color w:val="000000"/>
                <w:sz w:val="22"/>
                <w:szCs w:val="22"/>
              </w:rPr>
              <w:t>22.0%</w:t>
            </w:r>
          </w:p>
        </w:tc>
        <w:tc>
          <w:tcPr>
            <w:tcW w:w="1980" w:type="dxa"/>
            <w:tcBorders>
              <w:top w:val="nil"/>
              <w:left w:val="single" w:sz="12" w:space="0" w:color="auto"/>
              <w:bottom w:val="nil"/>
              <w:right w:val="nil"/>
            </w:tcBorders>
            <w:vAlign w:val="bottom"/>
          </w:tcPr>
          <w:p w14:paraId="41EACA43" w14:textId="1CD758DD" w:rsidR="00CB3FC5" w:rsidRPr="00CB3FC5" w:rsidRDefault="00CB3FC5" w:rsidP="00D422A0">
            <w:pPr>
              <w:spacing w:after="0" w:line="240" w:lineRule="auto"/>
            </w:pPr>
            <w:r w:rsidRPr="00CB3FC5">
              <w:rPr>
                <w:color w:val="000000"/>
                <w:sz w:val="22"/>
                <w:szCs w:val="22"/>
              </w:rPr>
              <w:t>Michigan</w:t>
            </w:r>
          </w:p>
        </w:tc>
        <w:tc>
          <w:tcPr>
            <w:tcW w:w="1890" w:type="dxa"/>
            <w:tcBorders>
              <w:top w:val="nil"/>
              <w:left w:val="nil"/>
              <w:bottom w:val="nil"/>
              <w:right w:val="nil"/>
            </w:tcBorders>
            <w:vAlign w:val="bottom"/>
          </w:tcPr>
          <w:p w14:paraId="675E473A" w14:textId="0C78D83A" w:rsidR="00CB3FC5" w:rsidRPr="00CB3FC5" w:rsidRDefault="00CB3FC5" w:rsidP="00D422A0">
            <w:pPr>
              <w:spacing w:after="0" w:line="240" w:lineRule="auto"/>
              <w:jc w:val="center"/>
            </w:pPr>
            <w:r w:rsidRPr="00CB3FC5">
              <w:rPr>
                <w:color w:val="000000"/>
                <w:sz w:val="22"/>
                <w:szCs w:val="22"/>
              </w:rPr>
              <w:t>3.6%</w:t>
            </w:r>
          </w:p>
        </w:tc>
      </w:tr>
      <w:tr w:rsidR="00CB3FC5" w:rsidRPr="00530545" w14:paraId="08B80142" w14:textId="77777777" w:rsidTr="0073042B">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6647DFC1" w14:textId="35A4D82A" w:rsidR="00CB3FC5" w:rsidRPr="00CB3FC5" w:rsidRDefault="00CB3FC5" w:rsidP="00D422A0">
            <w:pPr>
              <w:spacing w:after="0" w:line="240" w:lineRule="auto"/>
            </w:pPr>
            <w:r w:rsidRPr="00CB3FC5">
              <w:rPr>
                <w:color w:val="000000"/>
                <w:sz w:val="22"/>
                <w:szCs w:val="22"/>
              </w:rPr>
              <w:t>Pennsylvania</w:t>
            </w:r>
          </w:p>
        </w:tc>
        <w:tc>
          <w:tcPr>
            <w:tcW w:w="189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6E5FE9C5" w14:textId="10058E57" w:rsidR="00CB3FC5" w:rsidRPr="00CB3FC5" w:rsidRDefault="00CB3FC5" w:rsidP="00D422A0">
            <w:pPr>
              <w:spacing w:after="0" w:line="240" w:lineRule="auto"/>
              <w:jc w:val="center"/>
            </w:pPr>
            <w:r w:rsidRPr="00CB3FC5">
              <w:rPr>
                <w:color w:val="000000"/>
                <w:sz w:val="22"/>
                <w:szCs w:val="22"/>
              </w:rPr>
              <w:t>17.5%</w:t>
            </w:r>
          </w:p>
        </w:tc>
        <w:tc>
          <w:tcPr>
            <w:tcW w:w="1980" w:type="dxa"/>
            <w:tcBorders>
              <w:top w:val="nil"/>
              <w:left w:val="single" w:sz="12" w:space="0" w:color="auto"/>
              <w:bottom w:val="nil"/>
              <w:right w:val="nil"/>
            </w:tcBorders>
            <w:vAlign w:val="bottom"/>
          </w:tcPr>
          <w:p w14:paraId="709811AA" w14:textId="130BD68E" w:rsidR="00CB3FC5" w:rsidRPr="00CB3FC5" w:rsidRDefault="00CB3FC5" w:rsidP="00D422A0">
            <w:pPr>
              <w:spacing w:after="0" w:line="240" w:lineRule="auto"/>
            </w:pPr>
            <w:r w:rsidRPr="00CB3FC5">
              <w:rPr>
                <w:color w:val="000000"/>
                <w:sz w:val="22"/>
                <w:szCs w:val="22"/>
              </w:rPr>
              <w:t>Alabama</w:t>
            </w:r>
          </w:p>
        </w:tc>
        <w:tc>
          <w:tcPr>
            <w:tcW w:w="1890" w:type="dxa"/>
            <w:tcBorders>
              <w:top w:val="nil"/>
              <w:left w:val="nil"/>
              <w:bottom w:val="nil"/>
              <w:right w:val="nil"/>
            </w:tcBorders>
            <w:vAlign w:val="bottom"/>
          </w:tcPr>
          <w:p w14:paraId="14EAA491" w14:textId="4832C2E1" w:rsidR="00CB3FC5" w:rsidRPr="00CB3FC5" w:rsidRDefault="00CB3FC5" w:rsidP="00D422A0">
            <w:pPr>
              <w:spacing w:after="0" w:line="240" w:lineRule="auto"/>
              <w:jc w:val="center"/>
            </w:pPr>
            <w:r w:rsidRPr="00CB3FC5">
              <w:rPr>
                <w:color w:val="000000"/>
                <w:sz w:val="22"/>
                <w:szCs w:val="22"/>
              </w:rPr>
              <w:t>2.0%</w:t>
            </w:r>
          </w:p>
        </w:tc>
      </w:tr>
      <w:tr w:rsidR="00CB3FC5" w:rsidRPr="00530545" w14:paraId="1B3E5B28" w14:textId="77777777" w:rsidTr="0073042B">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5E72D16D" w14:textId="4032533B" w:rsidR="00CB3FC5" w:rsidRPr="00CB3FC5" w:rsidRDefault="00CB3FC5" w:rsidP="00D422A0">
            <w:pPr>
              <w:spacing w:after="0" w:line="240" w:lineRule="auto"/>
              <w:rPr>
                <w:color w:val="000000"/>
                <w:sz w:val="22"/>
                <w:szCs w:val="22"/>
                <w:lang w:bidi="ar-SA"/>
              </w:rPr>
            </w:pPr>
            <w:r w:rsidRPr="00CB3FC5">
              <w:rPr>
                <w:color w:val="000000"/>
                <w:sz w:val="22"/>
                <w:szCs w:val="22"/>
              </w:rPr>
              <w:t>Indiana</w:t>
            </w:r>
          </w:p>
        </w:tc>
        <w:tc>
          <w:tcPr>
            <w:tcW w:w="189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75D934A3" w14:textId="65AFDE0A" w:rsidR="00CB3FC5" w:rsidRPr="00CB3FC5" w:rsidRDefault="00CB3FC5" w:rsidP="00D422A0">
            <w:pPr>
              <w:spacing w:after="0" w:line="240" w:lineRule="auto"/>
              <w:jc w:val="center"/>
              <w:rPr>
                <w:color w:val="000000"/>
                <w:sz w:val="22"/>
                <w:szCs w:val="22"/>
                <w:lang w:bidi="ar-SA"/>
              </w:rPr>
            </w:pPr>
            <w:r w:rsidRPr="00CB3FC5">
              <w:rPr>
                <w:color w:val="000000"/>
                <w:sz w:val="22"/>
                <w:szCs w:val="22"/>
              </w:rPr>
              <w:t>17.0%</w:t>
            </w:r>
          </w:p>
        </w:tc>
        <w:tc>
          <w:tcPr>
            <w:tcW w:w="1980" w:type="dxa"/>
            <w:tcBorders>
              <w:top w:val="nil"/>
              <w:left w:val="single" w:sz="12" w:space="0" w:color="auto"/>
              <w:bottom w:val="nil"/>
              <w:right w:val="nil"/>
            </w:tcBorders>
            <w:vAlign w:val="bottom"/>
          </w:tcPr>
          <w:p w14:paraId="28C53C97" w14:textId="5E6AFB8B" w:rsidR="00CB3FC5" w:rsidRPr="00CB3FC5" w:rsidRDefault="00CB3FC5" w:rsidP="00D422A0">
            <w:pPr>
              <w:spacing w:after="0" w:line="240" w:lineRule="auto"/>
              <w:rPr>
                <w:color w:val="000000"/>
                <w:sz w:val="22"/>
                <w:szCs w:val="22"/>
                <w:lang w:bidi="ar-SA"/>
              </w:rPr>
            </w:pPr>
            <w:r w:rsidRPr="00CB3FC5">
              <w:rPr>
                <w:color w:val="000000"/>
                <w:sz w:val="22"/>
                <w:szCs w:val="22"/>
              </w:rPr>
              <w:t>Iowa</w:t>
            </w:r>
          </w:p>
        </w:tc>
        <w:tc>
          <w:tcPr>
            <w:tcW w:w="1890" w:type="dxa"/>
            <w:tcBorders>
              <w:top w:val="nil"/>
              <w:left w:val="nil"/>
              <w:bottom w:val="nil"/>
              <w:right w:val="nil"/>
            </w:tcBorders>
            <w:vAlign w:val="bottom"/>
          </w:tcPr>
          <w:p w14:paraId="31B22B92" w14:textId="4940DA1D" w:rsidR="00CB3FC5" w:rsidRPr="00CB3FC5" w:rsidRDefault="00CB3FC5" w:rsidP="00D422A0">
            <w:pPr>
              <w:spacing w:after="0" w:line="240" w:lineRule="auto"/>
              <w:jc w:val="center"/>
              <w:rPr>
                <w:color w:val="000000"/>
                <w:sz w:val="22"/>
                <w:szCs w:val="22"/>
                <w:lang w:bidi="ar-SA"/>
              </w:rPr>
            </w:pPr>
            <w:r w:rsidRPr="00CB3FC5">
              <w:rPr>
                <w:color w:val="000000"/>
                <w:sz w:val="22"/>
                <w:szCs w:val="22"/>
              </w:rPr>
              <w:t>1.7%</w:t>
            </w:r>
          </w:p>
        </w:tc>
      </w:tr>
      <w:tr w:rsidR="0008505E" w:rsidRPr="00530545" w14:paraId="0A01743D" w14:textId="77777777" w:rsidTr="0073042B">
        <w:trPr>
          <w:trHeight w:hRule="exact" w:val="288"/>
        </w:trPr>
        <w:tc>
          <w:tcPr>
            <w:tcW w:w="2087" w:type="dxa"/>
            <w:tcBorders>
              <w:top w:val="nil"/>
              <w:left w:val="nil"/>
              <w:bottom w:val="nil"/>
              <w:right w:val="nil"/>
            </w:tcBorders>
            <w:shd w:val="clear" w:color="auto" w:fill="auto"/>
            <w:noWrap/>
            <w:tcMar>
              <w:top w:w="17" w:type="dxa"/>
              <w:left w:w="17" w:type="dxa"/>
              <w:bottom w:w="0" w:type="dxa"/>
              <w:right w:w="17" w:type="dxa"/>
            </w:tcMar>
            <w:vAlign w:val="bottom"/>
          </w:tcPr>
          <w:p w14:paraId="1614E565" w14:textId="26E61D25" w:rsidR="0008505E" w:rsidRPr="00CB3FC5" w:rsidRDefault="0008505E" w:rsidP="00D422A0">
            <w:pPr>
              <w:spacing w:after="0" w:line="240" w:lineRule="auto"/>
            </w:pPr>
            <w:r w:rsidRPr="00CB3FC5">
              <w:rPr>
                <w:color w:val="000000"/>
                <w:sz w:val="22"/>
                <w:szCs w:val="22"/>
              </w:rPr>
              <w:t>New York</w:t>
            </w:r>
          </w:p>
        </w:tc>
        <w:tc>
          <w:tcPr>
            <w:tcW w:w="1890" w:type="dxa"/>
            <w:tcBorders>
              <w:top w:val="nil"/>
              <w:left w:val="nil"/>
              <w:bottom w:val="nil"/>
              <w:right w:val="single" w:sz="12" w:space="0" w:color="auto"/>
            </w:tcBorders>
            <w:shd w:val="clear" w:color="auto" w:fill="auto"/>
            <w:noWrap/>
            <w:tcMar>
              <w:top w:w="17" w:type="dxa"/>
              <w:left w:w="17" w:type="dxa"/>
              <w:bottom w:w="0" w:type="dxa"/>
              <w:right w:w="17" w:type="dxa"/>
            </w:tcMar>
            <w:vAlign w:val="bottom"/>
          </w:tcPr>
          <w:p w14:paraId="3AB111CF" w14:textId="64F8E36A" w:rsidR="0008505E" w:rsidRPr="00CB3FC5" w:rsidRDefault="0008505E" w:rsidP="00D422A0">
            <w:pPr>
              <w:spacing w:after="0" w:line="240" w:lineRule="auto"/>
              <w:jc w:val="center"/>
            </w:pPr>
            <w:r w:rsidRPr="00CB3FC5">
              <w:rPr>
                <w:color w:val="000000"/>
                <w:sz w:val="22"/>
                <w:szCs w:val="22"/>
              </w:rPr>
              <w:t>11.0%</w:t>
            </w:r>
          </w:p>
        </w:tc>
        <w:tc>
          <w:tcPr>
            <w:tcW w:w="1980" w:type="dxa"/>
            <w:tcBorders>
              <w:top w:val="nil"/>
              <w:left w:val="single" w:sz="12" w:space="0" w:color="auto"/>
              <w:bottom w:val="nil"/>
              <w:right w:val="nil"/>
            </w:tcBorders>
            <w:vAlign w:val="bottom"/>
          </w:tcPr>
          <w:p w14:paraId="3604FBEE" w14:textId="5F324462" w:rsidR="0008505E" w:rsidRPr="0008505E" w:rsidRDefault="0008505E" w:rsidP="00D422A0">
            <w:pPr>
              <w:spacing w:after="0" w:line="240" w:lineRule="auto"/>
            </w:pPr>
            <w:r w:rsidRPr="0008505E">
              <w:rPr>
                <w:color w:val="000000"/>
                <w:sz w:val="22"/>
                <w:szCs w:val="22"/>
              </w:rPr>
              <w:t>Kansas</w:t>
            </w:r>
          </w:p>
        </w:tc>
        <w:tc>
          <w:tcPr>
            <w:tcW w:w="1890" w:type="dxa"/>
            <w:tcBorders>
              <w:top w:val="nil"/>
              <w:left w:val="nil"/>
              <w:bottom w:val="nil"/>
              <w:right w:val="nil"/>
            </w:tcBorders>
            <w:vAlign w:val="bottom"/>
          </w:tcPr>
          <w:p w14:paraId="7841A91B" w14:textId="26764A1B" w:rsidR="0008505E" w:rsidRPr="0008505E" w:rsidRDefault="0008505E" w:rsidP="00D422A0">
            <w:pPr>
              <w:spacing w:after="0" w:line="240" w:lineRule="auto"/>
              <w:jc w:val="center"/>
            </w:pPr>
            <w:r w:rsidRPr="0008505E">
              <w:rPr>
                <w:color w:val="000000"/>
                <w:sz w:val="22"/>
                <w:szCs w:val="22"/>
              </w:rPr>
              <w:t>0.04%</w:t>
            </w:r>
          </w:p>
        </w:tc>
      </w:tr>
      <w:tr w:rsidR="00EF6F64" w:rsidRPr="00530545" w14:paraId="4425422B" w14:textId="77777777" w:rsidTr="0073042B">
        <w:trPr>
          <w:trHeight w:hRule="exact" w:val="288"/>
        </w:trPr>
        <w:tc>
          <w:tcPr>
            <w:tcW w:w="7847" w:type="dxa"/>
            <w:gridSpan w:val="4"/>
            <w:tcBorders>
              <w:top w:val="single" w:sz="12" w:space="0" w:color="auto"/>
              <w:left w:val="nil"/>
              <w:bottom w:val="nil"/>
              <w:right w:val="nil"/>
            </w:tcBorders>
            <w:shd w:val="clear" w:color="auto" w:fill="auto"/>
            <w:noWrap/>
            <w:tcMar>
              <w:top w:w="17" w:type="dxa"/>
              <w:left w:w="17" w:type="dxa"/>
              <w:bottom w:w="0" w:type="dxa"/>
              <w:right w:w="17" w:type="dxa"/>
            </w:tcMar>
            <w:vAlign w:val="bottom"/>
          </w:tcPr>
          <w:p w14:paraId="3039EE7A" w14:textId="77777777" w:rsidR="00EF6F64" w:rsidRPr="00530545" w:rsidRDefault="00EF6F64" w:rsidP="00D422A0">
            <w:pPr>
              <w:spacing w:after="0" w:line="480" w:lineRule="auto"/>
              <w:rPr>
                <w:color w:val="000000"/>
                <w:sz w:val="23"/>
                <w:szCs w:val="23"/>
              </w:rPr>
            </w:pPr>
            <w:r w:rsidRPr="00530545">
              <w:rPr>
                <w:color w:val="000000"/>
                <w:sz w:val="23"/>
                <w:szCs w:val="23"/>
              </w:rPr>
              <w:t xml:space="preserve">Source: Bureau of the Census, </w:t>
            </w:r>
            <w:r w:rsidRPr="00530545">
              <w:rPr>
                <w:i/>
                <w:color w:val="000000"/>
                <w:sz w:val="23"/>
                <w:szCs w:val="23"/>
              </w:rPr>
              <w:t>Government Finances: FY 20</w:t>
            </w:r>
            <w:r>
              <w:rPr>
                <w:i/>
                <w:color w:val="000000"/>
                <w:sz w:val="23"/>
                <w:szCs w:val="23"/>
              </w:rPr>
              <w:t>12</w:t>
            </w:r>
          </w:p>
          <w:p w14:paraId="397E7A44" w14:textId="77777777" w:rsidR="00EF6F64" w:rsidRPr="00530545" w:rsidRDefault="00EF6F64" w:rsidP="00D422A0">
            <w:pPr>
              <w:spacing w:after="0" w:line="240" w:lineRule="auto"/>
              <w:jc w:val="right"/>
              <w:rPr>
                <w:sz w:val="20"/>
                <w:szCs w:val="20"/>
              </w:rPr>
            </w:pPr>
          </w:p>
        </w:tc>
      </w:tr>
    </w:tbl>
    <w:p w14:paraId="7B2CB041" w14:textId="77777777" w:rsidR="00EF6F64" w:rsidRDefault="00EF6F64" w:rsidP="00D422A0">
      <w:pPr>
        <w:pStyle w:val="ListParagraph"/>
        <w:spacing w:after="0" w:line="360" w:lineRule="auto"/>
        <w:ind w:left="0"/>
        <w:rPr>
          <w:bCs/>
        </w:rPr>
      </w:pPr>
    </w:p>
    <w:p w14:paraId="20929683" w14:textId="77777777" w:rsidR="00601ABB" w:rsidRDefault="00601ABB" w:rsidP="00D422A0">
      <w:pPr>
        <w:pStyle w:val="ListParagraph"/>
        <w:spacing w:after="0" w:line="360" w:lineRule="auto"/>
        <w:ind w:left="0"/>
        <w:rPr>
          <w:bCs/>
        </w:rPr>
      </w:pPr>
    </w:p>
    <w:p w14:paraId="32A4D624" w14:textId="77777777" w:rsidR="00601ABB" w:rsidRDefault="00601ABB" w:rsidP="00D422A0">
      <w:pPr>
        <w:pStyle w:val="ListParagraph"/>
        <w:spacing w:after="0" w:line="360" w:lineRule="auto"/>
        <w:ind w:left="0"/>
        <w:rPr>
          <w:bCs/>
        </w:rPr>
      </w:pPr>
    </w:p>
    <w:p w14:paraId="78B7DF8B" w14:textId="77777777" w:rsidR="00601ABB" w:rsidRDefault="00601ABB" w:rsidP="00D422A0">
      <w:pPr>
        <w:pStyle w:val="ListParagraph"/>
        <w:spacing w:after="0" w:line="360" w:lineRule="auto"/>
        <w:ind w:left="0"/>
        <w:rPr>
          <w:bCs/>
        </w:rPr>
      </w:pPr>
    </w:p>
    <w:p w14:paraId="6F2F5674" w14:textId="7467F813" w:rsidR="00D32CF3" w:rsidRPr="005B5A89" w:rsidRDefault="00D32CF3" w:rsidP="00EF1C56">
      <w:pPr>
        <w:pStyle w:val="Heading2"/>
      </w:pPr>
      <w:bookmarkStart w:id="79" w:name="_Toc433373657"/>
      <w:r w:rsidRPr="005B5A89">
        <w:lastRenderedPageBreak/>
        <w:t>Local Income Taxes in Selected States</w:t>
      </w:r>
      <w:bookmarkEnd w:id="79"/>
    </w:p>
    <w:p w14:paraId="49156BA3" w14:textId="79A03430" w:rsidR="008A3612" w:rsidRPr="00D32CF3" w:rsidRDefault="008A3612" w:rsidP="00495617">
      <w:pPr>
        <w:spacing w:after="0" w:line="360" w:lineRule="auto"/>
        <w:ind w:firstLine="720"/>
        <w:rPr>
          <w:b/>
          <w:color w:val="000000"/>
        </w:rPr>
      </w:pPr>
      <w:r w:rsidRPr="008A3612">
        <w:rPr>
          <w:color w:val="000000"/>
        </w:rPr>
        <w:t xml:space="preserve">There is significant variation across states in how local </w:t>
      </w:r>
      <w:r>
        <w:rPr>
          <w:color w:val="000000"/>
        </w:rPr>
        <w:t>income</w:t>
      </w:r>
      <w:r w:rsidRPr="008A3612">
        <w:rPr>
          <w:color w:val="000000"/>
        </w:rPr>
        <w:t xml:space="preserve"> taxes are imposed</w:t>
      </w:r>
      <w:r>
        <w:rPr>
          <w:color w:val="000000"/>
        </w:rPr>
        <w:t>.</w:t>
      </w:r>
      <w:r w:rsidRPr="008A3612">
        <w:rPr>
          <w:color w:val="000000"/>
        </w:rPr>
        <w:t xml:space="preserve"> The following illustrates this diversity. </w:t>
      </w:r>
      <w:r>
        <w:rPr>
          <w:color w:val="000000"/>
        </w:rPr>
        <w:t>It should be noted that local income tax</w:t>
      </w:r>
      <w:r w:rsidR="0070224E">
        <w:rPr>
          <w:color w:val="000000"/>
        </w:rPr>
        <w:t>es are</w:t>
      </w:r>
      <w:r>
        <w:rPr>
          <w:color w:val="000000"/>
        </w:rPr>
        <w:t xml:space="preserve"> not</w:t>
      </w:r>
      <w:r w:rsidR="0070224E">
        <w:rPr>
          <w:color w:val="000000"/>
        </w:rPr>
        <w:t xml:space="preserve"> </w:t>
      </w:r>
      <w:r w:rsidR="00F3671B">
        <w:rPr>
          <w:color w:val="000000"/>
        </w:rPr>
        <w:t xml:space="preserve">normally </w:t>
      </w:r>
      <w:r w:rsidR="0070224E">
        <w:rPr>
          <w:color w:val="000000"/>
        </w:rPr>
        <w:t>imposed on</w:t>
      </w:r>
      <w:r>
        <w:rPr>
          <w:color w:val="000000"/>
        </w:rPr>
        <w:t xml:space="preserve"> corporate income.</w:t>
      </w:r>
    </w:p>
    <w:p w14:paraId="4F085FDB" w14:textId="267FCA43" w:rsidR="00D32CF3" w:rsidRPr="005B5A89" w:rsidRDefault="00D32CF3" w:rsidP="00EF1C56">
      <w:pPr>
        <w:pStyle w:val="Heading3"/>
      </w:pPr>
      <w:bookmarkStart w:id="80" w:name="_Toc433373658"/>
      <w:r w:rsidRPr="005B5A89">
        <w:t>Ohio</w:t>
      </w:r>
      <w:bookmarkEnd w:id="80"/>
    </w:p>
    <w:p w14:paraId="61AAAF9E" w14:textId="11FF0B27" w:rsidR="00D32CF3" w:rsidRDefault="00CD4B8B" w:rsidP="00495617">
      <w:pPr>
        <w:pStyle w:val="FootnoteText"/>
        <w:spacing w:line="360" w:lineRule="auto"/>
        <w:ind w:firstLine="720"/>
        <w:rPr>
          <w:color w:val="000000"/>
          <w:sz w:val="24"/>
          <w:szCs w:val="24"/>
        </w:rPr>
      </w:pPr>
      <w:r w:rsidRPr="00710363">
        <w:rPr>
          <w:color w:val="000000"/>
          <w:sz w:val="24"/>
          <w:szCs w:val="24"/>
        </w:rPr>
        <w:t xml:space="preserve">Local governments in Ohio are significant users of local income taxes. Nearly all </w:t>
      </w:r>
      <w:r w:rsidR="009B50AD">
        <w:rPr>
          <w:color w:val="000000"/>
          <w:sz w:val="24"/>
          <w:szCs w:val="24"/>
        </w:rPr>
        <w:t xml:space="preserve">municipal governments impose a tax on earned </w:t>
      </w:r>
      <w:r w:rsidRPr="00710363">
        <w:rPr>
          <w:color w:val="000000"/>
          <w:sz w:val="24"/>
          <w:szCs w:val="24"/>
        </w:rPr>
        <w:t>income at rates that generally range from one percent to three percent, with an average rate of 1.3 percent.</w:t>
      </w:r>
      <w:r w:rsidR="0073042B">
        <w:rPr>
          <w:color w:val="000000"/>
          <w:sz w:val="24"/>
          <w:szCs w:val="24"/>
        </w:rPr>
        <w:t xml:space="preserve"> </w:t>
      </w:r>
      <w:r w:rsidR="00F52FE1">
        <w:rPr>
          <w:color w:val="000000"/>
          <w:sz w:val="24"/>
          <w:szCs w:val="24"/>
        </w:rPr>
        <w:t>Municipal government</w:t>
      </w:r>
      <w:r w:rsidR="00971CCA">
        <w:rPr>
          <w:color w:val="000000"/>
          <w:sz w:val="24"/>
          <w:szCs w:val="24"/>
        </w:rPr>
        <w:t>s</w:t>
      </w:r>
      <w:r w:rsidR="00F52FE1">
        <w:rPr>
          <w:color w:val="000000"/>
          <w:sz w:val="24"/>
          <w:szCs w:val="24"/>
        </w:rPr>
        <w:t xml:space="preserve"> can impose an in</w:t>
      </w:r>
      <w:r w:rsidR="00971CCA">
        <w:rPr>
          <w:color w:val="000000"/>
          <w:sz w:val="24"/>
          <w:szCs w:val="24"/>
        </w:rPr>
        <w:t>c</w:t>
      </w:r>
      <w:r w:rsidR="00F52FE1">
        <w:rPr>
          <w:color w:val="000000"/>
          <w:sz w:val="24"/>
          <w:szCs w:val="24"/>
        </w:rPr>
        <w:t xml:space="preserve">ome tax of up to </w:t>
      </w:r>
      <w:r w:rsidR="00981F02">
        <w:rPr>
          <w:color w:val="000000"/>
          <w:sz w:val="24"/>
          <w:szCs w:val="24"/>
        </w:rPr>
        <w:t xml:space="preserve">one </w:t>
      </w:r>
      <w:r w:rsidR="00F52FE1">
        <w:rPr>
          <w:color w:val="000000"/>
          <w:sz w:val="24"/>
          <w:szCs w:val="24"/>
        </w:rPr>
        <w:t xml:space="preserve">percent without voter approval. </w:t>
      </w:r>
      <w:r w:rsidR="00971CCA">
        <w:rPr>
          <w:color w:val="000000"/>
          <w:sz w:val="24"/>
          <w:szCs w:val="24"/>
        </w:rPr>
        <w:t xml:space="preserve">The base of the tax is comprised of wages, salaries, other compensation and net </w:t>
      </w:r>
      <w:r w:rsidR="005B5A89">
        <w:rPr>
          <w:color w:val="000000"/>
          <w:sz w:val="24"/>
          <w:szCs w:val="24"/>
        </w:rPr>
        <w:t xml:space="preserve">corporate and </w:t>
      </w:r>
      <w:r w:rsidR="009B50AD">
        <w:rPr>
          <w:color w:val="000000"/>
          <w:sz w:val="24"/>
          <w:szCs w:val="24"/>
        </w:rPr>
        <w:t xml:space="preserve">non-corporate </w:t>
      </w:r>
      <w:r w:rsidR="00971CCA">
        <w:rPr>
          <w:color w:val="000000"/>
          <w:sz w:val="24"/>
          <w:szCs w:val="24"/>
        </w:rPr>
        <w:t xml:space="preserve">profits attributable to the municipality; in most cases residents can credit taxes paid to the city of employment against </w:t>
      </w:r>
      <w:r w:rsidR="00F3671B">
        <w:rPr>
          <w:color w:val="000000"/>
          <w:sz w:val="24"/>
          <w:szCs w:val="24"/>
        </w:rPr>
        <w:t xml:space="preserve">income </w:t>
      </w:r>
      <w:r w:rsidR="00971CCA">
        <w:rPr>
          <w:color w:val="000000"/>
          <w:sz w:val="24"/>
          <w:szCs w:val="24"/>
        </w:rPr>
        <w:t xml:space="preserve">taxes due to their city of residence. The tax is locally administered, with differences across municipalities in compliance </w:t>
      </w:r>
      <w:r w:rsidR="00321218">
        <w:rPr>
          <w:color w:val="000000"/>
          <w:sz w:val="24"/>
          <w:szCs w:val="24"/>
        </w:rPr>
        <w:t xml:space="preserve">and reporting </w:t>
      </w:r>
      <w:r w:rsidR="00971CCA">
        <w:rPr>
          <w:color w:val="000000"/>
          <w:sz w:val="24"/>
          <w:szCs w:val="24"/>
        </w:rPr>
        <w:t xml:space="preserve">requirements. </w:t>
      </w:r>
      <w:r w:rsidR="0008505E">
        <w:rPr>
          <w:color w:val="000000"/>
          <w:sz w:val="24"/>
          <w:szCs w:val="24"/>
        </w:rPr>
        <w:t>School districts can impose a local income</w:t>
      </w:r>
      <w:r w:rsidR="009B50AD">
        <w:rPr>
          <w:color w:val="000000"/>
          <w:sz w:val="24"/>
          <w:szCs w:val="24"/>
        </w:rPr>
        <w:t xml:space="preserve"> tax</w:t>
      </w:r>
      <w:r w:rsidR="0008505E">
        <w:rPr>
          <w:color w:val="000000"/>
          <w:sz w:val="24"/>
          <w:szCs w:val="24"/>
        </w:rPr>
        <w:t>, but it requires voter approval.</w:t>
      </w:r>
      <w:r w:rsidR="0073042B">
        <w:rPr>
          <w:color w:val="000000"/>
          <w:sz w:val="24"/>
          <w:szCs w:val="24"/>
        </w:rPr>
        <w:t xml:space="preserve"> </w:t>
      </w:r>
      <w:r w:rsidR="0008505E">
        <w:rPr>
          <w:color w:val="000000"/>
          <w:sz w:val="24"/>
          <w:szCs w:val="24"/>
        </w:rPr>
        <w:t xml:space="preserve">The </w:t>
      </w:r>
      <w:r w:rsidR="0070224E">
        <w:rPr>
          <w:color w:val="000000"/>
          <w:sz w:val="24"/>
          <w:szCs w:val="24"/>
        </w:rPr>
        <w:t xml:space="preserve">school district tax </w:t>
      </w:r>
      <w:r w:rsidR="0008505E">
        <w:rPr>
          <w:color w:val="000000"/>
          <w:sz w:val="24"/>
          <w:szCs w:val="24"/>
        </w:rPr>
        <w:t>rates range from 0.25 percent to 2 percent</w:t>
      </w:r>
      <w:r w:rsidR="000212FB">
        <w:rPr>
          <w:color w:val="000000"/>
          <w:sz w:val="24"/>
          <w:szCs w:val="24"/>
        </w:rPr>
        <w:t xml:space="preserve">, with </w:t>
      </w:r>
      <w:r w:rsidR="00981F02">
        <w:rPr>
          <w:color w:val="000000"/>
          <w:sz w:val="24"/>
          <w:szCs w:val="24"/>
        </w:rPr>
        <w:t xml:space="preserve">one </w:t>
      </w:r>
      <w:r w:rsidR="000212FB">
        <w:rPr>
          <w:color w:val="000000"/>
          <w:sz w:val="24"/>
          <w:szCs w:val="24"/>
        </w:rPr>
        <w:t>percent being the most common</w:t>
      </w:r>
      <w:r w:rsidR="00FA41A6">
        <w:rPr>
          <w:color w:val="000000"/>
          <w:sz w:val="24"/>
          <w:szCs w:val="24"/>
        </w:rPr>
        <w:t xml:space="preserve"> tax</w:t>
      </w:r>
      <w:r w:rsidR="000212FB">
        <w:rPr>
          <w:color w:val="000000"/>
          <w:sz w:val="24"/>
          <w:szCs w:val="24"/>
        </w:rPr>
        <w:t xml:space="preserve"> rate</w:t>
      </w:r>
      <w:r w:rsidR="0008505E">
        <w:rPr>
          <w:color w:val="000000"/>
          <w:sz w:val="24"/>
          <w:szCs w:val="24"/>
        </w:rPr>
        <w:t>.</w:t>
      </w:r>
      <w:r w:rsidR="0073042B">
        <w:rPr>
          <w:color w:val="000000"/>
          <w:sz w:val="24"/>
          <w:szCs w:val="24"/>
        </w:rPr>
        <w:t xml:space="preserve"> </w:t>
      </w:r>
      <w:r w:rsidR="0008505E">
        <w:rPr>
          <w:color w:val="000000"/>
          <w:sz w:val="24"/>
          <w:szCs w:val="24"/>
        </w:rPr>
        <w:t xml:space="preserve">Most </w:t>
      </w:r>
      <w:r w:rsidR="00F3671B">
        <w:rPr>
          <w:color w:val="000000"/>
          <w:sz w:val="24"/>
          <w:szCs w:val="24"/>
        </w:rPr>
        <w:t xml:space="preserve">school </w:t>
      </w:r>
      <w:r w:rsidR="0008505E">
        <w:rPr>
          <w:color w:val="000000"/>
          <w:sz w:val="24"/>
          <w:szCs w:val="24"/>
        </w:rPr>
        <w:t>districts use state taxable income as the base, although about 10 percent of the districts w</w:t>
      </w:r>
      <w:r w:rsidR="00340FB2">
        <w:rPr>
          <w:color w:val="000000"/>
          <w:sz w:val="24"/>
          <w:szCs w:val="24"/>
        </w:rPr>
        <w:t>ith an income tax use earned income</w:t>
      </w:r>
      <w:r w:rsidR="005B5A89">
        <w:rPr>
          <w:color w:val="000000"/>
          <w:sz w:val="24"/>
          <w:szCs w:val="24"/>
        </w:rPr>
        <w:t>, i.e., wages, salary, other compensation, and earnings from non-corporations</w:t>
      </w:r>
      <w:r w:rsidR="00340FB2">
        <w:rPr>
          <w:color w:val="000000"/>
          <w:sz w:val="24"/>
          <w:szCs w:val="24"/>
        </w:rPr>
        <w:t>.</w:t>
      </w:r>
    </w:p>
    <w:p w14:paraId="6C202CF8" w14:textId="3C1AB97C" w:rsidR="00D32CF3" w:rsidRPr="005B5A89" w:rsidRDefault="00D32CF3" w:rsidP="00EF1C56">
      <w:pPr>
        <w:pStyle w:val="Heading3"/>
      </w:pPr>
      <w:bookmarkStart w:id="81" w:name="_Toc433373659"/>
      <w:r w:rsidRPr="005B5A89">
        <w:t>Pennsylvania</w:t>
      </w:r>
      <w:bookmarkEnd w:id="81"/>
    </w:p>
    <w:p w14:paraId="3D373E8F" w14:textId="005B986F" w:rsidR="00D32CF3" w:rsidRDefault="0092394A" w:rsidP="00495617">
      <w:pPr>
        <w:pStyle w:val="FootnoteText"/>
        <w:spacing w:line="360" w:lineRule="auto"/>
        <w:ind w:firstLine="720"/>
        <w:rPr>
          <w:color w:val="000000"/>
          <w:sz w:val="24"/>
          <w:szCs w:val="24"/>
        </w:rPr>
      </w:pPr>
      <w:r>
        <w:rPr>
          <w:color w:val="000000"/>
          <w:sz w:val="24"/>
          <w:szCs w:val="24"/>
        </w:rPr>
        <w:t>Most cities and townships in Pennsyl</w:t>
      </w:r>
      <w:r w:rsidR="00D32CF3">
        <w:rPr>
          <w:color w:val="000000"/>
          <w:sz w:val="24"/>
          <w:szCs w:val="24"/>
        </w:rPr>
        <w:t>vania have an earned income tax</w:t>
      </w:r>
      <w:r>
        <w:rPr>
          <w:color w:val="000000"/>
          <w:sz w:val="24"/>
          <w:szCs w:val="24"/>
        </w:rPr>
        <w:t>.</w:t>
      </w:r>
      <w:r w:rsidR="0073042B">
        <w:rPr>
          <w:color w:val="000000"/>
          <w:sz w:val="24"/>
          <w:szCs w:val="24"/>
        </w:rPr>
        <w:t xml:space="preserve"> </w:t>
      </w:r>
      <w:r w:rsidR="0008686D">
        <w:rPr>
          <w:color w:val="000000"/>
          <w:sz w:val="24"/>
          <w:szCs w:val="24"/>
        </w:rPr>
        <w:t xml:space="preserve">Municipalities have the option of imposing the tax on </w:t>
      </w:r>
      <w:r>
        <w:rPr>
          <w:color w:val="000000"/>
          <w:sz w:val="24"/>
          <w:szCs w:val="24"/>
        </w:rPr>
        <w:t>nonresident</w:t>
      </w:r>
      <w:r w:rsidR="00340FB2">
        <w:rPr>
          <w:color w:val="000000"/>
          <w:sz w:val="24"/>
          <w:szCs w:val="24"/>
        </w:rPr>
        <w:t xml:space="preserve"> employee</w:t>
      </w:r>
      <w:r>
        <w:rPr>
          <w:color w:val="000000"/>
          <w:sz w:val="24"/>
          <w:szCs w:val="24"/>
        </w:rPr>
        <w:t>s</w:t>
      </w:r>
      <w:r w:rsidR="00307775">
        <w:rPr>
          <w:color w:val="000000"/>
          <w:sz w:val="24"/>
          <w:szCs w:val="24"/>
        </w:rPr>
        <w:t xml:space="preserve">, but nonresident taxpayers get to credit the tax </w:t>
      </w:r>
      <w:r w:rsidR="00340FB2">
        <w:rPr>
          <w:color w:val="000000"/>
          <w:sz w:val="24"/>
          <w:szCs w:val="24"/>
        </w:rPr>
        <w:t xml:space="preserve">on the income tax </w:t>
      </w:r>
      <w:r w:rsidR="00307775">
        <w:rPr>
          <w:color w:val="000000"/>
          <w:sz w:val="24"/>
          <w:szCs w:val="24"/>
        </w:rPr>
        <w:t xml:space="preserve">imposed </w:t>
      </w:r>
      <w:r w:rsidR="0070224E">
        <w:rPr>
          <w:color w:val="000000"/>
          <w:sz w:val="24"/>
          <w:szCs w:val="24"/>
        </w:rPr>
        <w:t>by</w:t>
      </w:r>
      <w:r w:rsidR="00307775">
        <w:rPr>
          <w:color w:val="000000"/>
          <w:sz w:val="24"/>
          <w:szCs w:val="24"/>
        </w:rPr>
        <w:t xml:space="preserve"> their place of residence. No referendum is required to adopt an income tax</w:t>
      </w:r>
      <w:r w:rsidR="0070224E">
        <w:rPr>
          <w:color w:val="000000"/>
          <w:sz w:val="24"/>
          <w:szCs w:val="24"/>
        </w:rPr>
        <w:t xml:space="preserve">; </w:t>
      </w:r>
      <w:r w:rsidR="00340FB2">
        <w:rPr>
          <w:color w:val="000000"/>
          <w:sz w:val="24"/>
          <w:szCs w:val="24"/>
        </w:rPr>
        <w:t>tax</w:t>
      </w:r>
      <w:r w:rsidR="00307775">
        <w:rPr>
          <w:color w:val="000000"/>
          <w:sz w:val="24"/>
          <w:szCs w:val="24"/>
        </w:rPr>
        <w:t xml:space="preserve"> rates cannot exceed </w:t>
      </w:r>
      <w:r w:rsidR="00F3671B">
        <w:rPr>
          <w:color w:val="000000"/>
          <w:sz w:val="24"/>
          <w:szCs w:val="24"/>
        </w:rPr>
        <w:t>one</w:t>
      </w:r>
      <w:r w:rsidR="00307775">
        <w:rPr>
          <w:color w:val="000000"/>
          <w:sz w:val="24"/>
          <w:szCs w:val="24"/>
        </w:rPr>
        <w:t xml:space="preserve"> percent, except in certain cases.</w:t>
      </w:r>
      <w:r w:rsidR="0073042B">
        <w:rPr>
          <w:color w:val="000000"/>
          <w:sz w:val="24"/>
          <w:szCs w:val="24"/>
        </w:rPr>
        <w:t xml:space="preserve"> </w:t>
      </w:r>
      <w:r w:rsidR="00307775">
        <w:rPr>
          <w:color w:val="000000"/>
          <w:sz w:val="24"/>
          <w:szCs w:val="24"/>
        </w:rPr>
        <w:t>If a school district imposes an earn</w:t>
      </w:r>
      <w:r w:rsidR="00045F13">
        <w:rPr>
          <w:color w:val="000000"/>
          <w:sz w:val="24"/>
          <w:szCs w:val="24"/>
        </w:rPr>
        <w:t>ed income</w:t>
      </w:r>
      <w:r w:rsidR="00307775">
        <w:rPr>
          <w:color w:val="000000"/>
          <w:sz w:val="24"/>
          <w:szCs w:val="24"/>
        </w:rPr>
        <w:t xml:space="preserve"> tax, the revenue is split between the municipality and school district. The tax base is comprised of wages, salaries, other compensation and net profits from non-corporations. Recently, the state has formed countywide tax collection districts and imposed more uniformity on the </w:t>
      </w:r>
      <w:r w:rsidR="00D32CF3">
        <w:rPr>
          <w:color w:val="000000"/>
          <w:sz w:val="24"/>
          <w:szCs w:val="24"/>
        </w:rPr>
        <w:t xml:space="preserve">administrative </w:t>
      </w:r>
      <w:r w:rsidR="00307775">
        <w:rPr>
          <w:color w:val="000000"/>
          <w:sz w:val="24"/>
          <w:szCs w:val="24"/>
        </w:rPr>
        <w:t>process.</w:t>
      </w:r>
    </w:p>
    <w:p w14:paraId="0B67D2D0" w14:textId="1A710E22" w:rsidR="00D32CF3" w:rsidRPr="005B5A89" w:rsidRDefault="00D32CF3" w:rsidP="00EF1C56">
      <w:pPr>
        <w:pStyle w:val="Heading3"/>
      </w:pPr>
      <w:bookmarkStart w:id="82" w:name="_Toc433373660"/>
      <w:r w:rsidRPr="005B5A89">
        <w:t>Kentucky</w:t>
      </w:r>
      <w:bookmarkEnd w:id="82"/>
    </w:p>
    <w:p w14:paraId="11172795" w14:textId="561B2CE1" w:rsidR="00307775" w:rsidRPr="00710363" w:rsidRDefault="00097D0D" w:rsidP="00D422A0">
      <w:pPr>
        <w:pStyle w:val="FootnoteText"/>
        <w:spacing w:line="360" w:lineRule="auto"/>
        <w:ind w:firstLine="720"/>
        <w:rPr>
          <w:color w:val="000000"/>
          <w:sz w:val="24"/>
          <w:szCs w:val="24"/>
        </w:rPr>
      </w:pPr>
      <w:r>
        <w:rPr>
          <w:color w:val="000000"/>
          <w:sz w:val="24"/>
          <w:szCs w:val="24"/>
        </w:rPr>
        <w:t xml:space="preserve">Local governments </w:t>
      </w:r>
      <w:r w:rsidR="009D1F68">
        <w:rPr>
          <w:color w:val="000000"/>
          <w:sz w:val="24"/>
          <w:szCs w:val="24"/>
        </w:rPr>
        <w:t xml:space="preserve">in Kentucky are authorized to impose a </w:t>
      </w:r>
      <w:r w:rsidR="00D32CF3">
        <w:rPr>
          <w:color w:val="000000"/>
          <w:sz w:val="24"/>
          <w:szCs w:val="24"/>
        </w:rPr>
        <w:t xml:space="preserve">tax on </w:t>
      </w:r>
      <w:r w:rsidR="00340FB2">
        <w:rPr>
          <w:color w:val="000000"/>
          <w:sz w:val="24"/>
          <w:szCs w:val="24"/>
        </w:rPr>
        <w:t>earning</w:t>
      </w:r>
      <w:r w:rsidR="009B50AD">
        <w:rPr>
          <w:color w:val="000000"/>
          <w:sz w:val="24"/>
          <w:szCs w:val="24"/>
        </w:rPr>
        <w:t>s</w:t>
      </w:r>
      <w:r w:rsidR="00340FB2">
        <w:rPr>
          <w:color w:val="000000"/>
          <w:sz w:val="24"/>
          <w:szCs w:val="24"/>
        </w:rPr>
        <w:t xml:space="preserve"> by place o</w:t>
      </w:r>
      <w:r>
        <w:rPr>
          <w:color w:val="000000"/>
          <w:sz w:val="24"/>
          <w:szCs w:val="24"/>
        </w:rPr>
        <w:t xml:space="preserve">f employment, </w:t>
      </w:r>
      <w:r w:rsidR="009D1F68">
        <w:rPr>
          <w:color w:val="000000"/>
          <w:sz w:val="24"/>
          <w:szCs w:val="24"/>
        </w:rPr>
        <w:t>and</w:t>
      </w:r>
      <w:r w:rsidR="00340FB2">
        <w:rPr>
          <w:color w:val="000000"/>
          <w:sz w:val="24"/>
          <w:szCs w:val="24"/>
        </w:rPr>
        <w:t>/or</w:t>
      </w:r>
      <w:r w:rsidR="009D1F68">
        <w:rPr>
          <w:color w:val="000000"/>
          <w:sz w:val="24"/>
          <w:szCs w:val="24"/>
        </w:rPr>
        <w:t xml:space="preserve"> a tax on net profits of non-corporate businesses conducting a business within the city. Cities </w:t>
      </w:r>
      <w:r>
        <w:rPr>
          <w:color w:val="000000"/>
          <w:sz w:val="24"/>
          <w:szCs w:val="24"/>
        </w:rPr>
        <w:t xml:space="preserve">can </w:t>
      </w:r>
      <w:r w:rsidR="009D1F68">
        <w:rPr>
          <w:color w:val="000000"/>
          <w:sz w:val="24"/>
          <w:szCs w:val="24"/>
        </w:rPr>
        <w:t>adopt different rates for the payroll tax and the net profits tax</w:t>
      </w:r>
      <w:r w:rsidR="00340FB2">
        <w:rPr>
          <w:color w:val="000000"/>
          <w:sz w:val="24"/>
          <w:szCs w:val="24"/>
        </w:rPr>
        <w:t>;</w:t>
      </w:r>
      <w:r w:rsidR="009D1F68">
        <w:rPr>
          <w:color w:val="000000"/>
          <w:sz w:val="24"/>
          <w:szCs w:val="24"/>
        </w:rPr>
        <w:t xml:space="preserve"> the </w:t>
      </w:r>
      <w:r w:rsidR="009D1F68">
        <w:rPr>
          <w:color w:val="000000"/>
          <w:sz w:val="24"/>
          <w:szCs w:val="24"/>
        </w:rPr>
        <w:lastRenderedPageBreak/>
        <w:t xml:space="preserve">median rate for the payroll tax is </w:t>
      </w:r>
      <w:r w:rsidR="00981F02">
        <w:rPr>
          <w:color w:val="000000"/>
          <w:sz w:val="24"/>
          <w:szCs w:val="24"/>
        </w:rPr>
        <w:t xml:space="preserve">one </w:t>
      </w:r>
      <w:r w:rsidR="009D1F68">
        <w:rPr>
          <w:color w:val="000000"/>
          <w:sz w:val="24"/>
          <w:szCs w:val="24"/>
        </w:rPr>
        <w:t>percent while the median rat</w:t>
      </w:r>
      <w:r w:rsidR="00395804">
        <w:rPr>
          <w:color w:val="000000"/>
          <w:sz w:val="24"/>
          <w:szCs w:val="24"/>
        </w:rPr>
        <w:t>e for the net profits tax is 1.</w:t>
      </w:r>
      <w:r w:rsidR="009D1F68">
        <w:rPr>
          <w:color w:val="000000"/>
          <w:sz w:val="24"/>
          <w:szCs w:val="24"/>
        </w:rPr>
        <w:t xml:space="preserve">4 percent. </w:t>
      </w:r>
      <w:r w:rsidR="00340FB2">
        <w:rPr>
          <w:color w:val="000000"/>
          <w:sz w:val="24"/>
          <w:szCs w:val="24"/>
        </w:rPr>
        <w:t>No referendum is required. T</w:t>
      </w:r>
      <w:r>
        <w:rPr>
          <w:color w:val="000000"/>
          <w:sz w:val="24"/>
          <w:szCs w:val="24"/>
        </w:rPr>
        <w:t>here a</w:t>
      </w:r>
      <w:r w:rsidR="00340FB2">
        <w:rPr>
          <w:color w:val="000000"/>
          <w:sz w:val="24"/>
          <w:szCs w:val="24"/>
        </w:rPr>
        <w:t>re</w:t>
      </w:r>
      <w:r>
        <w:rPr>
          <w:color w:val="000000"/>
          <w:sz w:val="24"/>
          <w:szCs w:val="24"/>
        </w:rPr>
        <w:t xml:space="preserve"> limits on the tax rate </w:t>
      </w:r>
      <w:r w:rsidR="00340FB2">
        <w:rPr>
          <w:color w:val="000000"/>
          <w:sz w:val="24"/>
          <w:szCs w:val="24"/>
        </w:rPr>
        <w:t xml:space="preserve">that can be </w:t>
      </w:r>
      <w:r>
        <w:rPr>
          <w:color w:val="000000"/>
          <w:sz w:val="24"/>
          <w:szCs w:val="24"/>
        </w:rPr>
        <w:t>imposed</w:t>
      </w:r>
      <w:r w:rsidR="00340FB2">
        <w:rPr>
          <w:color w:val="000000"/>
          <w:sz w:val="24"/>
          <w:szCs w:val="24"/>
        </w:rPr>
        <w:t>.</w:t>
      </w:r>
      <w:r>
        <w:rPr>
          <w:color w:val="000000"/>
          <w:sz w:val="24"/>
          <w:szCs w:val="24"/>
        </w:rPr>
        <w:t xml:space="preserve"> </w:t>
      </w:r>
    </w:p>
    <w:p w14:paraId="3B4B9229" w14:textId="7FC62ECE" w:rsidR="00FB23DE" w:rsidRDefault="00096C9D" w:rsidP="00D422A0">
      <w:pPr>
        <w:spacing w:after="0" w:line="360" w:lineRule="auto"/>
        <w:rPr>
          <w:b/>
          <w:color w:val="000000"/>
        </w:rPr>
      </w:pPr>
      <w:r>
        <w:rPr>
          <w:bCs/>
        </w:rPr>
        <w:tab/>
      </w:r>
    </w:p>
    <w:p w14:paraId="0C6DC735" w14:textId="660C435C" w:rsidR="00096C9D" w:rsidRPr="005B5A89" w:rsidRDefault="00CD4B8B" w:rsidP="00EF1C56">
      <w:pPr>
        <w:pStyle w:val="Heading2"/>
      </w:pPr>
      <w:bookmarkStart w:id="83" w:name="_Toc433373661"/>
      <w:r w:rsidRPr="005B5A89">
        <w:t>Structuring a Local Income Tax System</w:t>
      </w:r>
      <w:bookmarkEnd w:id="83"/>
    </w:p>
    <w:p w14:paraId="62B0DC80" w14:textId="54F395D1" w:rsidR="005B5A89" w:rsidRDefault="00CD4B8B" w:rsidP="00D422A0">
      <w:pPr>
        <w:spacing w:after="0" w:line="360" w:lineRule="auto"/>
        <w:ind w:firstLine="720"/>
        <w:rPr>
          <w:color w:val="000000"/>
        </w:rPr>
      </w:pPr>
      <w:r>
        <w:rPr>
          <w:color w:val="000000"/>
        </w:rPr>
        <w:t>If Connecticut chooses to allow cities to adopt local income taxes, the state will have to design a local income tax structure</w:t>
      </w:r>
      <w:r w:rsidR="005C28D9">
        <w:rPr>
          <w:color w:val="000000"/>
        </w:rPr>
        <w:t>, which means</w:t>
      </w:r>
      <w:r>
        <w:rPr>
          <w:color w:val="000000"/>
        </w:rPr>
        <w:t xml:space="preserve"> selecting </w:t>
      </w:r>
      <w:r w:rsidR="0070224E">
        <w:rPr>
          <w:color w:val="000000"/>
        </w:rPr>
        <w:t xml:space="preserve">an option </w:t>
      </w:r>
      <w:r>
        <w:rPr>
          <w:color w:val="000000"/>
        </w:rPr>
        <w:t>for each of several parameters</w:t>
      </w:r>
      <w:r w:rsidR="009B50AD">
        <w:rPr>
          <w:color w:val="000000"/>
        </w:rPr>
        <w:t xml:space="preserve"> or features</w:t>
      </w:r>
      <w:r>
        <w:rPr>
          <w:color w:val="000000"/>
        </w:rPr>
        <w:t>.</w:t>
      </w:r>
      <w:r w:rsidR="0073042B">
        <w:rPr>
          <w:color w:val="000000"/>
        </w:rPr>
        <w:t xml:space="preserve"> </w:t>
      </w:r>
      <w:r>
        <w:rPr>
          <w:color w:val="000000"/>
        </w:rPr>
        <w:t>This section lists the parameters that have to be determined and the options for each</w:t>
      </w:r>
      <w:r w:rsidR="00161413">
        <w:rPr>
          <w:color w:val="000000"/>
        </w:rPr>
        <w:t xml:space="preserve"> parameter</w:t>
      </w:r>
      <w:r>
        <w:rPr>
          <w:color w:val="000000"/>
        </w:rPr>
        <w:t>.</w:t>
      </w:r>
      <w:r w:rsidR="00FC7E2D">
        <w:rPr>
          <w:color w:val="000000"/>
        </w:rPr>
        <w:t xml:space="preserve"> Many of the parameters that have to be selected are the</w:t>
      </w:r>
      <w:r w:rsidR="005B5A89">
        <w:rPr>
          <w:color w:val="000000"/>
        </w:rPr>
        <w:t xml:space="preserve"> same as with a local sales tax</w:t>
      </w:r>
      <w:r w:rsidR="00FC7E2D">
        <w:rPr>
          <w:color w:val="000000"/>
        </w:rPr>
        <w:t>.</w:t>
      </w:r>
      <w:r w:rsidR="008A3612">
        <w:rPr>
          <w:color w:val="000000"/>
        </w:rPr>
        <w:t xml:space="preserve"> </w:t>
      </w:r>
    </w:p>
    <w:p w14:paraId="642B679C" w14:textId="36080952" w:rsidR="005B5A89" w:rsidRPr="005B5A89" w:rsidRDefault="00CD4B8B" w:rsidP="00EF1C56">
      <w:pPr>
        <w:pStyle w:val="Heading3"/>
      </w:pPr>
      <w:bookmarkStart w:id="84" w:name="_Toc433373662"/>
      <w:r w:rsidRPr="005B5A89">
        <w:t xml:space="preserve">Income Tax </w:t>
      </w:r>
      <w:r w:rsidR="00656975" w:rsidRPr="005B5A89">
        <w:t>Base</w:t>
      </w:r>
      <w:bookmarkEnd w:id="84"/>
      <w:r w:rsidR="0073042B" w:rsidRPr="005B5A89">
        <w:t xml:space="preserve"> </w:t>
      </w:r>
    </w:p>
    <w:p w14:paraId="61CD9B43" w14:textId="7032AA01" w:rsidR="00295FEB" w:rsidRPr="005B5A89" w:rsidRDefault="00295FEB" w:rsidP="005B5A89">
      <w:pPr>
        <w:spacing w:after="0" w:line="360" w:lineRule="auto"/>
        <w:rPr>
          <w:bCs/>
        </w:rPr>
      </w:pPr>
      <w:r>
        <w:t>There are several options for the income tax base:</w:t>
      </w:r>
    </w:p>
    <w:p w14:paraId="437BBFD5" w14:textId="15CA1A8A" w:rsidR="00295FEB" w:rsidRPr="00FF646A" w:rsidRDefault="008A3612" w:rsidP="00FF646A">
      <w:pPr>
        <w:pStyle w:val="ListParagraph"/>
        <w:numPr>
          <w:ilvl w:val="1"/>
          <w:numId w:val="7"/>
        </w:numPr>
        <w:spacing w:after="0" w:line="360" w:lineRule="auto"/>
        <w:ind w:left="1080"/>
        <w:rPr>
          <w:bCs/>
        </w:rPr>
      </w:pPr>
      <w:r w:rsidRPr="009E4A6F">
        <w:t>Gross Earning.</w:t>
      </w:r>
      <w:r w:rsidRPr="00FF646A">
        <w:rPr>
          <w:b/>
        </w:rPr>
        <w:t xml:space="preserve"> </w:t>
      </w:r>
      <w:r w:rsidR="00295FEB">
        <w:t xml:space="preserve">The most commonly used base </w:t>
      </w:r>
      <w:r w:rsidR="00F36DE7">
        <w:t xml:space="preserve">is gross </w:t>
      </w:r>
      <w:r w:rsidR="00295FEB">
        <w:t>earn</w:t>
      </w:r>
      <w:r w:rsidR="00045F13">
        <w:t>ed income</w:t>
      </w:r>
      <w:r w:rsidR="0024113E">
        <w:t xml:space="preserve">, which includes wages, salaries, other compensation, and net profits </w:t>
      </w:r>
      <w:r w:rsidR="0070224E">
        <w:t>of</w:t>
      </w:r>
      <w:r w:rsidR="0024113E">
        <w:t xml:space="preserve"> non-corporations</w:t>
      </w:r>
      <w:r w:rsidR="00295FEB">
        <w:t xml:space="preserve">. This </w:t>
      </w:r>
      <w:r w:rsidR="00F36DE7">
        <w:t xml:space="preserve">base thus </w:t>
      </w:r>
      <w:r w:rsidR="00295FEB">
        <w:t xml:space="preserve">excludes income </w:t>
      </w:r>
      <w:r>
        <w:t xml:space="preserve">from </w:t>
      </w:r>
      <w:r w:rsidR="0024113E">
        <w:t>sources such as dividends</w:t>
      </w:r>
      <w:r w:rsidR="00295FEB">
        <w:t>, interest, royalties, rents, etc.</w:t>
      </w:r>
      <w:r>
        <w:t xml:space="preserve"> In most states there are </w:t>
      </w:r>
      <w:r w:rsidR="0024113E">
        <w:t>no</w:t>
      </w:r>
      <w:r w:rsidR="00F36DE7">
        <w:t xml:space="preserve"> </w:t>
      </w:r>
      <w:r w:rsidR="005F7DA8">
        <w:t xml:space="preserve">personal </w:t>
      </w:r>
      <w:r w:rsidR="00F36DE7">
        <w:t>exe</w:t>
      </w:r>
      <w:r w:rsidR="0024113E">
        <w:t>mptions, deductions, or credits allowed.</w:t>
      </w:r>
    </w:p>
    <w:p w14:paraId="7811AFC9" w14:textId="0888A3F1" w:rsidR="00F36DE7" w:rsidRPr="00DB48E2" w:rsidRDefault="008A3612" w:rsidP="00DB48E2">
      <w:pPr>
        <w:pStyle w:val="ListParagraph"/>
        <w:numPr>
          <w:ilvl w:val="1"/>
          <w:numId w:val="7"/>
        </w:numPr>
        <w:spacing w:after="0" w:line="360" w:lineRule="auto"/>
        <w:ind w:left="1080"/>
        <w:rPr>
          <w:bCs/>
        </w:rPr>
      </w:pPr>
      <w:r w:rsidRPr="009E4A6F">
        <w:t>Adjusted Gross Income.</w:t>
      </w:r>
      <w:r w:rsidRPr="00DB48E2">
        <w:rPr>
          <w:b/>
        </w:rPr>
        <w:t xml:space="preserve"> </w:t>
      </w:r>
      <w:r w:rsidR="009B50AD" w:rsidRPr="009B50AD">
        <w:t>In s</w:t>
      </w:r>
      <w:r w:rsidR="0070224E">
        <w:t xml:space="preserve">ome states </w:t>
      </w:r>
      <w:r w:rsidR="00D13824">
        <w:t>the local income tax uses</w:t>
      </w:r>
      <w:r w:rsidR="0070224E">
        <w:t xml:space="preserve"> state a</w:t>
      </w:r>
      <w:r w:rsidR="00295FEB">
        <w:t xml:space="preserve">djusted </w:t>
      </w:r>
      <w:r w:rsidR="0070224E">
        <w:t>g</w:t>
      </w:r>
      <w:r w:rsidR="00F36DE7">
        <w:t xml:space="preserve">ross </w:t>
      </w:r>
      <w:r w:rsidR="0070224E">
        <w:t>i</w:t>
      </w:r>
      <w:r w:rsidR="00295FEB">
        <w:t>ncome</w:t>
      </w:r>
      <w:r w:rsidR="00F36DE7">
        <w:t xml:space="preserve"> (AGI)</w:t>
      </w:r>
      <w:r w:rsidR="0024113E">
        <w:t xml:space="preserve"> as the base</w:t>
      </w:r>
      <w:r>
        <w:t>, which</w:t>
      </w:r>
      <w:r w:rsidR="00F36DE7">
        <w:t xml:space="preserve"> </w:t>
      </w:r>
      <w:r w:rsidR="0070224E">
        <w:t xml:space="preserve">includes </w:t>
      </w:r>
      <w:r w:rsidR="00F36DE7">
        <w:t xml:space="preserve">all </w:t>
      </w:r>
      <w:r w:rsidR="0070224E">
        <w:t xml:space="preserve">state taxable </w:t>
      </w:r>
      <w:r w:rsidR="00F36DE7">
        <w:t>sources of income</w:t>
      </w:r>
      <w:r>
        <w:t>. Generally</w:t>
      </w:r>
      <w:r w:rsidR="00F36DE7">
        <w:t xml:space="preserve">, </w:t>
      </w:r>
      <w:r>
        <w:t>there are no personal exemptions, deductions, or credits allowed.</w:t>
      </w:r>
    </w:p>
    <w:p w14:paraId="545AB149" w14:textId="45D18C9B" w:rsidR="00F36DE7" w:rsidRPr="00F36DE7" w:rsidRDefault="008A3612" w:rsidP="005B5A89">
      <w:pPr>
        <w:pStyle w:val="ListParagraph"/>
        <w:numPr>
          <w:ilvl w:val="1"/>
          <w:numId w:val="7"/>
        </w:numPr>
        <w:spacing w:after="0" w:line="360" w:lineRule="auto"/>
        <w:ind w:left="1080"/>
        <w:rPr>
          <w:bCs/>
        </w:rPr>
      </w:pPr>
      <w:r w:rsidRPr="009E4A6F">
        <w:t>Taxable Income.</w:t>
      </w:r>
      <w:r w:rsidR="00161413">
        <w:t xml:space="preserve"> The local income tax base for s</w:t>
      </w:r>
      <w:r w:rsidR="0070224E">
        <w:t>chool districts in</w:t>
      </w:r>
      <w:r w:rsidR="00045F13">
        <w:t xml:space="preserve"> Ohio</w:t>
      </w:r>
      <w:r w:rsidR="0070224E">
        <w:t xml:space="preserve"> </w:t>
      </w:r>
      <w:r w:rsidR="00161413">
        <w:t xml:space="preserve">is </w:t>
      </w:r>
      <w:r w:rsidR="0070224E">
        <w:t>state</w:t>
      </w:r>
      <w:r w:rsidR="00F36DE7">
        <w:t xml:space="preserve"> </w:t>
      </w:r>
      <w:r w:rsidR="0070224E">
        <w:t>t</w:t>
      </w:r>
      <w:r w:rsidR="00F36DE7">
        <w:t xml:space="preserve">axable </w:t>
      </w:r>
      <w:r w:rsidR="0070224E">
        <w:t>i</w:t>
      </w:r>
      <w:r w:rsidR="00F36DE7">
        <w:t>ncome. This base incorporate</w:t>
      </w:r>
      <w:r w:rsidR="00161413">
        <w:t>s</w:t>
      </w:r>
      <w:r w:rsidR="00F36DE7">
        <w:t xml:space="preserve"> all of the exemptions and deductions</w:t>
      </w:r>
      <w:r w:rsidR="00161413">
        <w:t xml:space="preserve"> of the state income tax</w:t>
      </w:r>
      <w:r w:rsidR="00F36DE7">
        <w:t>, but not any credits</w:t>
      </w:r>
      <w:r w:rsidR="0024113E" w:rsidRPr="0024113E">
        <w:t xml:space="preserve"> </w:t>
      </w:r>
      <w:r w:rsidR="0024113E">
        <w:t>allowed under the state personal income tax.</w:t>
      </w:r>
      <w:r w:rsidR="00F36DE7">
        <w:t xml:space="preserve"> Given Connecticut’s income tax structure, taxable income is not actually </w:t>
      </w:r>
      <w:r w:rsidR="0024113E">
        <w:t>calculated</w:t>
      </w:r>
      <w:r w:rsidR="00F36DE7">
        <w:t>; the tax tables incorporate the exemptions, which phase out as C</w:t>
      </w:r>
      <w:r w:rsidR="0024113E">
        <w:t xml:space="preserve">onnecticut </w:t>
      </w:r>
      <w:r w:rsidR="00F36DE7">
        <w:t xml:space="preserve">AGI increases. Thus, </w:t>
      </w:r>
      <w:r w:rsidR="0024113E">
        <w:t>to use taxable income as the base</w:t>
      </w:r>
      <w:r>
        <w:t xml:space="preserve"> in Connecticut </w:t>
      </w:r>
      <w:r w:rsidR="00F36DE7">
        <w:t xml:space="preserve">it would be necessary to redo the income tax </w:t>
      </w:r>
      <w:r w:rsidR="005F7DA8">
        <w:t>forms to accommodate a local income tax.</w:t>
      </w:r>
    </w:p>
    <w:p w14:paraId="073FAEA4" w14:textId="2CA64105" w:rsidR="00EA45AD" w:rsidRPr="005F7DA8" w:rsidRDefault="008A3612" w:rsidP="005B5A89">
      <w:pPr>
        <w:pStyle w:val="ListParagraph"/>
        <w:numPr>
          <w:ilvl w:val="1"/>
          <w:numId w:val="7"/>
        </w:numPr>
        <w:spacing w:after="0" w:line="360" w:lineRule="auto"/>
        <w:ind w:left="1080"/>
        <w:rPr>
          <w:bCs/>
        </w:rPr>
      </w:pPr>
      <w:r w:rsidRPr="009E4A6F">
        <w:t>Tax Liability</w:t>
      </w:r>
      <w:r>
        <w:t xml:space="preserve">. </w:t>
      </w:r>
      <w:r w:rsidR="005F7DA8">
        <w:t>Indiana</w:t>
      </w:r>
      <w:r w:rsidR="0070224E">
        <w:t>’s local income tax</w:t>
      </w:r>
      <w:r w:rsidR="005F7DA8">
        <w:t>, and Iowa’s school district income tax, impose</w:t>
      </w:r>
      <w:r w:rsidR="0070224E">
        <w:t>s</w:t>
      </w:r>
      <w:r w:rsidR="005F7DA8">
        <w:t xml:space="preserve"> a surtax on the state’s tax liability. Thus, even with a flat local income tax rate, the local tax </w:t>
      </w:r>
      <w:r w:rsidR="0024113E">
        <w:t xml:space="preserve">incorporates </w:t>
      </w:r>
      <w:r w:rsidR="005F7DA8">
        <w:t>the progressivity of the state’s income tax rate structure, as well as any personal exemptions</w:t>
      </w:r>
      <w:r w:rsidR="0024113E">
        <w:t xml:space="preserve"> and tax credits</w:t>
      </w:r>
      <w:r w:rsidR="005F7DA8">
        <w:t>.</w:t>
      </w:r>
      <w:r w:rsidR="0073042B">
        <w:t xml:space="preserve"> </w:t>
      </w:r>
    </w:p>
    <w:p w14:paraId="5C365DD1" w14:textId="1FC7554F" w:rsidR="00161413" w:rsidRPr="005F7DA8" w:rsidRDefault="005F7DA8" w:rsidP="00495617">
      <w:pPr>
        <w:spacing w:after="0" w:line="360" w:lineRule="auto"/>
        <w:ind w:firstLine="720"/>
        <w:rPr>
          <w:bCs/>
        </w:rPr>
      </w:pPr>
      <w:r>
        <w:rPr>
          <w:bCs/>
        </w:rPr>
        <w:lastRenderedPageBreak/>
        <w:t xml:space="preserve">These alternative income tax bases </w:t>
      </w:r>
      <w:r w:rsidR="0024113E">
        <w:rPr>
          <w:bCs/>
        </w:rPr>
        <w:t xml:space="preserve">obviously </w:t>
      </w:r>
      <w:r>
        <w:rPr>
          <w:bCs/>
        </w:rPr>
        <w:t>differ in terms of what income is taxed</w:t>
      </w:r>
      <w:r w:rsidR="008A3612">
        <w:rPr>
          <w:bCs/>
        </w:rPr>
        <w:t>, b</w:t>
      </w:r>
      <w:r w:rsidR="0024113E">
        <w:rPr>
          <w:bCs/>
        </w:rPr>
        <w:t xml:space="preserve">ut they also differ in terms of </w:t>
      </w:r>
      <w:r>
        <w:rPr>
          <w:bCs/>
        </w:rPr>
        <w:t>the equity of the tax</w:t>
      </w:r>
      <w:r w:rsidR="00C56B9E">
        <w:rPr>
          <w:bCs/>
        </w:rPr>
        <w:t>, i.e., the degree of regressivity or progressivity, a</w:t>
      </w:r>
      <w:r w:rsidR="00D13824">
        <w:rPr>
          <w:bCs/>
        </w:rPr>
        <w:t>s well as</w:t>
      </w:r>
      <w:r w:rsidR="00C56B9E">
        <w:rPr>
          <w:bCs/>
        </w:rPr>
        <w:t xml:space="preserve"> administrative and compliance costs</w:t>
      </w:r>
      <w:r w:rsidR="008D7D5E">
        <w:rPr>
          <w:bCs/>
        </w:rPr>
        <w:t xml:space="preserve">. These </w:t>
      </w:r>
      <w:r w:rsidR="00C56B9E">
        <w:rPr>
          <w:bCs/>
        </w:rPr>
        <w:t>two issues are</w:t>
      </w:r>
      <w:r>
        <w:rPr>
          <w:bCs/>
        </w:rPr>
        <w:t xml:space="preserve"> discussed below.</w:t>
      </w:r>
    </w:p>
    <w:p w14:paraId="788C4E32" w14:textId="77777777" w:rsidR="00FF646A" w:rsidRDefault="00CD4B8B" w:rsidP="00EF1C56">
      <w:pPr>
        <w:pStyle w:val="Heading3"/>
        <w:rPr>
          <w:b/>
        </w:rPr>
      </w:pPr>
      <w:bookmarkStart w:id="85" w:name="_Toc433373663"/>
      <w:r w:rsidRPr="00FF646A">
        <w:t xml:space="preserve">Income Tax </w:t>
      </w:r>
      <w:r w:rsidR="00656975" w:rsidRPr="00FF646A">
        <w:t>Rate</w:t>
      </w:r>
      <w:bookmarkEnd w:id="85"/>
    </w:p>
    <w:p w14:paraId="47EBD24A" w14:textId="0207525B" w:rsidR="00566BAB" w:rsidRPr="00566BAB" w:rsidRDefault="000F0B42" w:rsidP="00495617">
      <w:pPr>
        <w:spacing w:after="0" w:line="360" w:lineRule="auto"/>
        <w:ind w:firstLine="720"/>
        <w:rPr>
          <w:bCs/>
        </w:rPr>
      </w:pPr>
      <w:r w:rsidRPr="00FF646A">
        <w:rPr>
          <w:bCs/>
        </w:rPr>
        <w:t>Local income ta</w:t>
      </w:r>
      <w:r w:rsidR="00FC7E2D" w:rsidRPr="00FF646A">
        <w:rPr>
          <w:bCs/>
        </w:rPr>
        <w:t>x r</w:t>
      </w:r>
      <w:r w:rsidR="00656975" w:rsidRPr="00FF646A">
        <w:rPr>
          <w:bCs/>
        </w:rPr>
        <w:t xml:space="preserve">ates </w:t>
      </w:r>
      <w:r w:rsidR="005F7DA8" w:rsidRPr="00FF646A">
        <w:rPr>
          <w:bCs/>
        </w:rPr>
        <w:t xml:space="preserve">differ </w:t>
      </w:r>
      <w:r w:rsidRPr="00FF646A">
        <w:rPr>
          <w:bCs/>
        </w:rPr>
        <w:t>across states.</w:t>
      </w:r>
      <w:r w:rsidR="005F7DA8" w:rsidRPr="00FF646A">
        <w:rPr>
          <w:bCs/>
        </w:rPr>
        <w:t xml:space="preserve"> For tax</w:t>
      </w:r>
      <w:r w:rsidRPr="00FF646A">
        <w:rPr>
          <w:bCs/>
        </w:rPr>
        <w:t xml:space="preserve">es using </w:t>
      </w:r>
      <w:r w:rsidR="00EA1709" w:rsidRPr="00FF646A">
        <w:rPr>
          <w:bCs/>
        </w:rPr>
        <w:t xml:space="preserve">AGI, state taxable income, or earned income as </w:t>
      </w:r>
      <w:r w:rsidRPr="00FF646A">
        <w:rPr>
          <w:bCs/>
        </w:rPr>
        <w:t>the tax base</w:t>
      </w:r>
      <w:r w:rsidR="005F7DA8" w:rsidRPr="00FF646A">
        <w:rPr>
          <w:bCs/>
        </w:rPr>
        <w:t>, the rates are generally</w:t>
      </w:r>
      <w:r w:rsidR="00656975" w:rsidRPr="00FF646A">
        <w:rPr>
          <w:bCs/>
        </w:rPr>
        <w:t xml:space="preserve"> one percent</w:t>
      </w:r>
      <w:r w:rsidR="005F7DA8" w:rsidRPr="00FF646A">
        <w:rPr>
          <w:bCs/>
        </w:rPr>
        <w:t xml:space="preserve">. Because </w:t>
      </w:r>
      <w:r w:rsidR="008D7D5E" w:rsidRPr="00FF646A">
        <w:rPr>
          <w:bCs/>
        </w:rPr>
        <w:t xml:space="preserve">state </w:t>
      </w:r>
      <w:r w:rsidR="005F7DA8" w:rsidRPr="00FF646A">
        <w:rPr>
          <w:bCs/>
        </w:rPr>
        <w:t>tax liability</w:t>
      </w:r>
      <w:r w:rsidR="00C56B9E" w:rsidRPr="00FF646A">
        <w:rPr>
          <w:bCs/>
        </w:rPr>
        <w:t xml:space="preserve"> </w:t>
      </w:r>
      <w:r w:rsidR="005F7DA8" w:rsidRPr="00FF646A">
        <w:rPr>
          <w:bCs/>
        </w:rPr>
        <w:t xml:space="preserve">is </w:t>
      </w:r>
      <w:r w:rsidR="00D13824" w:rsidRPr="00FF646A">
        <w:rPr>
          <w:bCs/>
        </w:rPr>
        <w:t xml:space="preserve">much </w:t>
      </w:r>
      <w:r w:rsidR="005F7DA8" w:rsidRPr="00FF646A">
        <w:rPr>
          <w:bCs/>
        </w:rPr>
        <w:t xml:space="preserve">smaller than </w:t>
      </w:r>
      <w:r w:rsidRPr="00FF646A">
        <w:rPr>
          <w:bCs/>
        </w:rPr>
        <w:t>AGI,</w:t>
      </w:r>
      <w:r w:rsidR="00EA1709" w:rsidRPr="00FF646A">
        <w:rPr>
          <w:bCs/>
        </w:rPr>
        <w:t xml:space="preserve"> state taxable income, and earned income,</w:t>
      </w:r>
      <w:r w:rsidRPr="00FF646A">
        <w:rPr>
          <w:bCs/>
        </w:rPr>
        <w:t xml:space="preserve"> </w:t>
      </w:r>
      <w:r w:rsidR="005F7DA8" w:rsidRPr="00FF646A">
        <w:rPr>
          <w:bCs/>
        </w:rPr>
        <w:t xml:space="preserve">the </w:t>
      </w:r>
      <w:r w:rsidR="00C56B9E" w:rsidRPr="00FF646A">
        <w:rPr>
          <w:bCs/>
        </w:rPr>
        <w:t xml:space="preserve">tax </w:t>
      </w:r>
      <w:r w:rsidR="005F7DA8" w:rsidRPr="00FF646A">
        <w:rPr>
          <w:bCs/>
        </w:rPr>
        <w:t>rates are generally higher than one percent</w:t>
      </w:r>
      <w:r w:rsidR="00D13824" w:rsidRPr="00FF646A">
        <w:rPr>
          <w:bCs/>
        </w:rPr>
        <w:t xml:space="preserve"> when state tax liability is the base</w:t>
      </w:r>
      <w:r w:rsidR="005F7DA8" w:rsidRPr="00FF646A">
        <w:rPr>
          <w:bCs/>
        </w:rPr>
        <w:t xml:space="preserve">. </w:t>
      </w:r>
      <w:r w:rsidRPr="00FF646A">
        <w:rPr>
          <w:bCs/>
        </w:rPr>
        <w:t xml:space="preserve">Higher tax rates are used in large cities such as Philadelphia and Detroit. </w:t>
      </w:r>
      <w:r w:rsidR="008D7D5E" w:rsidRPr="00FF646A">
        <w:rPr>
          <w:bCs/>
        </w:rPr>
        <w:t xml:space="preserve">With </w:t>
      </w:r>
      <w:r w:rsidR="00EA1709" w:rsidRPr="00FF646A">
        <w:rPr>
          <w:bCs/>
        </w:rPr>
        <w:t xml:space="preserve">very </w:t>
      </w:r>
      <w:r w:rsidR="008D7D5E" w:rsidRPr="00FF646A">
        <w:rPr>
          <w:bCs/>
        </w:rPr>
        <w:t>few exceptions</w:t>
      </w:r>
      <w:r w:rsidR="005F7DA8" w:rsidRPr="00FF646A">
        <w:rPr>
          <w:bCs/>
        </w:rPr>
        <w:t>, local income tax rates are flat, i.e., there is only one rate.</w:t>
      </w:r>
      <w:r w:rsidR="0073042B" w:rsidRPr="00FF646A">
        <w:rPr>
          <w:bCs/>
        </w:rPr>
        <w:t xml:space="preserve"> </w:t>
      </w:r>
      <w:r w:rsidR="009922BD" w:rsidRPr="00FF646A">
        <w:rPr>
          <w:bCs/>
        </w:rPr>
        <w:t xml:space="preserve">As with the sales tax, </w:t>
      </w:r>
      <w:r w:rsidR="008D7D5E" w:rsidRPr="00FF646A">
        <w:rPr>
          <w:bCs/>
        </w:rPr>
        <w:t>states differ as to whether</w:t>
      </w:r>
      <w:r w:rsidR="00A465A7">
        <w:rPr>
          <w:bCs/>
        </w:rPr>
        <w:t xml:space="preserve"> the</w:t>
      </w:r>
      <w:r w:rsidR="008D7D5E" w:rsidRPr="00FF646A">
        <w:rPr>
          <w:bCs/>
        </w:rPr>
        <w:t xml:space="preserve"> </w:t>
      </w:r>
      <w:r w:rsidR="009922BD" w:rsidRPr="00FF646A">
        <w:rPr>
          <w:bCs/>
        </w:rPr>
        <w:t xml:space="preserve">state </w:t>
      </w:r>
      <w:r w:rsidR="008D7D5E" w:rsidRPr="00FF646A">
        <w:rPr>
          <w:bCs/>
        </w:rPr>
        <w:t>set</w:t>
      </w:r>
      <w:r w:rsidR="00EA1709" w:rsidRPr="00FF646A">
        <w:rPr>
          <w:bCs/>
        </w:rPr>
        <w:t>s</w:t>
      </w:r>
      <w:r w:rsidR="008D7D5E" w:rsidRPr="00FF646A">
        <w:rPr>
          <w:bCs/>
        </w:rPr>
        <w:t xml:space="preserve"> the tax rate o</w:t>
      </w:r>
      <w:r w:rsidR="00EA1709" w:rsidRPr="00FF646A">
        <w:rPr>
          <w:bCs/>
        </w:rPr>
        <w:t>r</w:t>
      </w:r>
      <w:r w:rsidR="008D7D5E" w:rsidRPr="00FF646A">
        <w:rPr>
          <w:bCs/>
        </w:rPr>
        <w:t xml:space="preserve"> whether the rate can be set by the </w:t>
      </w:r>
      <w:r w:rsidR="009922BD" w:rsidRPr="00FF646A">
        <w:rPr>
          <w:bCs/>
        </w:rPr>
        <w:t xml:space="preserve">municipality. </w:t>
      </w:r>
      <w:r w:rsidR="003A1040" w:rsidRPr="00FF646A">
        <w:rPr>
          <w:bCs/>
        </w:rPr>
        <w:t xml:space="preserve">In most states, the local income tax rate is set by the </w:t>
      </w:r>
      <w:r w:rsidRPr="00FF646A">
        <w:rPr>
          <w:bCs/>
        </w:rPr>
        <w:t>local government, but frequently with some maximum allowable rate</w:t>
      </w:r>
      <w:r w:rsidR="003A1040" w:rsidRPr="00FF646A">
        <w:rPr>
          <w:bCs/>
        </w:rPr>
        <w:t>.</w:t>
      </w:r>
      <w:r w:rsidR="0073042B" w:rsidRPr="00FF646A">
        <w:rPr>
          <w:bCs/>
        </w:rPr>
        <w:t xml:space="preserve"> </w:t>
      </w:r>
    </w:p>
    <w:p w14:paraId="7FE330F4" w14:textId="77777777" w:rsidR="00FF646A" w:rsidRDefault="00E76CAB" w:rsidP="00EF1C56">
      <w:pPr>
        <w:pStyle w:val="Heading3"/>
      </w:pPr>
      <w:bookmarkStart w:id="86" w:name="_Toc433373664"/>
      <w:r w:rsidRPr="00FF646A">
        <w:t xml:space="preserve">Optional versus Mandated </w:t>
      </w:r>
      <w:r w:rsidR="00CD4B8B" w:rsidRPr="00FF646A">
        <w:t>Income</w:t>
      </w:r>
      <w:r w:rsidRPr="00FF646A">
        <w:t xml:space="preserve"> Tax</w:t>
      </w:r>
      <w:bookmarkEnd w:id="86"/>
      <w:r w:rsidR="0073042B" w:rsidRPr="00FF646A">
        <w:t xml:space="preserve"> </w:t>
      </w:r>
    </w:p>
    <w:p w14:paraId="7574CBCD" w14:textId="07FCADC0" w:rsidR="00566BAB" w:rsidRPr="00566BAB" w:rsidRDefault="00566BAB" w:rsidP="00495617">
      <w:pPr>
        <w:spacing w:after="0" w:line="360" w:lineRule="auto"/>
        <w:ind w:firstLine="720"/>
        <w:rPr>
          <w:bCs/>
        </w:rPr>
      </w:pPr>
      <w:r w:rsidRPr="00FF646A">
        <w:rPr>
          <w:color w:val="000000"/>
        </w:rPr>
        <w:t xml:space="preserve">As with the local sales tax, the state could require that an income </w:t>
      </w:r>
      <w:r w:rsidR="00E76CAB" w:rsidRPr="00FF646A">
        <w:rPr>
          <w:color w:val="000000"/>
        </w:rPr>
        <w:t xml:space="preserve">tax of a fixed tax rate be adopted by each </w:t>
      </w:r>
      <w:r w:rsidR="00D96D29" w:rsidRPr="00FF646A">
        <w:rPr>
          <w:color w:val="000000"/>
        </w:rPr>
        <w:t>municipality</w:t>
      </w:r>
      <w:r w:rsidR="00D36F00">
        <w:rPr>
          <w:color w:val="000000"/>
        </w:rPr>
        <w:t>;</w:t>
      </w:r>
      <w:r w:rsidR="00D36F00" w:rsidRPr="00D36F00">
        <w:rPr>
          <w:color w:val="000000"/>
        </w:rPr>
        <w:t xml:space="preserve"> </w:t>
      </w:r>
      <w:r w:rsidR="00D36F00">
        <w:rPr>
          <w:color w:val="000000"/>
        </w:rPr>
        <w:t xml:space="preserve">this would be equivalent to a state grant with revenues distributed on the basis of </w:t>
      </w:r>
      <w:r w:rsidR="00A465A7">
        <w:rPr>
          <w:color w:val="000000"/>
        </w:rPr>
        <w:t xml:space="preserve">the </w:t>
      </w:r>
      <w:r w:rsidR="00D36F00">
        <w:rPr>
          <w:color w:val="000000"/>
        </w:rPr>
        <w:t>income</w:t>
      </w:r>
      <w:r w:rsidR="00A465A7">
        <w:rPr>
          <w:color w:val="000000"/>
        </w:rPr>
        <w:t xml:space="preserve"> tax base</w:t>
      </w:r>
      <w:r w:rsidR="00D36F00">
        <w:rPr>
          <w:color w:val="000000"/>
        </w:rPr>
        <w:t>. O</w:t>
      </w:r>
      <w:r w:rsidR="00E76CAB" w:rsidRPr="00FF646A">
        <w:rPr>
          <w:color w:val="000000"/>
        </w:rPr>
        <w:t>r</w:t>
      </w:r>
      <w:r w:rsidR="00D36F00">
        <w:rPr>
          <w:color w:val="000000"/>
        </w:rPr>
        <w:t>,</w:t>
      </w:r>
      <w:r w:rsidR="00E76CAB" w:rsidRPr="00FF646A">
        <w:rPr>
          <w:color w:val="000000"/>
        </w:rPr>
        <w:t xml:space="preserve"> it could allow each </w:t>
      </w:r>
      <w:r w:rsidR="00D96D29" w:rsidRPr="00FF646A">
        <w:rPr>
          <w:color w:val="000000"/>
        </w:rPr>
        <w:t>municipality</w:t>
      </w:r>
      <w:r w:rsidR="00E76CAB" w:rsidRPr="00FF646A">
        <w:rPr>
          <w:color w:val="000000"/>
        </w:rPr>
        <w:t xml:space="preserve"> to decide whether to adopt a</w:t>
      </w:r>
      <w:r w:rsidR="008D7D5E" w:rsidRPr="00FF646A">
        <w:rPr>
          <w:color w:val="000000"/>
        </w:rPr>
        <w:t>n income</w:t>
      </w:r>
      <w:r w:rsidR="00E76CAB" w:rsidRPr="00FF646A">
        <w:rPr>
          <w:color w:val="000000"/>
        </w:rPr>
        <w:t xml:space="preserve"> tax.</w:t>
      </w:r>
      <w:r w:rsidR="00C56B9E" w:rsidRPr="00FF646A">
        <w:rPr>
          <w:color w:val="000000"/>
        </w:rPr>
        <w:t xml:space="preserve"> </w:t>
      </w:r>
      <w:r w:rsidR="00D36F00">
        <w:rPr>
          <w:color w:val="000000"/>
        </w:rPr>
        <w:t xml:space="preserve">If all towns are required to adopt a local income tax, </w:t>
      </w:r>
      <w:r w:rsidR="00C56B9E" w:rsidRPr="00FF646A">
        <w:rPr>
          <w:color w:val="000000"/>
        </w:rPr>
        <w:t>Other than Maryland, local governments decide whether to have an income tax.</w:t>
      </w:r>
      <w:r w:rsidR="0073042B" w:rsidRPr="00FF646A">
        <w:rPr>
          <w:color w:val="000000"/>
        </w:rPr>
        <w:t xml:space="preserve"> </w:t>
      </w:r>
      <w:r w:rsidRPr="00FF646A">
        <w:rPr>
          <w:color w:val="000000"/>
        </w:rPr>
        <w:t xml:space="preserve">See the discussion </w:t>
      </w:r>
      <w:r w:rsidR="00C56B9E" w:rsidRPr="00FF646A">
        <w:rPr>
          <w:color w:val="000000"/>
        </w:rPr>
        <w:t xml:space="preserve">of this issue in the local sales tax section </w:t>
      </w:r>
      <w:r w:rsidRPr="00FF646A">
        <w:rPr>
          <w:color w:val="000000"/>
        </w:rPr>
        <w:t>above.</w:t>
      </w:r>
    </w:p>
    <w:p w14:paraId="5CFFD681" w14:textId="77777777" w:rsidR="00FF646A" w:rsidRDefault="00566BAB" w:rsidP="00EF1C56">
      <w:pPr>
        <w:pStyle w:val="Heading3"/>
        <w:rPr>
          <w:b/>
        </w:rPr>
      </w:pPr>
      <w:bookmarkStart w:id="87" w:name="_Toc433373665"/>
      <w:r w:rsidRPr="00FF646A">
        <w:t>Situs/</w:t>
      </w:r>
      <w:r w:rsidR="009922BD" w:rsidRPr="00FF646A">
        <w:t>Allocation of Revenue</w:t>
      </w:r>
      <w:bookmarkEnd w:id="87"/>
      <w:r w:rsidR="009922BD" w:rsidRPr="00FF646A">
        <w:rPr>
          <w:b/>
        </w:rPr>
        <w:t xml:space="preserve"> </w:t>
      </w:r>
    </w:p>
    <w:p w14:paraId="5F078EBA" w14:textId="338CD5C7" w:rsidR="00C3380B" w:rsidRPr="00FF646A" w:rsidRDefault="00566BAB" w:rsidP="00FF646A">
      <w:pPr>
        <w:spacing w:after="0" w:line="360" w:lineRule="auto"/>
        <w:ind w:firstLine="720"/>
        <w:rPr>
          <w:bCs/>
        </w:rPr>
      </w:pPr>
      <w:r w:rsidRPr="00FF646A">
        <w:rPr>
          <w:bCs/>
        </w:rPr>
        <w:t>The situs of the t</w:t>
      </w:r>
      <w:r w:rsidR="009922BD" w:rsidRPr="00FF646A">
        <w:rPr>
          <w:bCs/>
        </w:rPr>
        <w:t>ax base</w:t>
      </w:r>
      <w:r w:rsidRPr="00FF646A">
        <w:rPr>
          <w:bCs/>
        </w:rPr>
        <w:t xml:space="preserve"> </w:t>
      </w:r>
      <w:r w:rsidR="009922BD" w:rsidRPr="00FF646A">
        <w:rPr>
          <w:bCs/>
        </w:rPr>
        <w:t xml:space="preserve">can be </w:t>
      </w:r>
      <w:r w:rsidRPr="00FF646A">
        <w:rPr>
          <w:bCs/>
        </w:rPr>
        <w:t>based on place of residence</w:t>
      </w:r>
      <w:r w:rsidR="00AE3D4F" w:rsidRPr="00FF646A">
        <w:rPr>
          <w:bCs/>
        </w:rPr>
        <w:t>,</w:t>
      </w:r>
      <w:r w:rsidR="009922BD" w:rsidRPr="00FF646A">
        <w:rPr>
          <w:bCs/>
        </w:rPr>
        <w:t xml:space="preserve"> </w:t>
      </w:r>
      <w:r w:rsidRPr="00FF646A">
        <w:rPr>
          <w:bCs/>
        </w:rPr>
        <w:t xml:space="preserve">where </w:t>
      </w:r>
      <w:r w:rsidR="009922BD" w:rsidRPr="00FF646A">
        <w:rPr>
          <w:bCs/>
        </w:rPr>
        <w:t>the income is earned</w:t>
      </w:r>
      <w:r w:rsidR="00AE3D4F" w:rsidRPr="00FF646A">
        <w:rPr>
          <w:bCs/>
        </w:rPr>
        <w:t>, or both</w:t>
      </w:r>
      <w:r w:rsidR="009922BD" w:rsidRPr="00FF646A">
        <w:rPr>
          <w:bCs/>
        </w:rPr>
        <w:t>.</w:t>
      </w:r>
      <w:r w:rsidR="0073042B" w:rsidRPr="00FF646A">
        <w:rPr>
          <w:bCs/>
        </w:rPr>
        <w:t xml:space="preserve"> </w:t>
      </w:r>
      <w:r w:rsidR="00554EFA" w:rsidRPr="00FF646A">
        <w:rPr>
          <w:bCs/>
        </w:rPr>
        <w:t xml:space="preserve">For local income taxes that use AGI, </w:t>
      </w:r>
      <w:r w:rsidR="008D7D5E" w:rsidRPr="00FF646A">
        <w:rPr>
          <w:bCs/>
        </w:rPr>
        <w:t xml:space="preserve">state </w:t>
      </w:r>
      <w:r w:rsidR="00554EFA" w:rsidRPr="00FF646A">
        <w:rPr>
          <w:bCs/>
        </w:rPr>
        <w:t xml:space="preserve">taxable income, or </w:t>
      </w:r>
      <w:r w:rsidR="008D7D5E" w:rsidRPr="00FF646A">
        <w:rPr>
          <w:bCs/>
        </w:rPr>
        <w:t xml:space="preserve">state </w:t>
      </w:r>
      <w:r w:rsidR="00554EFA" w:rsidRPr="00FF646A">
        <w:rPr>
          <w:bCs/>
        </w:rPr>
        <w:t>tax liability as the tax base, situs is place of residence. For local income tax</w:t>
      </w:r>
      <w:r w:rsidR="008D7D5E" w:rsidRPr="00FF646A">
        <w:rPr>
          <w:bCs/>
        </w:rPr>
        <w:t>es</w:t>
      </w:r>
      <w:r w:rsidR="00554EFA" w:rsidRPr="00FF646A">
        <w:rPr>
          <w:bCs/>
        </w:rPr>
        <w:t xml:space="preserve"> that use earn</w:t>
      </w:r>
      <w:r w:rsidR="00045F13" w:rsidRPr="00FF646A">
        <w:rPr>
          <w:bCs/>
        </w:rPr>
        <w:t>ed income</w:t>
      </w:r>
      <w:r w:rsidR="008D7D5E" w:rsidRPr="00FF646A">
        <w:rPr>
          <w:bCs/>
        </w:rPr>
        <w:t xml:space="preserve"> as the base</w:t>
      </w:r>
      <w:r w:rsidR="00554EFA" w:rsidRPr="00FF646A">
        <w:rPr>
          <w:bCs/>
        </w:rPr>
        <w:t>, s</w:t>
      </w:r>
      <w:r w:rsidR="00096C9D" w:rsidRPr="00FF646A">
        <w:rPr>
          <w:bCs/>
        </w:rPr>
        <w:t xml:space="preserve">ome </w:t>
      </w:r>
      <w:r w:rsidR="00554EFA" w:rsidRPr="00FF646A">
        <w:rPr>
          <w:bCs/>
        </w:rPr>
        <w:t>are imposed</w:t>
      </w:r>
      <w:r w:rsidR="00096C9D" w:rsidRPr="00FF646A">
        <w:rPr>
          <w:bCs/>
        </w:rPr>
        <w:t xml:space="preserve"> by place of work while </w:t>
      </w:r>
      <w:r w:rsidR="00045F13" w:rsidRPr="00FF646A">
        <w:rPr>
          <w:bCs/>
        </w:rPr>
        <w:t>i</w:t>
      </w:r>
      <w:r w:rsidR="003A1040" w:rsidRPr="00FF646A">
        <w:rPr>
          <w:bCs/>
        </w:rPr>
        <w:t xml:space="preserve">n some states the tax is levied on </w:t>
      </w:r>
      <w:r w:rsidR="00045F13" w:rsidRPr="00FF646A">
        <w:rPr>
          <w:bCs/>
        </w:rPr>
        <w:t xml:space="preserve">earned income of </w:t>
      </w:r>
      <w:r w:rsidR="003A1040" w:rsidRPr="00FF646A">
        <w:rPr>
          <w:bCs/>
        </w:rPr>
        <w:t>residents and on the earnings of nonresidents</w:t>
      </w:r>
      <w:r w:rsidR="00843B81" w:rsidRPr="00FF646A">
        <w:rPr>
          <w:bCs/>
        </w:rPr>
        <w:t>, b</w:t>
      </w:r>
      <w:r w:rsidR="003A1040" w:rsidRPr="00FF646A">
        <w:rPr>
          <w:bCs/>
        </w:rPr>
        <w:t>ut generally</w:t>
      </w:r>
      <w:r w:rsidR="00D96D29" w:rsidRPr="00FF646A">
        <w:rPr>
          <w:bCs/>
        </w:rPr>
        <w:t>, although not always,</w:t>
      </w:r>
      <w:r w:rsidR="003A1040" w:rsidRPr="00FF646A">
        <w:rPr>
          <w:bCs/>
        </w:rPr>
        <w:t xml:space="preserve"> the nonresident gets a credit </w:t>
      </w:r>
      <w:r w:rsidR="00D96D29" w:rsidRPr="00FF646A">
        <w:rPr>
          <w:bCs/>
        </w:rPr>
        <w:t xml:space="preserve">against </w:t>
      </w:r>
      <w:r w:rsidR="00EA1709" w:rsidRPr="00FF646A">
        <w:rPr>
          <w:bCs/>
        </w:rPr>
        <w:t>the</w:t>
      </w:r>
      <w:r w:rsidR="003A1040" w:rsidRPr="00FF646A">
        <w:rPr>
          <w:bCs/>
        </w:rPr>
        <w:t xml:space="preserve"> income tax</w:t>
      </w:r>
      <w:r w:rsidR="00D96D29" w:rsidRPr="00FF646A">
        <w:rPr>
          <w:bCs/>
        </w:rPr>
        <w:t xml:space="preserve"> imposed by the resident’s city</w:t>
      </w:r>
      <w:r w:rsidR="00EA1709" w:rsidRPr="00FF646A">
        <w:rPr>
          <w:bCs/>
        </w:rPr>
        <w:t xml:space="preserve"> for </w:t>
      </w:r>
      <w:r w:rsidR="00D13824" w:rsidRPr="00FF646A">
        <w:rPr>
          <w:bCs/>
        </w:rPr>
        <w:t xml:space="preserve">the </w:t>
      </w:r>
      <w:r w:rsidR="00A465A7">
        <w:rPr>
          <w:bCs/>
        </w:rPr>
        <w:t>tax imposed by place-</w:t>
      </w:r>
      <w:r w:rsidR="00EA1709" w:rsidRPr="00FF646A">
        <w:rPr>
          <w:bCs/>
        </w:rPr>
        <w:t>of</w:t>
      </w:r>
      <w:r w:rsidR="00A465A7">
        <w:rPr>
          <w:bCs/>
        </w:rPr>
        <w:t>-</w:t>
      </w:r>
      <w:r w:rsidR="00EA1709" w:rsidRPr="00FF646A">
        <w:rPr>
          <w:bCs/>
        </w:rPr>
        <w:t>work</w:t>
      </w:r>
      <w:r w:rsidR="003A1040" w:rsidRPr="00FF646A">
        <w:rPr>
          <w:bCs/>
        </w:rPr>
        <w:t>.</w:t>
      </w:r>
      <w:r w:rsidR="00843B81" w:rsidRPr="00FF646A">
        <w:rPr>
          <w:bCs/>
        </w:rPr>
        <w:t xml:space="preserve"> </w:t>
      </w:r>
      <w:r w:rsidRPr="00FF646A">
        <w:rPr>
          <w:bCs/>
        </w:rPr>
        <w:t xml:space="preserve">The recent U.S. Supreme Court decision </w:t>
      </w:r>
      <w:r w:rsidR="0092578E" w:rsidRPr="00FF646A">
        <w:rPr>
          <w:bCs/>
        </w:rPr>
        <w:t xml:space="preserve">regarding Maryland’s income tax </w:t>
      </w:r>
      <w:r w:rsidR="00D36F00">
        <w:rPr>
          <w:bCs/>
        </w:rPr>
        <w:t>(</w:t>
      </w:r>
      <w:r w:rsidR="00D36F00" w:rsidRPr="00D36F00">
        <w:rPr>
          <w:bCs/>
          <w:i/>
        </w:rPr>
        <w:t>Comptroller of the Treasury of Maryland v. Wayne</w:t>
      </w:r>
      <w:r w:rsidR="00D36F00">
        <w:rPr>
          <w:bCs/>
        </w:rPr>
        <w:t xml:space="preserve">) </w:t>
      </w:r>
      <w:r w:rsidRPr="00FF646A">
        <w:rPr>
          <w:bCs/>
        </w:rPr>
        <w:t xml:space="preserve">would suggest that a credit </w:t>
      </w:r>
      <w:r w:rsidR="002A4768" w:rsidRPr="00FF646A">
        <w:rPr>
          <w:bCs/>
        </w:rPr>
        <w:t xml:space="preserve">on taxes paid to the </w:t>
      </w:r>
      <w:r w:rsidR="00D96D29" w:rsidRPr="00FF646A">
        <w:rPr>
          <w:bCs/>
        </w:rPr>
        <w:t>municipality</w:t>
      </w:r>
      <w:r w:rsidR="002A4768" w:rsidRPr="00FF646A">
        <w:rPr>
          <w:bCs/>
        </w:rPr>
        <w:t xml:space="preserve"> of employment </w:t>
      </w:r>
      <w:r w:rsidRPr="00FF646A">
        <w:rPr>
          <w:bCs/>
        </w:rPr>
        <w:t>w</w:t>
      </w:r>
      <w:r w:rsidR="00D96D29" w:rsidRPr="00FF646A">
        <w:rPr>
          <w:bCs/>
        </w:rPr>
        <w:t>ould</w:t>
      </w:r>
      <w:r w:rsidRPr="00FF646A">
        <w:rPr>
          <w:bCs/>
        </w:rPr>
        <w:t xml:space="preserve"> be mandatory. </w:t>
      </w:r>
    </w:p>
    <w:p w14:paraId="5D9460D8" w14:textId="6855D481" w:rsidR="002544EF" w:rsidRPr="00FF646A" w:rsidRDefault="00843B81" w:rsidP="00FF646A">
      <w:pPr>
        <w:spacing w:after="0" w:line="360" w:lineRule="auto"/>
        <w:ind w:firstLine="720"/>
        <w:rPr>
          <w:bCs/>
        </w:rPr>
      </w:pPr>
      <w:r w:rsidRPr="00FF646A">
        <w:rPr>
          <w:bCs/>
        </w:rPr>
        <w:lastRenderedPageBreak/>
        <w:t xml:space="preserve">In most states the local income tax is imposed on the </w:t>
      </w:r>
      <w:r w:rsidR="00161413" w:rsidRPr="00FF646A">
        <w:rPr>
          <w:bCs/>
        </w:rPr>
        <w:t>employee</w:t>
      </w:r>
      <w:r w:rsidRPr="00FF646A">
        <w:rPr>
          <w:bCs/>
        </w:rPr>
        <w:t>.</w:t>
      </w:r>
      <w:r w:rsidR="0073042B" w:rsidRPr="00FF646A">
        <w:rPr>
          <w:bCs/>
        </w:rPr>
        <w:t xml:space="preserve"> </w:t>
      </w:r>
      <w:r w:rsidRPr="00FF646A">
        <w:rPr>
          <w:bCs/>
        </w:rPr>
        <w:t>However, Los Angeles and San Francisco have payroll taxes that are paid by the employer. Assuming that this tax is born by the employee, then the</w:t>
      </w:r>
      <w:r w:rsidR="00D13824" w:rsidRPr="00FF646A">
        <w:rPr>
          <w:bCs/>
        </w:rPr>
        <w:t xml:space="preserve"> payroll</w:t>
      </w:r>
      <w:r w:rsidRPr="00FF646A">
        <w:rPr>
          <w:bCs/>
        </w:rPr>
        <w:t xml:space="preserve"> tax is born by </w:t>
      </w:r>
      <w:r w:rsidR="00D13824" w:rsidRPr="00FF646A">
        <w:rPr>
          <w:bCs/>
        </w:rPr>
        <w:t>anyone (</w:t>
      </w:r>
      <w:r w:rsidRPr="00FF646A">
        <w:rPr>
          <w:bCs/>
        </w:rPr>
        <w:t>both nonresidents and residents</w:t>
      </w:r>
      <w:r w:rsidR="00D13824" w:rsidRPr="00FF646A">
        <w:rPr>
          <w:bCs/>
        </w:rPr>
        <w:t>)</w:t>
      </w:r>
      <w:r w:rsidRPr="00FF646A">
        <w:rPr>
          <w:bCs/>
        </w:rPr>
        <w:t xml:space="preserve"> who work</w:t>
      </w:r>
      <w:r w:rsidR="00261650">
        <w:rPr>
          <w:bCs/>
        </w:rPr>
        <w:t>s</w:t>
      </w:r>
      <w:r w:rsidRPr="00FF646A">
        <w:rPr>
          <w:bCs/>
        </w:rPr>
        <w:t xml:space="preserve"> in the city, but not by residents who work outside of the city.</w:t>
      </w:r>
      <w:r w:rsidR="002544EF" w:rsidRPr="00FF646A">
        <w:rPr>
          <w:bCs/>
        </w:rPr>
        <w:t xml:space="preserve"> </w:t>
      </w:r>
    </w:p>
    <w:p w14:paraId="3EB127D6" w14:textId="389735D1" w:rsidR="00290209" w:rsidRDefault="003A1040" w:rsidP="00FF646A">
      <w:pPr>
        <w:spacing w:after="0" w:line="360" w:lineRule="auto"/>
        <w:ind w:firstLine="720"/>
        <w:rPr>
          <w:bCs/>
        </w:rPr>
      </w:pPr>
      <w:r w:rsidRPr="00FF646A">
        <w:rPr>
          <w:bCs/>
        </w:rPr>
        <w:t>I</w:t>
      </w:r>
      <w:r w:rsidR="00096C9D" w:rsidRPr="00FF646A">
        <w:rPr>
          <w:bCs/>
        </w:rPr>
        <w:t xml:space="preserve">n </w:t>
      </w:r>
      <w:r w:rsidR="00EA45AD" w:rsidRPr="00FF646A">
        <w:rPr>
          <w:bCs/>
        </w:rPr>
        <w:t>Michigan</w:t>
      </w:r>
      <w:r w:rsidR="00096C9D" w:rsidRPr="00FF646A">
        <w:rPr>
          <w:bCs/>
        </w:rPr>
        <w:t xml:space="preserve"> the tax</w:t>
      </w:r>
      <w:r w:rsidRPr="00FF646A">
        <w:rPr>
          <w:bCs/>
        </w:rPr>
        <w:t xml:space="preserve"> revenue</w:t>
      </w:r>
      <w:r w:rsidR="00096C9D" w:rsidRPr="00FF646A">
        <w:rPr>
          <w:bCs/>
        </w:rPr>
        <w:t xml:space="preserve"> is </w:t>
      </w:r>
      <w:r w:rsidR="00EA45AD" w:rsidRPr="00FF646A">
        <w:rPr>
          <w:bCs/>
        </w:rPr>
        <w:t xml:space="preserve">essentially </w:t>
      </w:r>
      <w:r w:rsidR="00096C9D" w:rsidRPr="00FF646A">
        <w:rPr>
          <w:bCs/>
        </w:rPr>
        <w:t xml:space="preserve">shared between the </w:t>
      </w:r>
      <w:r w:rsidR="0086008B" w:rsidRPr="00FF646A">
        <w:rPr>
          <w:bCs/>
        </w:rPr>
        <w:t>place</w:t>
      </w:r>
      <w:r w:rsidR="00096C9D" w:rsidRPr="00FF646A">
        <w:rPr>
          <w:bCs/>
        </w:rPr>
        <w:t xml:space="preserve"> of residence and the </w:t>
      </w:r>
      <w:r w:rsidR="0086008B" w:rsidRPr="00FF646A">
        <w:rPr>
          <w:bCs/>
        </w:rPr>
        <w:t>place</w:t>
      </w:r>
      <w:r w:rsidR="00096C9D" w:rsidRPr="00FF646A">
        <w:rPr>
          <w:bCs/>
        </w:rPr>
        <w:t xml:space="preserve"> of employ</w:t>
      </w:r>
      <w:r w:rsidR="00EA45AD" w:rsidRPr="00FF646A">
        <w:rPr>
          <w:bCs/>
        </w:rPr>
        <w:t xml:space="preserve">ment. Residents pay a tax on their income while nonresidents pay a rate </w:t>
      </w:r>
      <w:r w:rsidR="0086008B" w:rsidRPr="00FF646A">
        <w:rPr>
          <w:bCs/>
        </w:rPr>
        <w:t xml:space="preserve">that is </w:t>
      </w:r>
      <w:r w:rsidR="00EA45AD" w:rsidRPr="00FF646A">
        <w:rPr>
          <w:bCs/>
        </w:rPr>
        <w:t>half of that for residents on income arising from sources within the city.</w:t>
      </w:r>
      <w:r w:rsidR="0073042B" w:rsidRPr="00FF646A">
        <w:rPr>
          <w:bCs/>
        </w:rPr>
        <w:t xml:space="preserve"> </w:t>
      </w:r>
      <w:r w:rsidR="00EA45AD" w:rsidRPr="00FF646A">
        <w:rPr>
          <w:bCs/>
        </w:rPr>
        <w:t xml:space="preserve">Residents receive a credit for the tax paid on </w:t>
      </w:r>
      <w:r w:rsidR="00D96D29" w:rsidRPr="00FF646A">
        <w:rPr>
          <w:bCs/>
        </w:rPr>
        <w:t>earnings</w:t>
      </w:r>
      <w:r w:rsidR="00EA45AD" w:rsidRPr="00FF646A">
        <w:rPr>
          <w:bCs/>
        </w:rPr>
        <w:t xml:space="preserve"> from outside their city of residence. </w:t>
      </w:r>
      <w:r w:rsidR="00255B8A" w:rsidRPr="00FF646A">
        <w:rPr>
          <w:bCs/>
        </w:rPr>
        <w:t>For example, suppose that the tax rate</w:t>
      </w:r>
      <w:r w:rsidR="00D13824" w:rsidRPr="00FF646A">
        <w:rPr>
          <w:bCs/>
        </w:rPr>
        <w:t xml:space="preserve"> in the place of residence</w:t>
      </w:r>
      <w:r w:rsidR="00255B8A" w:rsidRPr="00FF646A">
        <w:rPr>
          <w:bCs/>
        </w:rPr>
        <w:t xml:space="preserve"> is </w:t>
      </w:r>
      <w:r w:rsidR="00981F02" w:rsidRPr="00FF646A">
        <w:rPr>
          <w:bCs/>
        </w:rPr>
        <w:t xml:space="preserve">one </w:t>
      </w:r>
      <w:r w:rsidR="00255B8A" w:rsidRPr="00FF646A">
        <w:rPr>
          <w:bCs/>
        </w:rPr>
        <w:t xml:space="preserve">percent and all of the $50,000 </w:t>
      </w:r>
      <w:r w:rsidR="00261650">
        <w:rPr>
          <w:bCs/>
        </w:rPr>
        <w:t xml:space="preserve">in </w:t>
      </w:r>
      <w:r w:rsidR="00255B8A" w:rsidRPr="00FF646A">
        <w:rPr>
          <w:bCs/>
        </w:rPr>
        <w:t>taxable income is earned outside the city of residence. The taxpayer would pay $250 to the place of work (0.5 percent</w:t>
      </w:r>
      <w:r w:rsidR="00D13824" w:rsidRPr="00FF646A">
        <w:rPr>
          <w:bCs/>
        </w:rPr>
        <w:t xml:space="preserve"> tax rate</w:t>
      </w:r>
      <w:r w:rsidR="00255B8A" w:rsidRPr="00FF646A">
        <w:rPr>
          <w:bCs/>
        </w:rPr>
        <w:t xml:space="preserve"> times $50,000) and</w:t>
      </w:r>
      <w:r w:rsidR="00EA1709" w:rsidRPr="00FF646A">
        <w:rPr>
          <w:bCs/>
        </w:rPr>
        <w:t xml:space="preserve"> $250</w:t>
      </w:r>
      <w:r w:rsidR="00255B8A" w:rsidRPr="00FF646A">
        <w:rPr>
          <w:bCs/>
        </w:rPr>
        <w:t xml:space="preserve"> to the place of residence (</w:t>
      </w:r>
      <w:r w:rsidR="00981F02" w:rsidRPr="00FF646A">
        <w:rPr>
          <w:bCs/>
        </w:rPr>
        <w:t xml:space="preserve">one </w:t>
      </w:r>
      <w:r w:rsidR="00255B8A" w:rsidRPr="00FF646A">
        <w:rPr>
          <w:bCs/>
        </w:rPr>
        <w:t xml:space="preserve">percent times $50,000 less </w:t>
      </w:r>
      <w:r w:rsidR="0086008B" w:rsidRPr="00FF646A">
        <w:rPr>
          <w:bCs/>
        </w:rPr>
        <w:t xml:space="preserve">a credit for </w:t>
      </w:r>
      <w:r w:rsidR="00255B8A" w:rsidRPr="00FF646A">
        <w:rPr>
          <w:bCs/>
        </w:rPr>
        <w:t>the $250 in taxes paid to the place of work.)</w:t>
      </w:r>
    </w:p>
    <w:p w14:paraId="2E0C2C47" w14:textId="4B61FD8D" w:rsidR="00814AE2" w:rsidRPr="00814AE2" w:rsidRDefault="00290209" w:rsidP="00495617">
      <w:pPr>
        <w:spacing w:after="0" w:line="360" w:lineRule="auto"/>
        <w:ind w:firstLine="720"/>
        <w:rPr>
          <w:bCs/>
        </w:rPr>
      </w:pPr>
      <w:r w:rsidRPr="00FF646A">
        <w:rPr>
          <w:bCs/>
        </w:rPr>
        <w:t xml:space="preserve">When the tax is based on where income is earned, it is necessary </w:t>
      </w:r>
      <w:r w:rsidR="00EA45AD" w:rsidRPr="00FF646A">
        <w:rPr>
          <w:bCs/>
        </w:rPr>
        <w:t xml:space="preserve">to allocate earnings to the various jurisdictions in which the individual has attributable earnings. </w:t>
      </w:r>
      <w:r w:rsidR="0086008B" w:rsidRPr="00FF646A">
        <w:rPr>
          <w:bCs/>
        </w:rPr>
        <w:t>States differ in terms of how one’s place of employment is determined. In Indiana, place of work is where you</w:t>
      </w:r>
      <w:r w:rsidR="00EA1709" w:rsidRPr="00FF646A">
        <w:rPr>
          <w:bCs/>
        </w:rPr>
        <w:t>r</w:t>
      </w:r>
      <w:r w:rsidR="0086008B" w:rsidRPr="00FF646A">
        <w:rPr>
          <w:bCs/>
        </w:rPr>
        <w:t xml:space="preserve"> main place of business was located or where the employee main work activity was performed as of the first of the year.</w:t>
      </w:r>
      <w:r w:rsidR="0073042B" w:rsidRPr="00FF646A">
        <w:rPr>
          <w:bCs/>
        </w:rPr>
        <w:t xml:space="preserve"> </w:t>
      </w:r>
      <w:r w:rsidR="0086008B" w:rsidRPr="00FF646A">
        <w:rPr>
          <w:bCs/>
        </w:rPr>
        <w:t>In Birmingham, Alabama, a worker must calculate the proportion of work that was performed in the city</w:t>
      </w:r>
      <w:r w:rsidR="00161413" w:rsidRPr="00FF646A">
        <w:rPr>
          <w:bCs/>
        </w:rPr>
        <w:t xml:space="preserve"> over the year</w:t>
      </w:r>
      <w:r w:rsidR="0086008B" w:rsidRPr="00FF646A">
        <w:rPr>
          <w:bCs/>
        </w:rPr>
        <w:t>. So, f</w:t>
      </w:r>
      <w:r w:rsidR="00EA45AD" w:rsidRPr="00FF646A">
        <w:rPr>
          <w:bCs/>
        </w:rPr>
        <w:t xml:space="preserve">or workers like </w:t>
      </w:r>
      <w:r w:rsidR="0086008B" w:rsidRPr="00FF646A">
        <w:rPr>
          <w:bCs/>
        </w:rPr>
        <w:t>delivery people</w:t>
      </w:r>
      <w:r w:rsidR="00EA45AD" w:rsidRPr="00FF646A">
        <w:rPr>
          <w:bCs/>
        </w:rPr>
        <w:t xml:space="preserve"> this requires keep</w:t>
      </w:r>
      <w:r w:rsidR="0086008B" w:rsidRPr="00FF646A">
        <w:rPr>
          <w:bCs/>
        </w:rPr>
        <w:t>ing</w:t>
      </w:r>
      <w:r w:rsidR="00EA45AD" w:rsidRPr="00FF646A">
        <w:rPr>
          <w:bCs/>
        </w:rPr>
        <w:t xml:space="preserve"> records of </w:t>
      </w:r>
      <w:r w:rsidR="00255B8A" w:rsidRPr="00FF646A">
        <w:rPr>
          <w:bCs/>
        </w:rPr>
        <w:t>time spent in each jurisdiction, which is significant</w:t>
      </w:r>
      <w:r w:rsidR="00EA45AD" w:rsidRPr="00FF646A">
        <w:rPr>
          <w:bCs/>
        </w:rPr>
        <w:t xml:space="preserve"> adminis</w:t>
      </w:r>
      <w:r w:rsidR="00255B8A" w:rsidRPr="00FF646A">
        <w:rPr>
          <w:bCs/>
        </w:rPr>
        <w:t>trative burden</w:t>
      </w:r>
      <w:r w:rsidR="00EA45AD" w:rsidRPr="00FF646A">
        <w:rPr>
          <w:bCs/>
        </w:rPr>
        <w:t xml:space="preserve"> on the taxpayer</w:t>
      </w:r>
      <w:r w:rsidR="00255B8A" w:rsidRPr="00FF646A">
        <w:rPr>
          <w:bCs/>
        </w:rPr>
        <w:t>. It is also difficult to audit</w:t>
      </w:r>
      <w:r w:rsidR="00843B81" w:rsidRPr="00FF646A">
        <w:rPr>
          <w:bCs/>
        </w:rPr>
        <w:t xml:space="preserve"> the accuracy of such allocations.</w:t>
      </w:r>
      <w:r w:rsidR="0073042B" w:rsidRPr="00FF646A">
        <w:rPr>
          <w:bCs/>
        </w:rPr>
        <w:t xml:space="preserve"> </w:t>
      </w:r>
      <w:r w:rsidR="00255B8A" w:rsidRPr="00FF646A">
        <w:rPr>
          <w:bCs/>
        </w:rPr>
        <w:t xml:space="preserve"> </w:t>
      </w:r>
    </w:p>
    <w:p w14:paraId="3A2DB51F" w14:textId="77777777" w:rsidR="00FF646A" w:rsidRDefault="00E76CAB" w:rsidP="00EF1C56">
      <w:pPr>
        <w:pStyle w:val="Heading3"/>
      </w:pPr>
      <w:bookmarkStart w:id="88" w:name="_Toc433373666"/>
      <w:r w:rsidRPr="00FF646A">
        <w:t>Should a Referendum Be Required?</w:t>
      </w:r>
      <w:bookmarkEnd w:id="88"/>
      <w:r w:rsidR="0073042B" w:rsidRPr="00FF646A">
        <w:t xml:space="preserve"> </w:t>
      </w:r>
    </w:p>
    <w:p w14:paraId="06E35F0F" w14:textId="0948E5B7" w:rsidR="00814AE2" w:rsidRPr="00814AE2" w:rsidRDefault="00D96D29" w:rsidP="00495617">
      <w:pPr>
        <w:spacing w:after="0" w:line="360" w:lineRule="auto"/>
        <w:ind w:firstLine="720"/>
        <w:rPr>
          <w:bCs/>
        </w:rPr>
      </w:pPr>
      <w:r w:rsidRPr="00FF646A">
        <w:rPr>
          <w:color w:val="000000"/>
        </w:rPr>
        <w:t>The state needs to determine whether the municipality’s elected officials can adopt an income tax on their own or whether to require voter approval through a referendum. This is a political and not an economic issue; the choice depends on whether the state believes that voters should have a direct rather than an indirect say in setting a municipality’s tax structure.</w:t>
      </w:r>
    </w:p>
    <w:p w14:paraId="47CE7E30" w14:textId="16ECE3A3" w:rsidR="00FF646A" w:rsidRDefault="00590557" w:rsidP="00EF1C56">
      <w:pPr>
        <w:pStyle w:val="Heading3"/>
      </w:pPr>
      <w:bookmarkStart w:id="89" w:name="_Toc433373667"/>
      <w:r w:rsidRPr="00FF646A">
        <w:t xml:space="preserve">Who Should Administer the Local </w:t>
      </w:r>
      <w:r w:rsidR="00DB48E2">
        <w:t>Income</w:t>
      </w:r>
      <w:r w:rsidRPr="00FF646A">
        <w:t xml:space="preserve"> Tax?</w:t>
      </w:r>
      <w:bookmarkEnd w:id="89"/>
      <w:r w:rsidR="0073042B" w:rsidRPr="00FF646A">
        <w:t xml:space="preserve"> </w:t>
      </w:r>
    </w:p>
    <w:p w14:paraId="41C2CF50" w14:textId="3FAA1F21" w:rsidR="00554EFA" w:rsidRPr="00554EFA" w:rsidRDefault="00554EFA" w:rsidP="00FF646A">
      <w:pPr>
        <w:spacing w:after="0" w:line="360" w:lineRule="auto"/>
        <w:ind w:firstLine="720"/>
        <w:rPr>
          <w:color w:val="000000"/>
        </w:rPr>
      </w:pPr>
      <w:r w:rsidRPr="00FF646A">
        <w:rPr>
          <w:color w:val="000000"/>
        </w:rPr>
        <w:t>C</w:t>
      </w:r>
      <w:r w:rsidR="002A4768" w:rsidRPr="00FF646A">
        <w:rPr>
          <w:color w:val="000000"/>
        </w:rPr>
        <w:t xml:space="preserve">ollection </w:t>
      </w:r>
      <w:r w:rsidR="00590557" w:rsidRPr="00FF646A">
        <w:rPr>
          <w:color w:val="000000"/>
        </w:rPr>
        <w:t xml:space="preserve">and enforcement of local income taxes </w:t>
      </w:r>
      <w:r w:rsidRPr="00FF646A">
        <w:rPr>
          <w:color w:val="000000"/>
        </w:rPr>
        <w:t xml:space="preserve">that are based on earnings </w:t>
      </w:r>
      <w:r w:rsidR="002A4768" w:rsidRPr="00FF646A">
        <w:rPr>
          <w:color w:val="000000"/>
        </w:rPr>
        <w:t>is done by the local government</w:t>
      </w:r>
      <w:r w:rsidRPr="00FF646A">
        <w:rPr>
          <w:color w:val="000000"/>
        </w:rPr>
        <w:t xml:space="preserve">, while local income taxes that are based on </w:t>
      </w:r>
      <w:r w:rsidR="002A4768" w:rsidRPr="00FF646A">
        <w:rPr>
          <w:color w:val="000000"/>
        </w:rPr>
        <w:t xml:space="preserve">AGI, </w:t>
      </w:r>
      <w:r w:rsidR="0086008B" w:rsidRPr="00FF646A">
        <w:rPr>
          <w:color w:val="000000"/>
        </w:rPr>
        <w:t xml:space="preserve">state </w:t>
      </w:r>
      <w:r w:rsidR="002A4768" w:rsidRPr="00FF646A">
        <w:rPr>
          <w:color w:val="000000"/>
        </w:rPr>
        <w:t>taxable income, or</w:t>
      </w:r>
      <w:r w:rsidR="0086008B" w:rsidRPr="00FF646A">
        <w:rPr>
          <w:color w:val="000000"/>
        </w:rPr>
        <w:t xml:space="preserve"> state</w:t>
      </w:r>
      <w:r w:rsidR="002A4768" w:rsidRPr="00FF646A">
        <w:rPr>
          <w:color w:val="000000"/>
        </w:rPr>
        <w:t xml:space="preserve"> tax liability</w:t>
      </w:r>
      <w:r w:rsidRPr="00FF646A">
        <w:rPr>
          <w:color w:val="000000"/>
        </w:rPr>
        <w:t xml:space="preserve"> are administered by the state. For the later, it</w:t>
      </w:r>
      <w:r w:rsidR="00E76CAB" w:rsidRPr="00FF646A">
        <w:rPr>
          <w:color w:val="000000"/>
        </w:rPr>
        <w:t xml:space="preserve"> would seem that administrative costs would be lower if the state </w:t>
      </w:r>
      <w:r w:rsidR="002A4768" w:rsidRPr="00FF646A">
        <w:rPr>
          <w:color w:val="000000"/>
        </w:rPr>
        <w:t xml:space="preserve">were responsible for the </w:t>
      </w:r>
      <w:r w:rsidR="00E76CAB" w:rsidRPr="00FF646A">
        <w:rPr>
          <w:color w:val="000000"/>
        </w:rPr>
        <w:t xml:space="preserve">collection of the local </w:t>
      </w:r>
      <w:r w:rsidR="002A4768" w:rsidRPr="00FF646A">
        <w:rPr>
          <w:color w:val="000000"/>
        </w:rPr>
        <w:t>income</w:t>
      </w:r>
      <w:r w:rsidR="00E76CAB" w:rsidRPr="00FF646A">
        <w:rPr>
          <w:color w:val="000000"/>
        </w:rPr>
        <w:t xml:space="preserve"> tax</w:t>
      </w:r>
      <w:r w:rsidR="00D67EAC" w:rsidRPr="00FF646A">
        <w:rPr>
          <w:bCs/>
        </w:rPr>
        <w:t xml:space="preserve"> since the local income tax can be piggy backed on the state income tax</w:t>
      </w:r>
      <w:r w:rsidR="002A4768" w:rsidRPr="00FF646A">
        <w:rPr>
          <w:color w:val="000000"/>
        </w:rPr>
        <w:t xml:space="preserve">. </w:t>
      </w:r>
    </w:p>
    <w:p w14:paraId="12C7A23B" w14:textId="4C6EBB9B" w:rsidR="00814AE2" w:rsidRPr="00814AE2" w:rsidRDefault="0086008B" w:rsidP="00495617">
      <w:pPr>
        <w:spacing w:after="0" w:line="360" w:lineRule="auto"/>
        <w:ind w:firstLine="720"/>
        <w:rPr>
          <w:bCs/>
        </w:rPr>
      </w:pPr>
      <w:r>
        <w:rPr>
          <w:bCs/>
        </w:rPr>
        <w:lastRenderedPageBreak/>
        <w:t>Local a</w:t>
      </w:r>
      <w:r w:rsidR="00420D8F">
        <w:rPr>
          <w:bCs/>
        </w:rPr>
        <w:t xml:space="preserve">dministration of a local </w:t>
      </w:r>
      <w:r w:rsidR="00DC3AB2">
        <w:rPr>
          <w:bCs/>
        </w:rPr>
        <w:t xml:space="preserve">earnings </w:t>
      </w:r>
      <w:r w:rsidR="00420D8F">
        <w:rPr>
          <w:bCs/>
        </w:rPr>
        <w:t xml:space="preserve">tax </w:t>
      </w:r>
      <w:r>
        <w:rPr>
          <w:bCs/>
        </w:rPr>
        <w:t>is challenging</w:t>
      </w:r>
      <w:r w:rsidR="00161413">
        <w:rPr>
          <w:bCs/>
        </w:rPr>
        <w:t>, particularly if not all towns impose an earning tax</w:t>
      </w:r>
      <w:r>
        <w:rPr>
          <w:bCs/>
        </w:rPr>
        <w:t xml:space="preserve">. For example, </w:t>
      </w:r>
      <w:r w:rsidR="00161413">
        <w:rPr>
          <w:bCs/>
        </w:rPr>
        <w:t xml:space="preserve">if the tax is based on place of residence, </w:t>
      </w:r>
      <w:r>
        <w:rPr>
          <w:bCs/>
        </w:rPr>
        <w:t xml:space="preserve">employers located outside the town </w:t>
      </w:r>
      <w:r w:rsidR="00161413">
        <w:rPr>
          <w:bCs/>
        </w:rPr>
        <w:t xml:space="preserve">imposing the tax </w:t>
      </w:r>
      <w:r>
        <w:rPr>
          <w:bCs/>
        </w:rPr>
        <w:t>will not necessarily withhold income taxes or report income earned</w:t>
      </w:r>
      <w:r w:rsidR="00EA1709">
        <w:rPr>
          <w:bCs/>
        </w:rPr>
        <w:t xml:space="preserve"> by residents of the town</w:t>
      </w:r>
      <w:r w:rsidR="00DC3AB2">
        <w:rPr>
          <w:bCs/>
        </w:rPr>
        <w:t xml:space="preserve">, which means that </w:t>
      </w:r>
      <w:r>
        <w:rPr>
          <w:bCs/>
        </w:rPr>
        <w:t xml:space="preserve">the local government </w:t>
      </w:r>
      <w:r w:rsidR="00DC3AB2">
        <w:rPr>
          <w:bCs/>
        </w:rPr>
        <w:t xml:space="preserve">will have a difficult task ensuring compliance. </w:t>
      </w:r>
      <w:r w:rsidR="00D13824">
        <w:rPr>
          <w:bCs/>
        </w:rPr>
        <w:t xml:space="preserve">However, the state could require all firms </w:t>
      </w:r>
      <w:r w:rsidR="00161413">
        <w:rPr>
          <w:bCs/>
        </w:rPr>
        <w:t xml:space="preserve">in the state </w:t>
      </w:r>
      <w:r w:rsidR="00D13824">
        <w:rPr>
          <w:bCs/>
        </w:rPr>
        <w:t>to withhold any earnings tax</w:t>
      </w:r>
      <w:r w:rsidR="00161413">
        <w:rPr>
          <w:bCs/>
        </w:rPr>
        <w:t xml:space="preserve"> liability</w:t>
      </w:r>
      <w:r w:rsidR="00D13824">
        <w:rPr>
          <w:bCs/>
        </w:rPr>
        <w:t>.</w:t>
      </w:r>
      <w:r w:rsidR="00161413">
        <w:rPr>
          <w:bCs/>
        </w:rPr>
        <w:t xml:space="preserve"> </w:t>
      </w:r>
      <w:r w:rsidR="00D13824">
        <w:rPr>
          <w:bCs/>
        </w:rPr>
        <w:t>T</w:t>
      </w:r>
      <w:r w:rsidR="00DC3AB2">
        <w:rPr>
          <w:bCs/>
        </w:rPr>
        <w:t xml:space="preserve">he </w:t>
      </w:r>
      <w:r w:rsidR="00A465A7">
        <w:rPr>
          <w:bCs/>
        </w:rPr>
        <w:t xml:space="preserve">fixed costs of </w:t>
      </w:r>
      <w:r w:rsidR="00DC3AB2">
        <w:rPr>
          <w:bCs/>
        </w:rPr>
        <w:t>administ</w:t>
      </w:r>
      <w:r w:rsidR="00A465A7">
        <w:rPr>
          <w:bCs/>
        </w:rPr>
        <w:t xml:space="preserve">ering </w:t>
      </w:r>
      <w:r w:rsidR="00DC3AB2">
        <w:rPr>
          <w:bCs/>
        </w:rPr>
        <w:t>a local earn</w:t>
      </w:r>
      <w:r w:rsidR="00045F13">
        <w:rPr>
          <w:bCs/>
        </w:rPr>
        <w:t>ed income</w:t>
      </w:r>
      <w:r w:rsidR="00DC3AB2">
        <w:rPr>
          <w:bCs/>
        </w:rPr>
        <w:t xml:space="preserve"> tax will be high, suggesting that adopting an earnings tax may not be desirable for towns for which the tax revenue is small. While there are small towns in other states that have an earnings tax, there are no known studies of the cost and effectiveness of the administration.</w:t>
      </w:r>
      <w:r w:rsidR="0073042B">
        <w:rPr>
          <w:bCs/>
        </w:rPr>
        <w:t xml:space="preserve"> </w:t>
      </w:r>
      <w:r w:rsidR="00420D8F">
        <w:rPr>
          <w:bCs/>
        </w:rPr>
        <w:t xml:space="preserve"> </w:t>
      </w:r>
    </w:p>
    <w:p w14:paraId="2FD011F2" w14:textId="77777777" w:rsidR="00FF646A" w:rsidRDefault="00E76CAB" w:rsidP="000565B1">
      <w:pPr>
        <w:pStyle w:val="Heading3"/>
        <w:rPr>
          <w:b/>
        </w:rPr>
      </w:pPr>
      <w:bookmarkStart w:id="90" w:name="_Toc433373668"/>
      <w:r w:rsidRPr="00FF646A">
        <w:t>Use of the Revenue</w:t>
      </w:r>
      <w:bookmarkEnd w:id="90"/>
    </w:p>
    <w:p w14:paraId="4D2023BD" w14:textId="626C8707" w:rsidR="000A55DC" w:rsidRDefault="00C3380B" w:rsidP="00495617">
      <w:pPr>
        <w:spacing w:after="0" w:line="360" w:lineRule="auto"/>
        <w:ind w:firstLine="720"/>
        <w:rPr>
          <w:b/>
          <w:bCs/>
        </w:rPr>
      </w:pPr>
      <w:r w:rsidRPr="00FF646A">
        <w:rPr>
          <w:color w:val="000000"/>
        </w:rPr>
        <w:t>The issues associated with the allowable use of local income taxes are the same as for local sales taxes.</w:t>
      </w:r>
      <w:r w:rsidR="0073042B" w:rsidRPr="00FF646A">
        <w:rPr>
          <w:color w:val="000000"/>
        </w:rPr>
        <w:t xml:space="preserve"> </w:t>
      </w:r>
      <w:r w:rsidRPr="00FF646A">
        <w:rPr>
          <w:color w:val="000000"/>
        </w:rPr>
        <w:t xml:space="preserve">See the discussion of this topic </w:t>
      </w:r>
      <w:r w:rsidR="008C7D1F" w:rsidRPr="00FF646A">
        <w:rPr>
          <w:color w:val="000000"/>
        </w:rPr>
        <w:t>above in the section on sales taxes</w:t>
      </w:r>
      <w:r w:rsidRPr="00FF646A">
        <w:rPr>
          <w:color w:val="000000"/>
        </w:rPr>
        <w:t>.</w:t>
      </w:r>
      <w:r w:rsidRPr="00FF646A">
        <w:rPr>
          <w:b/>
          <w:bCs/>
        </w:rPr>
        <w:t xml:space="preserve"> </w:t>
      </w:r>
    </w:p>
    <w:p w14:paraId="6E05A52D" w14:textId="77777777" w:rsidR="00FF646A" w:rsidRDefault="000A55DC" w:rsidP="00EF1C56">
      <w:pPr>
        <w:pStyle w:val="Heading3"/>
        <w:rPr>
          <w:b/>
        </w:rPr>
      </w:pPr>
      <w:bookmarkStart w:id="91" w:name="_Toc433373669"/>
      <w:r w:rsidRPr="00FF646A">
        <w:t>Geographic Coverage</w:t>
      </w:r>
      <w:bookmarkEnd w:id="91"/>
      <w:r w:rsidRPr="00FF646A">
        <w:rPr>
          <w:b/>
        </w:rPr>
        <w:t xml:space="preserve"> </w:t>
      </w:r>
    </w:p>
    <w:p w14:paraId="496D26FC" w14:textId="7885145F" w:rsidR="00096C9D" w:rsidRPr="00710363" w:rsidRDefault="000A55DC" w:rsidP="00495617">
      <w:pPr>
        <w:spacing w:after="0" w:line="360" w:lineRule="auto"/>
        <w:ind w:firstLine="720"/>
        <w:rPr>
          <w:color w:val="000000"/>
        </w:rPr>
      </w:pPr>
      <w:r w:rsidRPr="00FF646A">
        <w:rPr>
          <w:color w:val="000000"/>
        </w:rPr>
        <w:t xml:space="preserve">The issues associated with the </w:t>
      </w:r>
      <w:r w:rsidR="007D71C5" w:rsidRPr="00FF646A">
        <w:rPr>
          <w:color w:val="000000"/>
        </w:rPr>
        <w:t>geographic coverage</w:t>
      </w:r>
      <w:r w:rsidRPr="00FF646A">
        <w:rPr>
          <w:color w:val="000000"/>
        </w:rPr>
        <w:t xml:space="preserve"> are the same as for local sales taxes.</w:t>
      </w:r>
      <w:r w:rsidR="0073042B" w:rsidRPr="00FF646A">
        <w:rPr>
          <w:color w:val="000000"/>
        </w:rPr>
        <w:t xml:space="preserve"> </w:t>
      </w:r>
      <w:r w:rsidRPr="00FF646A">
        <w:rPr>
          <w:color w:val="000000"/>
        </w:rPr>
        <w:t>See the discussion of this topic above in the section on sales taxes.</w:t>
      </w:r>
    </w:p>
    <w:p w14:paraId="3EFE4C14" w14:textId="5A40C83A" w:rsidR="00740711" w:rsidRPr="00FF646A" w:rsidRDefault="00740711" w:rsidP="00EF1C56">
      <w:pPr>
        <w:pStyle w:val="Heading2"/>
      </w:pPr>
      <w:bookmarkStart w:id="92" w:name="_Toc433373670"/>
      <w:r w:rsidRPr="00FF646A">
        <w:t xml:space="preserve">Economic </w:t>
      </w:r>
      <w:r w:rsidR="00CD4B8B" w:rsidRPr="00FF646A">
        <w:t>Issues Associated with</w:t>
      </w:r>
      <w:r w:rsidRPr="00FF646A">
        <w:t xml:space="preserve"> Local </w:t>
      </w:r>
      <w:r w:rsidR="00CD4B8B" w:rsidRPr="00FF646A">
        <w:t>Income</w:t>
      </w:r>
      <w:r w:rsidRPr="00FF646A">
        <w:t xml:space="preserve"> Taxes</w:t>
      </w:r>
      <w:bookmarkEnd w:id="92"/>
    </w:p>
    <w:p w14:paraId="4DC0A964" w14:textId="246B71E1" w:rsidR="00FF646A" w:rsidRDefault="00C0132A" w:rsidP="00D422A0">
      <w:pPr>
        <w:spacing w:after="0" w:line="360" w:lineRule="auto"/>
        <w:ind w:firstLine="720"/>
        <w:rPr>
          <w:color w:val="000000"/>
        </w:rPr>
      </w:pPr>
      <w:r>
        <w:rPr>
          <w:color w:val="000000"/>
        </w:rPr>
        <w:t>There are four</w:t>
      </w:r>
      <w:r w:rsidR="00740711">
        <w:rPr>
          <w:color w:val="000000"/>
        </w:rPr>
        <w:t xml:space="preserve"> economic issues </w:t>
      </w:r>
      <w:r w:rsidR="00453EAF">
        <w:rPr>
          <w:color w:val="000000"/>
        </w:rPr>
        <w:t>we</w:t>
      </w:r>
      <w:r w:rsidR="00740711">
        <w:rPr>
          <w:color w:val="000000"/>
        </w:rPr>
        <w:t xml:space="preserve"> consider, </w:t>
      </w:r>
      <w:r>
        <w:rPr>
          <w:color w:val="000000"/>
        </w:rPr>
        <w:t xml:space="preserve">incentive effects, </w:t>
      </w:r>
      <w:r w:rsidR="00740711">
        <w:rPr>
          <w:color w:val="000000"/>
        </w:rPr>
        <w:t>the amount of r</w:t>
      </w:r>
      <w:r w:rsidR="00740711" w:rsidRPr="00A26C7A">
        <w:rPr>
          <w:color w:val="000000"/>
        </w:rPr>
        <w:t>evenue</w:t>
      </w:r>
      <w:r w:rsidR="00740711">
        <w:rPr>
          <w:color w:val="000000"/>
        </w:rPr>
        <w:t xml:space="preserve"> generated, </w:t>
      </w:r>
      <w:r w:rsidR="00740711" w:rsidRPr="000A2012">
        <w:rPr>
          <w:color w:val="000000"/>
        </w:rPr>
        <w:t>equity</w:t>
      </w:r>
      <w:r w:rsidR="008C7D1F">
        <w:rPr>
          <w:color w:val="000000"/>
        </w:rPr>
        <w:t>/fairness</w:t>
      </w:r>
      <w:r w:rsidR="00740711" w:rsidRPr="000A2012">
        <w:rPr>
          <w:color w:val="000000"/>
        </w:rPr>
        <w:t xml:space="preserve">, </w:t>
      </w:r>
      <w:r w:rsidR="00740711">
        <w:rPr>
          <w:color w:val="000000"/>
        </w:rPr>
        <w:t xml:space="preserve">and effect on </w:t>
      </w:r>
      <w:r w:rsidR="00740711" w:rsidRPr="000A2012">
        <w:rPr>
          <w:color w:val="000000"/>
        </w:rPr>
        <w:t>fiscal disparities.</w:t>
      </w:r>
      <w:r w:rsidR="0073042B">
        <w:rPr>
          <w:color w:val="000000"/>
        </w:rPr>
        <w:t xml:space="preserve"> </w:t>
      </w:r>
    </w:p>
    <w:p w14:paraId="581BE56B" w14:textId="7BEFCFE5" w:rsidR="00D939D6" w:rsidRPr="00FF646A" w:rsidRDefault="0045140B" w:rsidP="00EF1C56">
      <w:pPr>
        <w:pStyle w:val="Heading3"/>
      </w:pPr>
      <w:bookmarkStart w:id="93" w:name="_Toc433373671"/>
      <w:r w:rsidRPr="00FF646A">
        <w:t>Incentive</w:t>
      </w:r>
      <w:r w:rsidR="00C0132A" w:rsidRPr="00FF646A">
        <w:t xml:space="preserve"> Effect</w:t>
      </w:r>
      <w:r w:rsidRPr="00FF646A">
        <w:t>s</w:t>
      </w:r>
      <w:bookmarkEnd w:id="93"/>
    </w:p>
    <w:p w14:paraId="509C95BA" w14:textId="4C3E2ACD" w:rsidR="0045140B" w:rsidRDefault="00C0132A" w:rsidP="00D422A0">
      <w:pPr>
        <w:spacing w:after="0" w:line="360" w:lineRule="auto"/>
        <w:ind w:firstLine="720"/>
        <w:rPr>
          <w:color w:val="000000"/>
        </w:rPr>
      </w:pPr>
      <w:r>
        <w:rPr>
          <w:bCs/>
        </w:rPr>
        <w:t>If all local governments in Connecticut adopt an income tax</w:t>
      </w:r>
      <w:r w:rsidR="00D36F00">
        <w:rPr>
          <w:bCs/>
        </w:rPr>
        <w:t xml:space="preserve"> at a uniform tax rate</w:t>
      </w:r>
      <w:r>
        <w:rPr>
          <w:bCs/>
        </w:rPr>
        <w:t>, the effect</w:t>
      </w:r>
      <w:r w:rsidR="00C27350">
        <w:rPr>
          <w:bCs/>
        </w:rPr>
        <w:t xml:space="preserve"> on the number of jobs and hours worked</w:t>
      </w:r>
      <w:r>
        <w:rPr>
          <w:bCs/>
        </w:rPr>
        <w:t xml:space="preserve"> will be the same as if the state increased its income tax rate. </w:t>
      </w:r>
      <w:r w:rsidR="0045140B">
        <w:rPr>
          <w:bCs/>
        </w:rPr>
        <w:t xml:space="preserve">To the extent the local income tax rates differ across towns, it is expected that the tax differential will cause migration of the tax base from the towns with the higher income tax rates to those towns with lower tax rates. </w:t>
      </w:r>
      <w:r w:rsidR="0045140B" w:rsidRPr="00710363">
        <w:rPr>
          <w:bCs/>
        </w:rPr>
        <w:t>Much of the research on the effect of local income taxes on tax base mobility has focused on Philadelphia, for which differential income tax rates have been shown to result in migration of workers across the region. Grieson</w:t>
      </w:r>
      <w:r w:rsidR="0045140B">
        <w:rPr>
          <w:bCs/>
        </w:rPr>
        <w:t xml:space="preserve"> (1980)</w:t>
      </w:r>
      <w:r w:rsidR="0045140B" w:rsidRPr="00710363">
        <w:rPr>
          <w:bCs/>
        </w:rPr>
        <w:t xml:space="preserve"> estimated that Philadelphia lost 14 percent of its employment between 1965 and 1975 as a result of its high income tax rate, which was three to 4 times the tax rate in surrounding jurisdictions. </w:t>
      </w:r>
      <w:r w:rsidR="0045140B" w:rsidRPr="00CE78C0">
        <w:rPr>
          <w:color w:val="000000"/>
        </w:rPr>
        <w:t>Inman</w:t>
      </w:r>
      <w:r w:rsidR="0045140B">
        <w:rPr>
          <w:color w:val="000000"/>
        </w:rPr>
        <w:t xml:space="preserve">, </w:t>
      </w:r>
      <w:r w:rsidR="0045140B" w:rsidRPr="00CE78C0">
        <w:rPr>
          <w:bCs/>
        </w:rPr>
        <w:t>et al.</w:t>
      </w:r>
      <w:r w:rsidR="0045140B">
        <w:rPr>
          <w:bCs/>
        </w:rPr>
        <w:t xml:space="preserve"> (1987) </w:t>
      </w:r>
      <w:r w:rsidR="0045140B" w:rsidRPr="00F434C8">
        <w:rPr>
          <w:color w:val="000000"/>
        </w:rPr>
        <w:t>obtain an estimated elasticity of employment with respect to the wage tax rate of between -0.11 and -0.14</w:t>
      </w:r>
      <w:r w:rsidR="0045140B" w:rsidRPr="00944836">
        <w:rPr>
          <w:color w:val="000000"/>
        </w:rPr>
        <w:t xml:space="preserve"> for Philadelphia.</w:t>
      </w:r>
      <w:r w:rsidR="0045140B">
        <w:rPr>
          <w:color w:val="000000"/>
        </w:rPr>
        <w:t xml:space="preserve"> That is, for every 10 percent increase in the tax rate, </w:t>
      </w:r>
      <w:r w:rsidR="0045140B">
        <w:rPr>
          <w:color w:val="000000"/>
        </w:rPr>
        <w:lastRenderedPageBreak/>
        <w:t xml:space="preserve">employment fell by 1.1 to 1.4 percent. </w:t>
      </w:r>
      <w:r w:rsidR="0045140B" w:rsidRPr="00710363">
        <w:rPr>
          <w:color w:val="000000"/>
        </w:rPr>
        <w:t xml:space="preserve">Luce </w:t>
      </w:r>
      <w:r w:rsidR="0045140B">
        <w:rPr>
          <w:color w:val="000000"/>
        </w:rPr>
        <w:t>(1994) estimated</w:t>
      </w:r>
      <w:r w:rsidR="0045140B" w:rsidRPr="00710363">
        <w:rPr>
          <w:color w:val="000000"/>
        </w:rPr>
        <w:t xml:space="preserve"> an elasticity of -0.6 for wage tax rate differential using data from the Philadelphia area</w:t>
      </w:r>
      <w:r w:rsidR="0045140B">
        <w:rPr>
          <w:color w:val="000000"/>
        </w:rPr>
        <w:t xml:space="preserve">, that is, an increase of 10 percent in the tax </w:t>
      </w:r>
      <w:r w:rsidR="00BE7EF2">
        <w:rPr>
          <w:color w:val="000000"/>
        </w:rPr>
        <w:t xml:space="preserve">rate </w:t>
      </w:r>
      <w:r w:rsidR="0045140B">
        <w:rPr>
          <w:color w:val="000000"/>
        </w:rPr>
        <w:t>differential results in an estimated decrease in employment of 6 percent</w:t>
      </w:r>
      <w:r w:rsidR="0045140B" w:rsidRPr="00710363">
        <w:rPr>
          <w:color w:val="000000"/>
        </w:rPr>
        <w:t>.</w:t>
      </w:r>
      <w:r w:rsidR="004D3334">
        <w:rPr>
          <w:color w:val="000000"/>
        </w:rPr>
        <w:t xml:space="preserve"> If local income tax revenue is used to reduce the property tax rate, the reduction in property taxes will offset as least some of the disincentive effect of a local income tax.</w:t>
      </w:r>
    </w:p>
    <w:p w14:paraId="3BB8B8D2" w14:textId="77777777" w:rsidR="00261650" w:rsidRPr="00AE3D4F" w:rsidRDefault="00261650" w:rsidP="00261650">
      <w:pPr>
        <w:spacing w:after="0" w:line="360" w:lineRule="auto"/>
        <w:ind w:firstLine="720"/>
        <w:rPr>
          <w:bCs/>
        </w:rPr>
      </w:pPr>
      <w:r w:rsidRPr="00FF646A">
        <w:rPr>
          <w:bCs/>
        </w:rPr>
        <w:t>In terms of economic incentives it does not matter if an income tax is imposed on the employer or the employee. If imposed on the employer and the employer cannot reduce wages to offset the tax, the employer may decide to move to a city without an income tax. If the tax is imposed on employees and the employees can get an offsetting wage increase, the employer may decide to move to a city without an income tax. If the tax results in a reduction in net wages, employees may decide to seek work in a city without an income tax. In any of these cases, the city will lose jobs.</w:t>
      </w:r>
    </w:p>
    <w:p w14:paraId="25655B15" w14:textId="1D7C59A0" w:rsidR="0045140B" w:rsidRPr="0045140B" w:rsidRDefault="00C0132A" w:rsidP="00D422A0">
      <w:pPr>
        <w:spacing w:after="0" w:line="360" w:lineRule="auto"/>
        <w:ind w:firstLine="720"/>
        <w:rPr>
          <w:color w:val="000000"/>
        </w:rPr>
      </w:pPr>
      <w:r>
        <w:rPr>
          <w:color w:val="000000"/>
        </w:rPr>
        <w:t xml:space="preserve">The adoption of an income tax will change the incentives for local government competition for tax base. Currently, towns compete for property tax base, with commercial and industrial property being more desirable since there is less associated </w:t>
      </w:r>
      <w:r w:rsidR="00BD11BA">
        <w:rPr>
          <w:color w:val="000000"/>
        </w:rPr>
        <w:t xml:space="preserve">service </w:t>
      </w:r>
      <w:r>
        <w:rPr>
          <w:color w:val="000000"/>
        </w:rPr>
        <w:t>cost</w:t>
      </w:r>
      <w:r w:rsidR="00BD11BA">
        <w:rPr>
          <w:color w:val="000000"/>
        </w:rPr>
        <w:t xml:space="preserve"> </w:t>
      </w:r>
      <w:r w:rsidR="00261650">
        <w:rPr>
          <w:color w:val="000000"/>
        </w:rPr>
        <w:t xml:space="preserve">with such property </w:t>
      </w:r>
      <w:r w:rsidR="00BD11BA">
        <w:rPr>
          <w:color w:val="000000"/>
        </w:rPr>
        <w:t>than for residential property. An income</w:t>
      </w:r>
      <w:r w:rsidR="00261650">
        <w:rPr>
          <w:color w:val="000000"/>
        </w:rPr>
        <w:t xml:space="preserve"> tax</w:t>
      </w:r>
      <w:r w:rsidR="00BD11BA">
        <w:rPr>
          <w:color w:val="000000"/>
        </w:rPr>
        <w:t xml:space="preserve"> provides an incentive for towns to compete more strongly for high wage households or high wage jobs, and somewhat less for property. Towns will be less inclined to compete for large facilities that offer low wage jobs. So,</w:t>
      </w:r>
      <w:r w:rsidR="004D3334">
        <w:rPr>
          <w:color w:val="000000"/>
        </w:rPr>
        <w:t xml:space="preserve"> </w:t>
      </w:r>
      <w:r w:rsidR="00106198">
        <w:rPr>
          <w:color w:val="000000"/>
        </w:rPr>
        <w:t>more of the</w:t>
      </w:r>
      <w:r w:rsidR="00BD11BA">
        <w:rPr>
          <w:color w:val="000000"/>
        </w:rPr>
        <w:t xml:space="preserve"> inducements that local governments offer will be tailored to attract high wage jobs rather than just buildings. </w:t>
      </w:r>
    </w:p>
    <w:p w14:paraId="7B7D6AA2" w14:textId="63DF7208" w:rsidR="00096C9D" w:rsidRPr="00FF646A" w:rsidRDefault="00740711" w:rsidP="00EF1C56">
      <w:pPr>
        <w:pStyle w:val="Heading3"/>
      </w:pPr>
      <w:bookmarkStart w:id="94" w:name="_Toc433373672"/>
      <w:r w:rsidRPr="00FF646A">
        <w:t>Revenue</w:t>
      </w:r>
      <w:bookmarkEnd w:id="94"/>
      <w:r w:rsidR="0073042B" w:rsidRPr="00FF646A">
        <w:t xml:space="preserve"> </w:t>
      </w:r>
    </w:p>
    <w:p w14:paraId="6BB1EB6F" w14:textId="6D84CFC6" w:rsidR="00EE68BE" w:rsidRDefault="00F44504" w:rsidP="00D422A0">
      <w:pPr>
        <w:spacing w:after="0" w:line="360" w:lineRule="auto"/>
        <w:ind w:firstLine="720"/>
        <w:rPr>
          <w:bCs/>
        </w:rPr>
      </w:pPr>
      <w:r>
        <w:rPr>
          <w:bCs/>
        </w:rPr>
        <w:t>The revenue from a local income tax will depend on the tax base that is chosen</w:t>
      </w:r>
      <w:r w:rsidR="00AA36FF">
        <w:rPr>
          <w:bCs/>
        </w:rPr>
        <w:t xml:space="preserve"> and</w:t>
      </w:r>
      <w:r>
        <w:rPr>
          <w:bCs/>
        </w:rPr>
        <w:t xml:space="preserve"> the tax rate. We consider three tax bases: </w:t>
      </w:r>
      <w:r w:rsidR="007D71C5">
        <w:rPr>
          <w:bCs/>
        </w:rPr>
        <w:t>Connecticut</w:t>
      </w:r>
      <w:r w:rsidR="00E03899">
        <w:rPr>
          <w:bCs/>
        </w:rPr>
        <w:t xml:space="preserve"> AGI</w:t>
      </w:r>
      <w:r w:rsidR="00106198">
        <w:rPr>
          <w:bCs/>
        </w:rPr>
        <w:t xml:space="preserve"> (which we refer to as the AGI Tax)</w:t>
      </w:r>
      <w:r>
        <w:rPr>
          <w:bCs/>
        </w:rPr>
        <w:t>, state tax liability</w:t>
      </w:r>
      <w:r w:rsidR="00106198">
        <w:rPr>
          <w:bCs/>
        </w:rPr>
        <w:t xml:space="preserve"> (which we refer to as the Income Surtax)</w:t>
      </w:r>
      <w:r>
        <w:rPr>
          <w:bCs/>
        </w:rPr>
        <w:t>, and earn</w:t>
      </w:r>
      <w:r w:rsidR="00AC7200">
        <w:rPr>
          <w:bCs/>
        </w:rPr>
        <w:t>ed income</w:t>
      </w:r>
      <w:r w:rsidR="00FF23F5">
        <w:rPr>
          <w:bCs/>
        </w:rPr>
        <w:t xml:space="preserve">. For the earned income tax we </w:t>
      </w:r>
      <w:r w:rsidR="00FF646A">
        <w:rPr>
          <w:bCs/>
        </w:rPr>
        <w:t>consider</w:t>
      </w:r>
      <w:r w:rsidR="00FF23F5">
        <w:rPr>
          <w:bCs/>
        </w:rPr>
        <w:t xml:space="preserve"> t</w:t>
      </w:r>
      <w:r w:rsidR="00453EAF">
        <w:rPr>
          <w:bCs/>
        </w:rPr>
        <w:t>hree</w:t>
      </w:r>
      <w:r w:rsidR="00FF23F5">
        <w:rPr>
          <w:bCs/>
        </w:rPr>
        <w:t xml:space="preserve"> alternative taxes</w:t>
      </w:r>
      <w:r w:rsidR="00453EAF">
        <w:rPr>
          <w:bCs/>
        </w:rPr>
        <w:t>: 1) a tax imposed by place of work</w:t>
      </w:r>
      <w:r w:rsidR="0045140B">
        <w:rPr>
          <w:bCs/>
        </w:rPr>
        <w:t xml:space="preserve">, which we refer to as the </w:t>
      </w:r>
      <w:r w:rsidR="003A0E22">
        <w:rPr>
          <w:bCs/>
        </w:rPr>
        <w:t>P</w:t>
      </w:r>
      <w:r w:rsidR="0045140B">
        <w:rPr>
          <w:bCs/>
        </w:rPr>
        <w:t xml:space="preserve">ayroll </w:t>
      </w:r>
      <w:r w:rsidR="003A0E22">
        <w:rPr>
          <w:bCs/>
        </w:rPr>
        <w:t>T</w:t>
      </w:r>
      <w:r w:rsidR="0045140B">
        <w:rPr>
          <w:bCs/>
        </w:rPr>
        <w:t>ax</w:t>
      </w:r>
      <w:r w:rsidR="00453EAF">
        <w:rPr>
          <w:bCs/>
        </w:rPr>
        <w:t>; 2) a</w:t>
      </w:r>
      <w:r w:rsidR="00FF23F5">
        <w:rPr>
          <w:bCs/>
        </w:rPr>
        <w:t xml:space="preserve"> tax imposed by </w:t>
      </w:r>
      <w:r w:rsidR="00AA36FF">
        <w:rPr>
          <w:bCs/>
        </w:rPr>
        <w:t>a town</w:t>
      </w:r>
      <w:r w:rsidR="00FF23F5">
        <w:rPr>
          <w:bCs/>
        </w:rPr>
        <w:t xml:space="preserve"> o</w:t>
      </w:r>
      <w:r w:rsidR="00AA36FF">
        <w:rPr>
          <w:bCs/>
        </w:rPr>
        <w:t>n earned income of</w:t>
      </w:r>
      <w:r w:rsidR="00FF23F5">
        <w:rPr>
          <w:bCs/>
        </w:rPr>
        <w:t xml:space="preserve"> the residen</w:t>
      </w:r>
      <w:r w:rsidR="00F3496D">
        <w:rPr>
          <w:bCs/>
        </w:rPr>
        <w:t>ts</w:t>
      </w:r>
      <w:r w:rsidR="00AA36FF">
        <w:rPr>
          <w:bCs/>
        </w:rPr>
        <w:t>, regardless of where earned,</w:t>
      </w:r>
      <w:r w:rsidR="00FF23F5">
        <w:rPr>
          <w:bCs/>
        </w:rPr>
        <w:t xml:space="preserve"> and </w:t>
      </w:r>
      <w:r w:rsidR="00AA36FF">
        <w:rPr>
          <w:bCs/>
        </w:rPr>
        <w:t>on earnings of non-residen</w:t>
      </w:r>
      <w:r w:rsidR="00106198">
        <w:rPr>
          <w:bCs/>
        </w:rPr>
        <w:t>ts</w:t>
      </w:r>
      <w:r w:rsidR="00AA36FF">
        <w:rPr>
          <w:bCs/>
        </w:rPr>
        <w:t xml:space="preserve"> working in the town, </w:t>
      </w:r>
      <w:r w:rsidR="00FF23F5">
        <w:rPr>
          <w:bCs/>
        </w:rPr>
        <w:t>with a credit for taxes paid by place of work</w:t>
      </w:r>
      <w:r w:rsidR="0045140B">
        <w:rPr>
          <w:bCs/>
        </w:rPr>
        <w:t xml:space="preserve">, which we refer to as the </w:t>
      </w:r>
      <w:r w:rsidR="003A0E22">
        <w:rPr>
          <w:bCs/>
        </w:rPr>
        <w:t>R</w:t>
      </w:r>
      <w:r w:rsidR="0045140B">
        <w:rPr>
          <w:bCs/>
        </w:rPr>
        <w:t>esidence</w:t>
      </w:r>
      <w:r w:rsidR="00F56E7F">
        <w:rPr>
          <w:bCs/>
        </w:rPr>
        <w:t>-base</w:t>
      </w:r>
      <w:r w:rsidR="0045140B">
        <w:rPr>
          <w:bCs/>
        </w:rPr>
        <w:t xml:space="preserve"> </w:t>
      </w:r>
      <w:r w:rsidR="003A0E22">
        <w:rPr>
          <w:bCs/>
        </w:rPr>
        <w:t>T</w:t>
      </w:r>
      <w:r w:rsidR="0045140B">
        <w:rPr>
          <w:bCs/>
        </w:rPr>
        <w:t>ax</w:t>
      </w:r>
      <w:r w:rsidR="00453EAF">
        <w:rPr>
          <w:bCs/>
        </w:rPr>
        <w:t>; 3) a tax equally split between place of work and place of residence</w:t>
      </w:r>
      <w:r w:rsidR="0045140B">
        <w:rPr>
          <w:bCs/>
        </w:rPr>
        <w:t xml:space="preserve">, which we refer to as the </w:t>
      </w:r>
      <w:r w:rsidR="003A0E22">
        <w:rPr>
          <w:bCs/>
        </w:rPr>
        <w:t>S</w:t>
      </w:r>
      <w:r w:rsidR="0045140B">
        <w:rPr>
          <w:bCs/>
        </w:rPr>
        <w:t>plit</w:t>
      </w:r>
      <w:r w:rsidR="003A0E22">
        <w:rPr>
          <w:bCs/>
        </w:rPr>
        <w:t xml:space="preserve"> Earnings T</w:t>
      </w:r>
      <w:r w:rsidR="0045140B">
        <w:rPr>
          <w:bCs/>
        </w:rPr>
        <w:t>ax</w:t>
      </w:r>
      <w:r w:rsidR="00453EAF">
        <w:rPr>
          <w:bCs/>
        </w:rPr>
        <w:t>.</w:t>
      </w:r>
      <w:r w:rsidR="00FF23F5">
        <w:rPr>
          <w:bCs/>
        </w:rPr>
        <w:t xml:space="preserve"> </w:t>
      </w:r>
      <w:r w:rsidR="00F56E7F">
        <w:rPr>
          <w:bCs/>
        </w:rPr>
        <w:t xml:space="preserve">We will also refer to a tax that applies to earned income </w:t>
      </w:r>
      <w:r w:rsidR="00FF646A">
        <w:rPr>
          <w:bCs/>
        </w:rPr>
        <w:t xml:space="preserve">only </w:t>
      </w:r>
      <w:r w:rsidR="00F56E7F">
        <w:rPr>
          <w:bCs/>
        </w:rPr>
        <w:t>of the residents of the town,</w:t>
      </w:r>
      <w:r w:rsidR="00D36F00">
        <w:rPr>
          <w:bCs/>
        </w:rPr>
        <w:t xml:space="preserve"> which we will refer to as the </w:t>
      </w:r>
      <w:r w:rsidR="00F3496D">
        <w:rPr>
          <w:bCs/>
        </w:rPr>
        <w:t>R</w:t>
      </w:r>
      <w:r w:rsidR="00F56E7F">
        <w:rPr>
          <w:bCs/>
        </w:rPr>
        <w:t xml:space="preserve">esident-only </w:t>
      </w:r>
      <w:r w:rsidR="00F3496D">
        <w:rPr>
          <w:bCs/>
        </w:rPr>
        <w:t>T</w:t>
      </w:r>
      <w:r w:rsidR="00F56E7F">
        <w:rPr>
          <w:bCs/>
        </w:rPr>
        <w:t>ax.</w:t>
      </w:r>
    </w:p>
    <w:p w14:paraId="064BE5F9" w14:textId="2A712D24" w:rsidR="00093FCB" w:rsidRDefault="00093FCB" w:rsidP="00D422A0">
      <w:pPr>
        <w:spacing w:after="0" w:line="360" w:lineRule="auto"/>
        <w:ind w:firstLine="720"/>
        <w:rPr>
          <w:bCs/>
        </w:rPr>
      </w:pPr>
      <w:r>
        <w:rPr>
          <w:bCs/>
        </w:rPr>
        <w:lastRenderedPageBreak/>
        <w:t xml:space="preserve">As with the sales tax, a regional income tax is an option for any of the five income taxes. Given the number of options, we did not estimate </w:t>
      </w:r>
      <w:r w:rsidR="007D0C66">
        <w:rPr>
          <w:bCs/>
        </w:rPr>
        <w:t xml:space="preserve">local income tax </w:t>
      </w:r>
      <w:r>
        <w:rPr>
          <w:bCs/>
        </w:rPr>
        <w:t>revenue by town for a regional option. The options for how to adopt a regional income tax are the same as those for the regional sales tax</w:t>
      </w:r>
      <w:r w:rsidR="007D0C66">
        <w:rPr>
          <w:bCs/>
        </w:rPr>
        <w:t>, as discussed in the previous section</w:t>
      </w:r>
      <w:r>
        <w:rPr>
          <w:bCs/>
        </w:rPr>
        <w:t xml:space="preserve">. </w:t>
      </w:r>
      <w:r w:rsidR="007D0C66">
        <w:rPr>
          <w:bCs/>
        </w:rPr>
        <w:t>If a regional earnings tax is locally administrated, an agency would have to be established or one of the towns appointed to administer the tax. But such a regional agency could also be established to administer non-regional earnings taxes. Ohio provides an example for such regional administration.</w:t>
      </w:r>
    </w:p>
    <w:p w14:paraId="2D5916E8" w14:textId="77777777" w:rsidR="00135360" w:rsidRDefault="00E03899" w:rsidP="00D422A0">
      <w:pPr>
        <w:spacing w:after="0" w:line="360" w:lineRule="auto"/>
        <w:ind w:firstLine="720"/>
        <w:rPr>
          <w:bCs/>
        </w:rPr>
      </w:pPr>
      <w:r>
        <w:rPr>
          <w:bCs/>
        </w:rPr>
        <w:t>The Connecticut Depa</w:t>
      </w:r>
      <w:r w:rsidR="007D71C5">
        <w:rPr>
          <w:bCs/>
        </w:rPr>
        <w:t xml:space="preserve">rtment of Revenue Services provided Connecticut </w:t>
      </w:r>
      <w:r>
        <w:rPr>
          <w:bCs/>
        </w:rPr>
        <w:t>AGI and state tax</w:t>
      </w:r>
      <w:r w:rsidR="007D71C5">
        <w:rPr>
          <w:bCs/>
        </w:rPr>
        <w:t xml:space="preserve"> liability</w:t>
      </w:r>
      <w:r>
        <w:rPr>
          <w:bCs/>
        </w:rPr>
        <w:t xml:space="preserve"> by </w:t>
      </w:r>
      <w:r w:rsidR="007D71C5">
        <w:rPr>
          <w:bCs/>
        </w:rPr>
        <w:t>town</w:t>
      </w:r>
      <w:r>
        <w:rPr>
          <w:bCs/>
        </w:rPr>
        <w:t xml:space="preserve"> of residence. </w:t>
      </w:r>
      <w:r w:rsidR="007D71C5">
        <w:rPr>
          <w:bCs/>
        </w:rPr>
        <w:t xml:space="preserve">These values do not include data from returns filed by </w:t>
      </w:r>
      <w:r>
        <w:rPr>
          <w:bCs/>
        </w:rPr>
        <w:t>non-residents</w:t>
      </w:r>
      <w:r w:rsidR="00135360">
        <w:rPr>
          <w:bCs/>
        </w:rPr>
        <w:t>, which account for 3.1 percent of AGI and 3.5 percent of tax liability</w:t>
      </w:r>
      <w:r>
        <w:rPr>
          <w:bCs/>
        </w:rPr>
        <w:t>.</w:t>
      </w:r>
      <w:r w:rsidR="007D71C5">
        <w:rPr>
          <w:bCs/>
        </w:rPr>
        <w:t xml:space="preserve"> Thus, the revenue estimate</w:t>
      </w:r>
      <w:r w:rsidR="00AC7200">
        <w:rPr>
          <w:bCs/>
        </w:rPr>
        <w:t>s</w:t>
      </w:r>
      <w:r w:rsidR="007D71C5">
        <w:rPr>
          <w:bCs/>
        </w:rPr>
        <w:t xml:space="preserve"> presented below will </w:t>
      </w:r>
      <w:r w:rsidR="00135360">
        <w:rPr>
          <w:bCs/>
        </w:rPr>
        <w:t xml:space="preserve">slightly </w:t>
      </w:r>
      <w:r w:rsidR="007D71C5">
        <w:rPr>
          <w:bCs/>
        </w:rPr>
        <w:t>understate the likely tax revenue a town would receive from these taxes.</w:t>
      </w:r>
      <w:r w:rsidR="0073042B">
        <w:rPr>
          <w:bCs/>
        </w:rPr>
        <w:t xml:space="preserve"> </w:t>
      </w:r>
    </w:p>
    <w:p w14:paraId="4A91F3DE" w14:textId="2A8499CD" w:rsidR="004D7369" w:rsidRDefault="007D71C5" w:rsidP="00D422A0">
      <w:pPr>
        <w:spacing w:after="0" w:line="360" w:lineRule="auto"/>
        <w:ind w:firstLine="720"/>
        <w:rPr>
          <w:bCs/>
        </w:rPr>
      </w:pPr>
      <w:r>
        <w:rPr>
          <w:bCs/>
        </w:rPr>
        <w:t xml:space="preserve">The Connecticut Department of Labor provided data on earnings by town and place of work. </w:t>
      </w:r>
      <w:r w:rsidR="006C1FE5">
        <w:rPr>
          <w:bCs/>
        </w:rPr>
        <w:t>Among other problems (see Appendix A), t</w:t>
      </w:r>
      <w:r w:rsidR="00AA36FF">
        <w:rPr>
          <w:bCs/>
        </w:rPr>
        <w:t>hese data have two major</w:t>
      </w:r>
      <w:r w:rsidR="00C079D3">
        <w:rPr>
          <w:bCs/>
        </w:rPr>
        <w:t xml:space="preserve"> limitations for estimating earned income tax revenue. </w:t>
      </w:r>
      <w:r w:rsidR="00AA36FF">
        <w:rPr>
          <w:bCs/>
        </w:rPr>
        <w:t>First, t</w:t>
      </w:r>
      <w:r>
        <w:rPr>
          <w:bCs/>
        </w:rPr>
        <w:t>hese data do not include profit from non-corporate businesses</w:t>
      </w:r>
      <w:r w:rsidR="00AA36FF">
        <w:rPr>
          <w:bCs/>
        </w:rPr>
        <w:t xml:space="preserve">; we use Census data to account </w:t>
      </w:r>
      <w:r w:rsidR="004D7369">
        <w:rPr>
          <w:bCs/>
        </w:rPr>
        <w:t xml:space="preserve">in an imperfect way </w:t>
      </w:r>
      <w:r w:rsidR="00AA36FF">
        <w:rPr>
          <w:bCs/>
        </w:rPr>
        <w:t>for this limitation.</w:t>
      </w:r>
      <w:r>
        <w:rPr>
          <w:bCs/>
        </w:rPr>
        <w:t xml:space="preserve"> </w:t>
      </w:r>
      <w:r w:rsidR="004D7369">
        <w:rPr>
          <w:bCs/>
        </w:rPr>
        <w:t>With this adjustment, we can estimate the revenue for an earned income tax imposed by place of employment</w:t>
      </w:r>
      <w:r w:rsidR="0045140B">
        <w:rPr>
          <w:bCs/>
        </w:rPr>
        <w:t xml:space="preserve">, i.e., the </w:t>
      </w:r>
      <w:r w:rsidR="003A0E22">
        <w:rPr>
          <w:bCs/>
        </w:rPr>
        <w:t>P</w:t>
      </w:r>
      <w:r w:rsidR="0045140B">
        <w:rPr>
          <w:bCs/>
        </w:rPr>
        <w:t xml:space="preserve">ayroll </w:t>
      </w:r>
      <w:r w:rsidR="003A0E22">
        <w:rPr>
          <w:bCs/>
        </w:rPr>
        <w:t>T</w:t>
      </w:r>
      <w:r w:rsidR="0045140B">
        <w:rPr>
          <w:bCs/>
        </w:rPr>
        <w:t>ax</w:t>
      </w:r>
      <w:r w:rsidR="004D7369">
        <w:rPr>
          <w:bCs/>
        </w:rPr>
        <w:t>.</w:t>
      </w:r>
      <w:r w:rsidR="00F3496D">
        <w:rPr>
          <w:bCs/>
        </w:rPr>
        <w:t xml:space="preserve"> Note that the </w:t>
      </w:r>
      <w:r w:rsidR="0045140B">
        <w:rPr>
          <w:bCs/>
        </w:rPr>
        <w:t xml:space="preserve">Payroll </w:t>
      </w:r>
      <w:r w:rsidR="00F3496D">
        <w:rPr>
          <w:bCs/>
        </w:rPr>
        <w:t>T</w:t>
      </w:r>
      <w:r w:rsidR="0045140B">
        <w:rPr>
          <w:bCs/>
        </w:rPr>
        <w:t>ax r</w:t>
      </w:r>
      <w:r w:rsidR="004D7369">
        <w:rPr>
          <w:bCs/>
        </w:rPr>
        <w:t xml:space="preserve">evenue for any town will not depend on whether other towns adopt the tax, except through </w:t>
      </w:r>
      <w:r w:rsidR="0045140B">
        <w:rPr>
          <w:bCs/>
        </w:rPr>
        <w:t>the effect o</w:t>
      </w:r>
      <w:r w:rsidR="00FF646A">
        <w:rPr>
          <w:bCs/>
        </w:rPr>
        <w:t>n</w:t>
      </w:r>
      <w:r w:rsidR="0045140B">
        <w:rPr>
          <w:bCs/>
        </w:rPr>
        <w:t xml:space="preserve"> firm location due </w:t>
      </w:r>
      <w:r w:rsidR="004D7369">
        <w:rPr>
          <w:bCs/>
        </w:rPr>
        <w:t>to the tax</w:t>
      </w:r>
      <w:r w:rsidR="0045140B">
        <w:rPr>
          <w:bCs/>
        </w:rPr>
        <w:t>.</w:t>
      </w:r>
      <w:r w:rsidR="004D7369">
        <w:rPr>
          <w:bCs/>
        </w:rPr>
        <w:t xml:space="preserve"> </w:t>
      </w:r>
    </w:p>
    <w:p w14:paraId="3260242A" w14:textId="68A4C368" w:rsidR="0045140B" w:rsidRDefault="004D7369" w:rsidP="00D422A0">
      <w:pPr>
        <w:spacing w:after="0" w:line="360" w:lineRule="auto"/>
        <w:ind w:firstLine="720"/>
        <w:rPr>
          <w:bCs/>
        </w:rPr>
      </w:pPr>
      <w:r>
        <w:rPr>
          <w:bCs/>
        </w:rPr>
        <w:t>The second limitation</w:t>
      </w:r>
      <w:r w:rsidR="0045140B">
        <w:rPr>
          <w:bCs/>
        </w:rPr>
        <w:t xml:space="preserve"> with these data</w:t>
      </w:r>
      <w:r>
        <w:rPr>
          <w:bCs/>
        </w:rPr>
        <w:t xml:space="preserve"> is that </w:t>
      </w:r>
      <w:r w:rsidR="00135360">
        <w:rPr>
          <w:bCs/>
        </w:rPr>
        <w:t xml:space="preserve">the data do not include earnings </w:t>
      </w:r>
      <w:r>
        <w:rPr>
          <w:bCs/>
        </w:rPr>
        <w:t xml:space="preserve">of Connecticut residents who work </w:t>
      </w:r>
      <w:r w:rsidR="00135360">
        <w:rPr>
          <w:bCs/>
        </w:rPr>
        <w:t>out-of-state</w:t>
      </w:r>
      <w:r>
        <w:rPr>
          <w:bCs/>
        </w:rPr>
        <w:t>; we are unable to adjust for this. Thus, the data underestimate the revenue for a</w:t>
      </w:r>
      <w:r w:rsidR="006C1FE5">
        <w:rPr>
          <w:bCs/>
        </w:rPr>
        <w:t xml:space="preserve"> residence-based</w:t>
      </w:r>
      <w:r>
        <w:rPr>
          <w:bCs/>
        </w:rPr>
        <w:t xml:space="preserve"> earned income tax</w:t>
      </w:r>
      <w:r w:rsidR="006C1FE5">
        <w:rPr>
          <w:bCs/>
        </w:rPr>
        <w:t xml:space="preserve">, i.e., </w:t>
      </w:r>
      <w:r w:rsidR="0045140B">
        <w:rPr>
          <w:bCs/>
        </w:rPr>
        <w:t xml:space="preserve">a tax on </w:t>
      </w:r>
      <w:r>
        <w:rPr>
          <w:bCs/>
        </w:rPr>
        <w:t>earned income of the residen</w:t>
      </w:r>
      <w:r w:rsidR="006C1FE5">
        <w:rPr>
          <w:bCs/>
        </w:rPr>
        <w:t>ts</w:t>
      </w:r>
      <w:r>
        <w:rPr>
          <w:bCs/>
        </w:rPr>
        <w:t>, regardless of where earned, and on earnings of non-residen</w:t>
      </w:r>
      <w:r w:rsidR="006C1FE5">
        <w:rPr>
          <w:bCs/>
        </w:rPr>
        <w:t>t</w:t>
      </w:r>
      <w:r>
        <w:rPr>
          <w:bCs/>
        </w:rPr>
        <w:t>s working in the town, with a credit for taxes paid by place of work</w:t>
      </w:r>
      <w:r w:rsidR="00135360">
        <w:rPr>
          <w:bCs/>
        </w:rPr>
        <w:t xml:space="preserve">. </w:t>
      </w:r>
      <w:r>
        <w:rPr>
          <w:bCs/>
        </w:rPr>
        <w:t xml:space="preserve">For </w:t>
      </w:r>
      <w:r w:rsidR="006C1FE5">
        <w:rPr>
          <w:bCs/>
        </w:rPr>
        <w:t xml:space="preserve">the </w:t>
      </w:r>
      <w:r w:rsidR="00F3496D">
        <w:rPr>
          <w:bCs/>
        </w:rPr>
        <w:t>R</w:t>
      </w:r>
      <w:r w:rsidR="006C1FE5">
        <w:rPr>
          <w:bCs/>
        </w:rPr>
        <w:t>esidence-base</w:t>
      </w:r>
      <w:r>
        <w:rPr>
          <w:bCs/>
        </w:rPr>
        <w:t xml:space="preserve"> </w:t>
      </w:r>
      <w:r w:rsidR="00F3496D">
        <w:rPr>
          <w:bCs/>
        </w:rPr>
        <w:t>T</w:t>
      </w:r>
      <w:r>
        <w:rPr>
          <w:bCs/>
        </w:rPr>
        <w:t xml:space="preserve">ax, </w:t>
      </w:r>
      <w:r w:rsidR="009840B9">
        <w:rPr>
          <w:bCs/>
        </w:rPr>
        <w:t>a town</w:t>
      </w:r>
      <w:r w:rsidR="0045140B">
        <w:rPr>
          <w:bCs/>
        </w:rPr>
        <w:t>’</w:t>
      </w:r>
      <w:r w:rsidR="009840B9">
        <w:rPr>
          <w:bCs/>
        </w:rPr>
        <w:t xml:space="preserve">s tax revenue will depend on which other towns adopt the tax since that determines whether </w:t>
      </w:r>
      <w:r w:rsidR="006C1FE5">
        <w:rPr>
          <w:bCs/>
        </w:rPr>
        <w:t xml:space="preserve">a resident’s out-of-town </w:t>
      </w:r>
      <w:r w:rsidR="009840B9">
        <w:rPr>
          <w:bCs/>
        </w:rPr>
        <w:t xml:space="preserve">earned income is taxed by the town of residence or by the town in which the individual works. </w:t>
      </w:r>
      <w:r w:rsidR="0045140B">
        <w:rPr>
          <w:bCs/>
        </w:rPr>
        <w:t>If</w:t>
      </w:r>
      <w:r w:rsidR="00135360">
        <w:rPr>
          <w:bCs/>
        </w:rPr>
        <w:t xml:space="preserve"> all towns adopt the </w:t>
      </w:r>
      <w:r w:rsidR="00F3496D">
        <w:rPr>
          <w:bCs/>
        </w:rPr>
        <w:t>R</w:t>
      </w:r>
      <w:r w:rsidR="006C1FE5">
        <w:rPr>
          <w:bCs/>
        </w:rPr>
        <w:t>esi</w:t>
      </w:r>
      <w:r w:rsidR="003A0E22">
        <w:rPr>
          <w:bCs/>
        </w:rPr>
        <w:t>dence-base</w:t>
      </w:r>
      <w:r w:rsidR="006C1FE5">
        <w:rPr>
          <w:bCs/>
        </w:rPr>
        <w:t xml:space="preserve"> </w:t>
      </w:r>
      <w:r w:rsidR="00F3496D">
        <w:rPr>
          <w:bCs/>
        </w:rPr>
        <w:t>T</w:t>
      </w:r>
      <w:r w:rsidR="006C1FE5">
        <w:rPr>
          <w:bCs/>
        </w:rPr>
        <w:t>ax</w:t>
      </w:r>
      <w:r w:rsidR="0045140B">
        <w:rPr>
          <w:bCs/>
        </w:rPr>
        <w:t xml:space="preserve">, </w:t>
      </w:r>
      <w:r w:rsidR="00E05536">
        <w:rPr>
          <w:bCs/>
        </w:rPr>
        <w:t xml:space="preserve">the tax </w:t>
      </w:r>
      <w:r w:rsidR="006C1FE5">
        <w:rPr>
          <w:bCs/>
        </w:rPr>
        <w:t xml:space="preserve">base </w:t>
      </w:r>
      <w:r w:rsidR="00FF646A">
        <w:rPr>
          <w:bCs/>
        </w:rPr>
        <w:t xml:space="preserve">consists of </w:t>
      </w:r>
      <w:r w:rsidR="0045140B">
        <w:rPr>
          <w:bCs/>
        </w:rPr>
        <w:t xml:space="preserve">a payroll tax plus </w:t>
      </w:r>
      <w:r w:rsidR="008869F3">
        <w:rPr>
          <w:bCs/>
        </w:rPr>
        <w:t xml:space="preserve">the </w:t>
      </w:r>
      <w:r w:rsidR="006C1FE5">
        <w:rPr>
          <w:bCs/>
        </w:rPr>
        <w:t xml:space="preserve">residents’ </w:t>
      </w:r>
      <w:r w:rsidR="0045140B">
        <w:rPr>
          <w:bCs/>
        </w:rPr>
        <w:t xml:space="preserve">out-of-state earned income. Since we cannot measure out-of-state earned income, the </w:t>
      </w:r>
      <w:r w:rsidR="00F3496D">
        <w:rPr>
          <w:bCs/>
        </w:rPr>
        <w:t>P</w:t>
      </w:r>
      <w:r w:rsidR="0045140B">
        <w:rPr>
          <w:bCs/>
        </w:rPr>
        <w:t xml:space="preserve">ayroll </w:t>
      </w:r>
      <w:r w:rsidR="00F3496D">
        <w:rPr>
          <w:bCs/>
        </w:rPr>
        <w:t>T</w:t>
      </w:r>
      <w:r w:rsidR="0045140B">
        <w:rPr>
          <w:bCs/>
        </w:rPr>
        <w:t xml:space="preserve">ax and the </w:t>
      </w:r>
      <w:r w:rsidR="00F3496D">
        <w:rPr>
          <w:bCs/>
        </w:rPr>
        <w:t>R</w:t>
      </w:r>
      <w:r w:rsidR="006C1FE5">
        <w:rPr>
          <w:bCs/>
        </w:rPr>
        <w:t xml:space="preserve">esidence-base </w:t>
      </w:r>
      <w:r w:rsidR="00F3496D">
        <w:rPr>
          <w:bCs/>
        </w:rPr>
        <w:t>T</w:t>
      </w:r>
      <w:r w:rsidR="0045140B">
        <w:rPr>
          <w:bCs/>
        </w:rPr>
        <w:t>ax are equivalent</w:t>
      </w:r>
      <w:r w:rsidR="006C1FE5">
        <w:rPr>
          <w:bCs/>
        </w:rPr>
        <w:t xml:space="preserve"> using our data</w:t>
      </w:r>
      <w:r w:rsidR="008869F3">
        <w:rPr>
          <w:bCs/>
        </w:rPr>
        <w:t xml:space="preserve"> in the case that all towns adopt a residence-base tax</w:t>
      </w:r>
      <w:r w:rsidR="00F3496D">
        <w:rPr>
          <w:bCs/>
        </w:rPr>
        <w:t xml:space="preserve">, since the only difference between the two tax bases </w:t>
      </w:r>
      <w:r w:rsidR="00F3496D">
        <w:rPr>
          <w:bCs/>
        </w:rPr>
        <w:lastRenderedPageBreak/>
        <w:t>when all towns adopt the Residence-based Tax is earning from out-of-state</w:t>
      </w:r>
      <w:r w:rsidR="0045140B">
        <w:rPr>
          <w:bCs/>
        </w:rPr>
        <w:t>.</w:t>
      </w:r>
      <w:r w:rsidR="00E05536">
        <w:rPr>
          <w:bCs/>
        </w:rPr>
        <w:t xml:space="preserve">  </w:t>
      </w:r>
      <w:r w:rsidR="007D71C5">
        <w:rPr>
          <w:bCs/>
        </w:rPr>
        <w:t>(</w:t>
      </w:r>
      <w:r w:rsidR="001E6F0E">
        <w:rPr>
          <w:bCs/>
        </w:rPr>
        <w:t>S</w:t>
      </w:r>
      <w:r w:rsidR="007D71C5">
        <w:rPr>
          <w:bCs/>
        </w:rPr>
        <w:t xml:space="preserve">ee Appendix </w:t>
      </w:r>
      <w:r w:rsidR="007F5BD5">
        <w:rPr>
          <w:bCs/>
        </w:rPr>
        <w:t>A</w:t>
      </w:r>
      <w:r w:rsidR="007D71C5">
        <w:rPr>
          <w:bCs/>
        </w:rPr>
        <w:t xml:space="preserve"> for a discussion of the procedure used</w:t>
      </w:r>
      <w:r w:rsidR="00453EAF">
        <w:rPr>
          <w:bCs/>
        </w:rPr>
        <w:t xml:space="preserve"> to estimate the earned income tax bases</w:t>
      </w:r>
      <w:r w:rsidR="007D71C5">
        <w:rPr>
          <w:bCs/>
        </w:rPr>
        <w:t xml:space="preserve">.) </w:t>
      </w:r>
    </w:p>
    <w:p w14:paraId="475D41E8" w14:textId="30CCB21E" w:rsidR="00253B25" w:rsidRDefault="00253B25" w:rsidP="00D422A0">
      <w:pPr>
        <w:spacing w:after="0" w:line="360" w:lineRule="auto"/>
        <w:ind w:firstLine="720"/>
        <w:rPr>
          <w:bCs/>
        </w:rPr>
      </w:pPr>
      <w:r>
        <w:rPr>
          <w:bCs/>
        </w:rPr>
        <w:t xml:space="preserve">We set the </w:t>
      </w:r>
      <w:r w:rsidR="001E6F0E">
        <w:rPr>
          <w:bCs/>
        </w:rPr>
        <w:t xml:space="preserve">tax rates </w:t>
      </w:r>
      <w:r w:rsidR="00263A2E">
        <w:rPr>
          <w:bCs/>
        </w:rPr>
        <w:t xml:space="preserve">at one percent </w:t>
      </w:r>
      <w:r w:rsidR="001E6F0E">
        <w:rPr>
          <w:bCs/>
        </w:rPr>
        <w:t>for the tax on earned income</w:t>
      </w:r>
      <w:r w:rsidR="00263A2E">
        <w:rPr>
          <w:bCs/>
        </w:rPr>
        <w:t xml:space="preserve">, 0.75 percent for the </w:t>
      </w:r>
      <w:r w:rsidR="00D36F00">
        <w:rPr>
          <w:bCs/>
        </w:rPr>
        <w:t>AGI T</w:t>
      </w:r>
      <w:r w:rsidR="00BE7EF2">
        <w:rPr>
          <w:bCs/>
        </w:rPr>
        <w:t>ax</w:t>
      </w:r>
      <w:r w:rsidR="00263A2E">
        <w:rPr>
          <w:bCs/>
        </w:rPr>
        <w:t xml:space="preserve">, </w:t>
      </w:r>
      <w:r>
        <w:rPr>
          <w:bCs/>
        </w:rPr>
        <w:t>and 1</w:t>
      </w:r>
      <w:r w:rsidR="00263A2E">
        <w:rPr>
          <w:bCs/>
        </w:rPr>
        <w:t>8</w:t>
      </w:r>
      <w:r>
        <w:rPr>
          <w:bCs/>
        </w:rPr>
        <w:t xml:space="preserve"> percent for the </w:t>
      </w:r>
      <w:r w:rsidR="00D36F00">
        <w:rPr>
          <w:bCs/>
        </w:rPr>
        <w:t>Income Surtax</w:t>
      </w:r>
      <w:r>
        <w:rPr>
          <w:bCs/>
        </w:rPr>
        <w:t xml:space="preserve">. </w:t>
      </w:r>
      <w:r w:rsidR="00263A2E">
        <w:rPr>
          <w:bCs/>
        </w:rPr>
        <w:t xml:space="preserve">These rates yield similar total </w:t>
      </w:r>
      <w:r w:rsidR="00C079D3">
        <w:rPr>
          <w:bCs/>
        </w:rPr>
        <w:t xml:space="preserve">statewide </w:t>
      </w:r>
      <w:r w:rsidR="00263A2E">
        <w:rPr>
          <w:bCs/>
        </w:rPr>
        <w:t>tax revenue, namely, $1</w:t>
      </w:r>
      <w:r w:rsidR="008869F3">
        <w:rPr>
          <w:bCs/>
        </w:rPr>
        <w:t>,</w:t>
      </w:r>
      <w:r w:rsidR="00263A2E">
        <w:rPr>
          <w:bCs/>
        </w:rPr>
        <w:t>08</w:t>
      </w:r>
      <w:r w:rsidR="008869F3">
        <w:rPr>
          <w:bCs/>
        </w:rPr>
        <w:t>4.0 m</w:t>
      </w:r>
      <w:r w:rsidR="00263A2E">
        <w:rPr>
          <w:bCs/>
        </w:rPr>
        <w:t xml:space="preserve">illion. </w:t>
      </w:r>
      <w:r>
        <w:rPr>
          <w:bCs/>
        </w:rPr>
        <w:t xml:space="preserve">Income tax rates that would raise essentially the same </w:t>
      </w:r>
      <w:r w:rsidR="00453EAF">
        <w:rPr>
          <w:bCs/>
        </w:rPr>
        <w:t xml:space="preserve">aggregate tax </w:t>
      </w:r>
      <w:r>
        <w:rPr>
          <w:bCs/>
        </w:rPr>
        <w:t xml:space="preserve">revenue as a </w:t>
      </w:r>
      <w:r w:rsidR="00981F02">
        <w:rPr>
          <w:bCs/>
        </w:rPr>
        <w:t xml:space="preserve">one </w:t>
      </w:r>
      <w:r>
        <w:rPr>
          <w:bCs/>
        </w:rPr>
        <w:t xml:space="preserve">percent local sales tax are: </w:t>
      </w:r>
      <w:r w:rsidRPr="008869F3">
        <w:rPr>
          <w:bCs/>
        </w:rPr>
        <w:t>0.42</w:t>
      </w:r>
      <w:r>
        <w:rPr>
          <w:bCs/>
        </w:rPr>
        <w:t xml:space="preserve"> percent on Connecticut AGI, </w:t>
      </w:r>
      <w:r w:rsidR="008869F3">
        <w:rPr>
          <w:bCs/>
        </w:rPr>
        <w:t>9.99</w:t>
      </w:r>
      <w:r w:rsidR="0072700E">
        <w:rPr>
          <w:bCs/>
        </w:rPr>
        <w:t xml:space="preserve"> percent on Connecticut income tax liability, and</w:t>
      </w:r>
      <w:r w:rsidR="0072700E" w:rsidRPr="008869F3">
        <w:rPr>
          <w:bCs/>
        </w:rPr>
        <w:t xml:space="preserve"> </w:t>
      </w:r>
      <w:r w:rsidRPr="008869F3">
        <w:rPr>
          <w:bCs/>
        </w:rPr>
        <w:t>0.5</w:t>
      </w:r>
      <w:r w:rsidR="008869F3" w:rsidRPr="008869F3">
        <w:rPr>
          <w:bCs/>
        </w:rPr>
        <w:t>5</w:t>
      </w:r>
      <w:r>
        <w:rPr>
          <w:bCs/>
        </w:rPr>
        <w:t xml:space="preserve"> perce</w:t>
      </w:r>
      <w:r w:rsidR="003A0E22">
        <w:rPr>
          <w:bCs/>
        </w:rPr>
        <w:t>nt on earnings and net</w:t>
      </w:r>
      <w:r w:rsidR="00F3496D">
        <w:rPr>
          <w:bCs/>
        </w:rPr>
        <w:t xml:space="preserve"> non-corporate profits.</w:t>
      </w:r>
    </w:p>
    <w:p w14:paraId="4C6E8D48" w14:textId="14D45CE0" w:rsidR="00C974BA" w:rsidRDefault="00453EAF" w:rsidP="00D422A0">
      <w:pPr>
        <w:spacing w:after="0" w:line="360" w:lineRule="auto"/>
        <w:ind w:firstLine="720"/>
        <w:rPr>
          <w:color w:val="000000"/>
        </w:rPr>
      </w:pPr>
      <w:r>
        <w:rPr>
          <w:color w:val="000000"/>
        </w:rPr>
        <w:t xml:space="preserve">Appendix </w:t>
      </w:r>
      <w:r w:rsidR="004A47F3">
        <w:rPr>
          <w:color w:val="000000"/>
        </w:rPr>
        <w:t xml:space="preserve">Table </w:t>
      </w:r>
      <w:r>
        <w:rPr>
          <w:color w:val="000000"/>
        </w:rPr>
        <w:t>A3</w:t>
      </w:r>
      <w:r w:rsidR="00AC7200">
        <w:rPr>
          <w:color w:val="000000"/>
        </w:rPr>
        <w:t xml:space="preserve"> provides estimates of </w:t>
      </w:r>
      <w:r w:rsidR="00145B23">
        <w:rPr>
          <w:color w:val="000000"/>
        </w:rPr>
        <w:t xml:space="preserve">total and per capita </w:t>
      </w:r>
      <w:r w:rsidR="00AC7200">
        <w:rPr>
          <w:color w:val="000000"/>
        </w:rPr>
        <w:t xml:space="preserve">tax revenues by </w:t>
      </w:r>
      <w:r w:rsidR="00F3496D">
        <w:rPr>
          <w:color w:val="000000"/>
        </w:rPr>
        <w:t>town</w:t>
      </w:r>
      <w:r w:rsidR="004A47F3">
        <w:rPr>
          <w:color w:val="000000"/>
        </w:rPr>
        <w:t xml:space="preserve"> for </w:t>
      </w:r>
      <w:r w:rsidR="00145B23">
        <w:rPr>
          <w:color w:val="000000"/>
        </w:rPr>
        <w:t>each of the tax bases</w:t>
      </w:r>
      <w:r w:rsidR="004A47F3">
        <w:rPr>
          <w:color w:val="000000"/>
        </w:rPr>
        <w:t>.</w:t>
      </w:r>
      <w:r w:rsidR="0073042B">
        <w:rPr>
          <w:color w:val="000000"/>
        </w:rPr>
        <w:t xml:space="preserve"> </w:t>
      </w:r>
      <w:r w:rsidR="00AC7200">
        <w:rPr>
          <w:color w:val="000000"/>
        </w:rPr>
        <w:t xml:space="preserve">It needs to be stressed that these estimates are not </w:t>
      </w:r>
      <w:r w:rsidR="00F3496D">
        <w:rPr>
          <w:color w:val="000000"/>
        </w:rPr>
        <w:t xml:space="preserve">appropriate </w:t>
      </w:r>
      <w:r w:rsidR="00AC7200">
        <w:rPr>
          <w:color w:val="000000"/>
        </w:rPr>
        <w:t xml:space="preserve">for budgeting purposes; </w:t>
      </w:r>
      <w:r w:rsidR="009013FF">
        <w:rPr>
          <w:color w:val="000000"/>
        </w:rPr>
        <w:t>data limitation suggest that the revenue estimates should be viewed with caution and may be imprecise</w:t>
      </w:r>
      <w:r w:rsidR="00AC7200">
        <w:rPr>
          <w:color w:val="000000"/>
        </w:rPr>
        <w:t>, par</w:t>
      </w:r>
      <w:r w:rsidR="00253B25">
        <w:rPr>
          <w:color w:val="000000"/>
        </w:rPr>
        <w:t>ticularly for the earnings tax</w:t>
      </w:r>
      <w:r w:rsidR="003E6780">
        <w:rPr>
          <w:color w:val="000000"/>
        </w:rPr>
        <w:t xml:space="preserve">. Because the data do not accurately measure the tax base for each town, we did not attempt to adjust for possible changes in the base due to behavioral responses to the tax. </w:t>
      </w:r>
      <w:r w:rsidR="00145B23">
        <w:rPr>
          <w:color w:val="000000"/>
        </w:rPr>
        <w:t>However, t</w:t>
      </w:r>
      <w:r w:rsidR="00AC7200">
        <w:rPr>
          <w:color w:val="000000"/>
        </w:rPr>
        <w:t xml:space="preserve">hese estimates </w:t>
      </w:r>
      <w:r w:rsidR="00F3496D">
        <w:rPr>
          <w:color w:val="000000"/>
        </w:rPr>
        <w:t xml:space="preserve">do </w:t>
      </w:r>
      <w:r w:rsidR="00AC7200">
        <w:rPr>
          <w:color w:val="000000"/>
        </w:rPr>
        <w:t xml:space="preserve">provide </w:t>
      </w:r>
      <w:r w:rsidR="00145B23">
        <w:rPr>
          <w:color w:val="000000"/>
        </w:rPr>
        <w:t>a reasonable indication</w:t>
      </w:r>
      <w:r w:rsidR="00AC7200">
        <w:rPr>
          <w:color w:val="000000"/>
        </w:rPr>
        <w:t xml:space="preserve"> of tax revenue that municipalities might generate </w:t>
      </w:r>
      <w:r w:rsidR="00145B23">
        <w:rPr>
          <w:color w:val="000000"/>
        </w:rPr>
        <w:t>for</w:t>
      </w:r>
      <w:r w:rsidR="00AC7200">
        <w:rPr>
          <w:color w:val="000000"/>
        </w:rPr>
        <w:t xml:space="preserve"> inform</w:t>
      </w:r>
      <w:r w:rsidR="00145B23">
        <w:rPr>
          <w:color w:val="000000"/>
        </w:rPr>
        <w:t>ing</w:t>
      </w:r>
      <w:r w:rsidR="00AC7200">
        <w:rPr>
          <w:color w:val="000000"/>
        </w:rPr>
        <w:t xml:space="preserve"> state tax policy, </w:t>
      </w:r>
      <w:r w:rsidR="00145B23">
        <w:rPr>
          <w:color w:val="000000"/>
        </w:rPr>
        <w:t xml:space="preserve">but </w:t>
      </w:r>
      <w:r w:rsidR="00AC7200">
        <w:rPr>
          <w:color w:val="000000"/>
        </w:rPr>
        <w:t xml:space="preserve">not </w:t>
      </w:r>
      <w:r w:rsidR="00145B23">
        <w:rPr>
          <w:color w:val="000000"/>
        </w:rPr>
        <w:t>for local government budget making</w:t>
      </w:r>
      <w:r w:rsidR="00AC7200">
        <w:rPr>
          <w:color w:val="000000"/>
        </w:rPr>
        <w:t>.</w:t>
      </w:r>
    </w:p>
    <w:p w14:paraId="38BAFF1E" w14:textId="3A7F5F63" w:rsidR="0091620C" w:rsidRDefault="008869F3" w:rsidP="00D422A0">
      <w:pPr>
        <w:spacing w:after="0" w:line="360" w:lineRule="auto"/>
        <w:ind w:firstLine="720"/>
        <w:rPr>
          <w:color w:val="000000"/>
        </w:rPr>
      </w:pPr>
      <w:r>
        <w:rPr>
          <w:color w:val="000000"/>
        </w:rPr>
        <w:t>Revenue per capita differs widely across towns; per capita revenue range from $40 to $</w:t>
      </w:r>
      <w:r w:rsidR="009013FF">
        <w:rPr>
          <w:color w:val="000000"/>
        </w:rPr>
        <w:t>1,773</w:t>
      </w:r>
      <w:r>
        <w:rPr>
          <w:color w:val="000000"/>
        </w:rPr>
        <w:t xml:space="preserve"> for the AGI</w:t>
      </w:r>
      <w:r w:rsidR="00F3496D">
        <w:rPr>
          <w:color w:val="000000"/>
        </w:rPr>
        <w:t xml:space="preserve"> Tax</w:t>
      </w:r>
      <w:r>
        <w:rPr>
          <w:color w:val="000000"/>
        </w:rPr>
        <w:t>, and from $31 to $</w:t>
      </w:r>
      <w:r w:rsidR="009013FF">
        <w:rPr>
          <w:color w:val="000000"/>
        </w:rPr>
        <w:t>1,874</w:t>
      </w:r>
      <w:r>
        <w:rPr>
          <w:color w:val="000000"/>
        </w:rPr>
        <w:t xml:space="preserve"> for the </w:t>
      </w:r>
      <w:r w:rsidR="00F3496D">
        <w:rPr>
          <w:color w:val="000000"/>
        </w:rPr>
        <w:t>Income Surtax</w:t>
      </w:r>
      <w:r w:rsidR="009013FF">
        <w:rPr>
          <w:color w:val="000000"/>
        </w:rPr>
        <w:t>, which are substantial ranges.</w:t>
      </w:r>
      <w:r>
        <w:rPr>
          <w:color w:val="000000"/>
        </w:rPr>
        <w:t xml:space="preserve"> </w:t>
      </w:r>
      <w:r w:rsidR="00BE7EF2">
        <w:rPr>
          <w:color w:val="000000"/>
        </w:rPr>
        <w:t xml:space="preserve">If we don’t consider the 5 percent of towns with the highest revenue per capita and the 5 percent with the lowest per capita revenue, we find that for </w:t>
      </w:r>
      <w:r w:rsidR="009013FF">
        <w:rPr>
          <w:color w:val="000000"/>
        </w:rPr>
        <w:t xml:space="preserve">90 percent of the towns AGI Tax per capita ranges from $120 to $639, and from $90 to $705 for the Income Surtax. </w:t>
      </w:r>
      <w:r>
        <w:rPr>
          <w:color w:val="000000"/>
        </w:rPr>
        <w:t xml:space="preserve">Figure 6 plots per capita tax revenue for the two income taxes. </w:t>
      </w:r>
      <w:r w:rsidR="00CE00BE">
        <w:rPr>
          <w:color w:val="000000"/>
        </w:rPr>
        <w:t>For most towns the r</w:t>
      </w:r>
      <w:r w:rsidR="00263A2E">
        <w:rPr>
          <w:color w:val="000000"/>
        </w:rPr>
        <w:t xml:space="preserve">evenue </w:t>
      </w:r>
      <w:r w:rsidR="00CE00BE">
        <w:rPr>
          <w:color w:val="000000"/>
        </w:rPr>
        <w:t>from the tax on AGI is</w:t>
      </w:r>
      <w:r w:rsidR="00263A2E">
        <w:rPr>
          <w:color w:val="000000"/>
        </w:rPr>
        <w:t xml:space="preserve"> similar</w:t>
      </w:r>
      <w:r w:rsidR="00CE00BE">
        <w:rPr>
          <w:color w:val="000000"/>
        </w:rPr>
        <w:t xml:space="preserve"> to the</w:t>
      </w:r>
      <w:r w:rsidR="00263A2E">
        <w:rPr>
          <w:color w:val="000000"/>
        </w:rPr>
        <w:t xml:space="preserve"> revenue </w:t>
      </w:r>
      <w:r w:rsidR="00CE00BE">
        <w:rPr>
          <w:color w:val="000000"/>
        </w:rPr>
        <w:t>from</w:t>
      </w:r>
      <w:r w:rsidR="00263A2E">
        <w:rPr>
          <w:color w:val="000000"/>
        </w:rPr>
        <w:t xml:space="preserve"> the tax on tax liability</w:t>
      </w:r>
      <w:r w:rsidR="00CE00BE">
        <w:rPr>
          <w:color w:val="000000"/>
        </w:rPr>
        <w:t>, for 147 towns the amounts are within 25 percent of each other. However, th</w:t>
      </w:r>
      <w:r w:rsidR="00263A2E">
        <w:rPr>
          <w:color w:val="000000"/>
        </w:rPr>
        <w:t xml:space="preserve">e </w:t>
      </w:r>
      <w:r w:rsidR="0091620C">
        <w:rPr>
          <w:color w:val="000000"/>
        </w:rPr>
        <w:t xml:space="preserve">ratio of revenue from the AGI </w:t>
      </w:r>
      <w:r w:rsidR="009013FF">
        <w:rPr>
          <w:color w:val="000000"/>
        </w:rPr>
        <w:t xml:space="preserve">Tax </w:t>
      </w:r>
      <w:r w:rsidR="0091620C">
        <w:rPr>
          <w:color w:val="000000"/>
        </w:rPr>
        <w:t>to that from the</w:t>
      </w:r>
      <w:r w:rsidR="009013FF">
        <w:rPr>
          <w:color w:val="000000"/>
        </w:rPr>
        <w:t xml:space="preserve"> Income Sur</w:t>
      </w:r>
      <w:r w:rsidR="0091620C">
        <w:rPr>
          <w:color w:val="000000"/>
        </w:rPr>
        <w:t>tax ranges from 0.76 to 2.08</w:t>
      </w:r>
      <w:r w:rsidR="00CE00BE">
        <w:rPr>
          <w:color w:val="000000"/>
        </w:rPr>
        <w:t>.</w:t>
      </w:r>
      <w:r w:rsidR="0072700E">
        <w:rPr>
          <w:rStyle w:val="FootnoteReference"/>
          <w:color w:val="000000"/>
        </w:rPr>
        <w:footnoteReference w:id="18"/>
      </w:r>
      <w:r w:rsidR="00CE00BE">
        <w:rPr>
          <w:color w:val="000000"/>
        </w:rPr>
        <w:t xml:space="preserve"> </w:t>
      </w:r>
      <w:r w:rsidR="0072700E">
        <w:rPr>
          <w:color w:val="000000"/>
        </w:rPr>
        <w:t>There are four</w:t>
      </w:r>
      <w:r w:rsidR="0019065C">
        <w:rPr>
          <w:color w:val="000000"/>
        </w:rPr>
        <w:t xml:space="preserve"> things to note. </w:t>
      </w:r>
      <w:r w:rsidR="00F3496D">
        <w:rPr>
          <w:color w:val="000000"/>
        </w:rPr>
        <w:t>First, h</w:t>
      </w:r>
      <w:r w:rsidR="0072700E">
        <w:rPr>
          <w:color w:val="000000"/>
        </w:rPr>
        <w:t xml:space="preserve">igher per capita AGI </w:t>
      </w:r>
      <w:r w:rsidR="00F3496D">
        <w:rPr>
          <w:color w:val="000000"/>
        </w:rPr>
        <w:t>T</w:t>
      </w:r>
      <w:r w:rsidR="0072700E">
        <w:rPr>
          <w:color w:val="000000"/>
        </w:rPr>
        <w:t>ax</w:t>
      </w:r>
      <w:r w:rsidR="00F3496D">
        <w:rPr>
          <w:color w:val="000000"/>
        </w:rPr>
        <w:t xml:space="preserve"> revenue</w:t>
      </w:r>
      <w:r w:rsidR="0072700E">
        <w:rPr>
          <w:color w:val="000000"/>
        </w:rPr>
        <w:t xml:space="preserve"> is associated with higher per capita </w:t>
      </w:r>
      <w:r w:rsidR="00F3496D">
        <w:rPr>
          <w:color w:val="000000"/>
        </w:rPr>
        <w:t>Income Surtax</w:t>
      </w:r>
      <w:r w:rsidR="0072700E">
        <w:rPr>
          <w:color w:val="000000"/>
        </w:rPr>
        <w:t xml:space="preserve"> revenue. </w:t>
      </w:r>
      <w:r w:rsidR="00F3496D">
        <w:rPr>
          <w:color w:val="000000"/>
        </w:rPr>
        <w:t>I</w:t>
      </w:r>
      <w:r w:rsidR="0072700E">
        <w:rPr>
          <w:color w:val="000000"/>
        </w:rPr>
        <w:t>n fact the correlation between the two is 0.98. Second</w:t>
      </w:r>
      <w:r w:rsidR="0019065C">
        <w:rPr>
          <w:color w:val="000000"/>
        </w:rPr>
        <w:t xml:space="preserve">, the </w:t>
      </w:r>
      <w:r w:rsidR="004D3334">
        <w:rPr>
          <w:color w:val="000000"/>
        </w:rPr>
        <w:t xml:space="preserve">slope of a simple regression line through the </w:t>
      </w:r>
      <w:r w:rsidR="0019065C">
        <w:rPr>
          <w:color w:val="000000"/>
        </w:rPr>
        <w:t>dot</w:t>
      </w:r>
      <w:r w:rsidR="0072700E">
        <w:rPr>
          <w:color w:val="000000"/>
        </w:rPr>
        <w:t>s</w:t>
      </w:r>
      <w:r w:rsidR="0019065C">
        <w:rPr>
          <w:color w:val="000000"/>
        </w:rPr>
        <w:t xml:space="preserve"> </w:t>
      </w:r>
      <w:r w:rsidR="004D3334">
        <w:rPr>
          <w:color w:val="000000"/>
        </w:rPr>
        <w:t>in Figure 6 has a</w:t>
      </w:r>
      <w:r w:rsidR="0019065C">
        <w:rPr>
          <w:color w:val="000000"/>
        </w:rPr>
        <w:t xml:space="preserve"> slope </w:t>
      </w:r>
      <w:r w:rsidR="004D3334">
        <w:rPr>
          <w:color w:val="000000"/>
        </w:rPr>
        <w:t xml:space="preserve">that is </w:t>
      </w:r>
      <w:r w:rsidR="0019065C">
        <w:rPr>
          <w:color w:val="000000"/>
        </w:rPr>
        <w:t xml:space="preserve">greater than one, so that </w:t>
      </w:r>
      <w:r w:rsidR="00F3496D">
        <w:rPr>
          <w:color w:val="000000"/>
        </w:rPr>
        <w:t xml:space="preserve">as AGI increases the </w:t>
      </w:r>
      <w:r w:rsidR="0019065C">
        <w:rPr>
          <w:color w:val="000000"/>
        </w:rPr>
        <w:t xml:space="preserve">per capita tax revenue for the </w:t>
      </w:r>
      <w:r w:rsidR="00F3496D">
        <w:rPr>
          <w:color w:val="000000"/>
        </w:rPr>
        <w:t>Income Surtax</w:t>
      </w:r>
      <w:r w:rsidR="0019065C">
        <w:rPr>
          <w:color w:val="000000"/>
        </w:rPr>
        <w:t xml:space="preserve"> increases faster than per capita tax revenue for the </w:t>
      </w:r>
      <w:r w:rsidR="00F3496D">
        <w:rPr>
          <w:color w:val="000000"/>
        </w:rPr>
        <w:t>AGI Tax</w:t>
      </w:r>
      <w:r w:rsidR="0019065C">
        <w:rPr>
          <w:color w:val="000000"/>
        </w:rPr>
        <w:t xml:space="preserve">. </w:t>
      </w:r>
      <w:r w:rsidR="00821373">
        <w:rPr>
          <w:color w:val="000000"/>
        </w:rPr>
        <w:t>Third,</w:t>
      </w:r>
      <w:r w:rsidR="0019065C">
        <w:rPr>
          <w:color w:val="000000"/>
        </w:rPr>
        <w:t xml:space="preserve"> the </w:t>
      </w:r>
      <w:r w:rsidR="0019065C">
        <w:rPr>
          <w:color w:val="000000"/>
        </w:rPr>
        <w:lastRenderedPageBreak/>
        <w:t xml:space="preserve">relationship between the two revenues is more varied at the high AGI levels. </w:t>
      </w:r>
      <w:r w:rsidR="00821373">
        <w:rPr>
          <w:color w:val="000000"/>
        </w:rPr>
        <w:t>Fourth, t</w:t>
      </w:r>
      <w:r w:rsidR="0019065C">
        <w:rPr>
          <w:color w:val="000000"/>
        </w:rPr>
        <w:t>he ratio of</w:t>
      </w:r>
      <w:r w:rsidR="00821373">
        <w:rPr>
          <w:color w:val="000000"/>
        </w:rPr>
        <w:t xml:space="preserve"> per capita</w:t>
      </w:r>
      <w:r w:rsidR="0019065C">
        <w:rPr>
          <w:color w:val="000000"/>
        </w:rPr>
        <w:t xml:space="preserve"> revenue from the </w:t>
      </w:r>
      <w:r w:rsidR="009013FF">
        <w:rPr>
          <w:color w:val="000000"/>
        </w:rPr>
        <w:t xml:space="preserve">AGI Tax </w:t>
      </w:r>
      <w:r w:rsidR="0019065C">
        <w:rPr>
          <w:color w:val="000000"/>
        </w:rPr>
        <w:t xml:space="preserve">to that from the </w:t>
      </w:r>
      <w:r w:rsidR="00F3496D">
        <w:rPr>
          <w:color w:val="000000"/>
        </w:rPr>
        <w:t>Income Surtax</w:t>
      </w:r>
      <w:r w:rsidR="0019065C">
        <w:rPr>
          <w:color w:val="000000"/>
        </w:rPr>
        <w:t xml:space="preserve"> is </w:t>
      </w:r>
      <w:r w:rsidR="00821373">
        <w:rPr>
          <w:color w:val="000000"/>
        </w:rPr>
        <w:t xml:space="preserve">inversely related to </w:t>
      </w:r>
      <w:r w:rsidR="00D05EFC">
        <w:rPr>
          <w:color w:val="000000"/>
        </w:rPr>
        <w:t>AGI</w:t>
      </w:r>
      <w:r w:rsidR="00821373">
        <w:rPr>
          <w:color w:val="000000"/>
        </w:rPr>
        <w:t>.</w:t>
      </w:r>
    </w:p>
    <w:p w14:paraId="09E7F9C5" w14:textId="77777777" w:rsidR="00A65845" w:rsidRDefault="00A65845" w:rsidP="00D422A0">
      <w:pPr>
        <w:spacing w:after="0" w:line="360" w:lineRule="auto"/>
        <w:ind w:firstLine="720"/>
        <w:rPr>
          <w:color w:val="000000"/>
        </w:rPr>
      </w:pPr>
    </w:p>
    <w:p w14:paraId="39EDB1F8" w14:textId="6BAB659A" w:rsidR="003A0E22" w:rsidRPr="00A65845" w:rsidRDefault="00A65845" w:rsidP="00A65845">
      <w:pPr>
        <w:pStyle w:val="Heading5"/>
        <w:ind w:firstLine="360"/>
      </w:pPr>
      <w:bookmarkStart w:id="95" w:name="_Toc433373708"/>
      <w:r w:rsidRPr="00A65845">
        <w:t>Figure 6. Per Capita Income Tax Revenue</w:t>
      </w:r>
      <w:r w:rsidR="009013FF">
        <w:t xml:space="preserve"> for AGI Tax and Income Surtax</w:t>
      </w:r>
      <w:bookmarkEnd w:id="95"/>
    </w:p>
    <w:p w14:paraId="554AD157" w14:textId="2BB735D1" w:rsidR="007D6AC8" w:rsidRDefault="007D6AC8" w:rsidP="008869F3">
      <w:pPr>
        <w:spacing w:after="0" w:line="360" w:lineRule="auto"/>
        <w:ind w:firstLine="360"/>
        <w:rPr>
          <w:color w:val="000000"/>
        </w:rPr>
      </w:pPr>
      <w:r>
        <w:rPr>
          <w:noProof/>
          <w:lang w:bidi="ar-SA"/>
        </w:rPr>
        <w:drawing>
          <wp:inline distT="0" distB="0" distL="0" distR="0" wp14:anchorId="2E98601A" wp14:editId="7F00F1DC">
            <wp:extent cx="5608320" cy="301752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37B2EF" w14:textId="77777777" w:rsidR="008869F3" w:rsidRDefault="008869F3" w:rsidP="00D422A0">
      <w:pPr>
        <w:spacing w:after="0" w:line="360" w:lineRule="auto"/>
        <w:ind w:firstLine="720"/>
        <w:rPr>
          <w:color w:val="000000"/>
        </w:rPr>
      </w:pPr>
    </w:p>
    <w:p w14:paraId="02F425A9" w14:textId="722E62C5" w:rsidR="00D05EFC" w:rsidRDefault="0091620C" w:rsidP="00D422A0">
      <w:pPr>
        <w:spacing w:after="0" w:line="360" w:lineRule="auto"/>
        <w:ind w:firstLine="720"/>
        <w:rPr>
          <w:color w:val="000000"/>
        </w:rPr>
      </w:pPr>
      <w:r>
        <w:rPr>
          <w:color w:val="000000"/>
        </w:rPr>
        <w:t xml:space="preserve">Per capita revenue for the </w:t>
      </w:r>
      <w:r w:rsidR="0081790A">
        <w:rPr>
          <w:color w:val="000000"/>
        </w:rPr>
        <w:t>P</w:t>
      </w:r>
      <w:r w:rsidR="00821373">
        <w:rPr>
          <w:color w:val="000000"/>
        </w:rPr>
        <w:t xml:space="preserve">ayroll </w:t>
      </w:r>
      <w:r w:rsidR="0081790A">
        <w:rPr>
          <w:color w:val="000000"/>
        </w:rPr>
        <w:t>T</w:t>
      </w:r>
      <w:r>
        <w:rPr>
          <w:color w:val="000000"/>
        </w:rPr>
        <w:t>ax ranges from $22 to $</w:t>
      </w:r>
      <w:r w:rsidR="009013FF">
        <w:rPr>
          <w:color w:val="000000"/>
        </w:rPr>
        <w:t>87</w:t>
      </w:r>
      <w:r>
        <w:rPr>
          <w:color w:val="000000"/>
        </w:rPr>
        <w:t>2</w:t>
      </w:r>
      <w:r w:rsidR="00BE7EF2">
        <w:rPr>
          <w:color w:val="000000"/>
        </w:rPr>
        <w:t>, which is not as large as the range for the AGI Tax</w:t>
      </w:r>
      <w:r w:rsidR="00D05EFC">
        <w:rPr>
          <w:color w:val="000000"/>
        </w:rPr>
        <w:t>.</w:t>
      </w:r>
      <w:r w:rsidR="00821373">
        <w:rPr>
          <w:color w:val="000000"/>
        </w:rPr>
        <w:t xml:space="preserve"> The per capita revenue for the </w:t>
      </w:r>
      <w:r w:rsidR="0081790A">
        <w:rPr>
          <w:color w:val="000000"/>
        </w:rPr>
        <w:t>P</w:t>
      </w:r>
      <w:r w:rsidR="00821373">
        <w:rPr>
          <w:color w:val="000000"/>
        </w:rPr>
        <w:t xml:space="preserve">ayroll </w:t>
      </w:r>
      <w:r w:rsidR="0081790A">
        <w:rPr>
          <w:color w:val="000000"/>
        </w:rPr>
        <w:t>T</w:t>
      </w:r>
      <w:r w:rsidR="00821373">
        <w:rPr>
          <w:color w:val="000000"/>
        </w:rPr>
        <w:t xml:space="preserve">ax is positively related to per capita revenue for the </w:t>
      </w:r>
      <w:r w:rsidR="00BE7EF2">
        <w:rPr>
          <w:color w:val="000000"/>
        </w:rPr>
        <w:t>AGI Tax</w:t>
      </w:r>
      <w:r w:rsidR="00821373">
        <w:rPr>
          <w:color w:val="000000"/>
        </w:rPr>
        <w:t xml:space="preserve">, but the correlation is small, 0.27. The reason is that AGI is based on the income of the residents of a town, while the </w:t>
      </w:r>
      <w:r w:rsidR="0081790A">
        <w:rPr>
          <w:color w:val="000000"/>
        </w:rPr>
        <w:t>P</w:t>
      </w:r>
      <w:r w:rsidR="00821373">
        <w:rPr>
          <w:color w:val="000000"/>
        </w:rPr>
        <w:t xml:space="preserve">ayroll </w:t>
      </w:r>
      <w:r w:rsidR="0081790A">
        <w:rPr>
          <w:color w:val="000000"/>
        </w:rPr>
        <w:t>T</w:t>
      </w:r>
      <w:r w:rsidR="00821373">
        <w:rPr>
          <w:color w:val="000000"/>
        </w:rPr>
        <w:t xml:space="preserve">ax is based on the earned income of those working in the town.  </w:t>
      </w:r>
    </w:p>
    <w:p w14:paraId="37A8EE55" w14:textId="1770E622" w:rsidR="00105583" w:rsidRDefault="00D05EFC" w:rsidP="00D422A0">
      <w:pPr>
        <w:spacing w:after="0" w:line="360" w:lineRule="auto"/>
        <w:ind w:firstLine="720"/>
        <w:rPr>
          <w:color w:val="000000"/>
        </w:rPr>
      </w:pPr>
      <w:r>
        <w:rPr>
          <w:color w:val="000000"/>
        </w:rPr>
        <w:t xml:space="preserve">As noted above, the revenue from a </w:t>
      </w:r>
      <w:r w:rsidR="0081790A">
        <w:rPr>
          <w:color w:val="000000"/>
        </w:rPr>
        <w:t>R</w:t>
      </w:r>
      <w:r w:rsidR="001837A7">
        <w:rPr>
          <w:color w:val="000000"/>
        </w:rPr>
        <w:t xml:space="preserve">esidence-based </w:t>
      </w:r>
      <w:r w:rsidR="0081790A">
        <w:rPr>
          <w:color w:val="000000"/>
        </w:rPr>
        <w:t>T</w:t>
      </w:r>
      <w:r>
        <w:rPr>
          <w:color w:val="000000"/>
        </w:rPr>
        <w:t xml:space="preserve">ax </w:t>
      </w:r>
      <w:r>
        <w:rPr>
          <w:bCs/>
        </w:rPr>
        <w:t xml:space="preserve">depends on which towns adopt the tax. If all towns adopt </w:t>
      </w:r>
      <w:r w:rsidR="001837A7">
        <w:rPr>
          <w:bCs/>
        </w:rPr>
        <w:t xml:space="preserve">a </w:t>
      </w:r>
      <w:r w:rsidR="0081790A">
        <w:rPr>
          <w:bCs/>
        </w:rPr>
        <w:t>R</w:t>
      </w:r>
      <w:r w:rsidR="001837A7">
        <w:rPr>
          <w:bCs/>
        </w:rPr>
        <w:t>esidence-based</w:t>
      </w:r>
      <w:r>
        <w:rPr>
          <w:bCs/>
        </w:rPr>
        <w:t xml:space="preserve"> </w:t>
      </w:r>
      <w:r w:rsidR="0081790A">
        <w:rPr>
          <w:bCs/>
        </w:rPr>
        <w:t>T</w:t>
      </w:r>
      <w:r>
        <w:rPr>
          <w:bCs/>
        </w:rPr>
        <w:t xml:space="preserve">ax, the results </w:t>
      </w:r>
      <w:r w:rsidR="003812A2">
        <w:rPr>
          <w:bCs/>
        </w:rPr>
        <w:t>using</w:t>
      </w:r>
      <w:r w:rsidR="001837A7">
        <w:rPr>
          <w:bCs/>
        </w:rPr>
        <w:t xml:space="preserve"> our data </w:t>
      </w:r>
      <w:r>
        <w:rPr>
          <w:bCs/>
        </w:rPr>
        <w:t xml:space="preserve">would be </w:t>
      </w:r>
      <w:r w:rsidR="001837A7">
        <w:rPr>
          <w:bCs/>
        </w:rPr>
        <w:t>the same as</w:t>
      </w:r>
      <w:r w:rsidR="0081790A">
        <w:rPr>
          <w:bCs/>
        </w:rPr>
        <w:t xml:space="preserve"> for the P</w:t>
      </w:r>
      <w:r>
        <w:rPr>
          <w:bCs/>
        </w:rPr>
        <w:t xml:space="preserve">ayroll </w:t>
      </w:r>
      <w:r w:rsidR="0081790A">
        <w:rPr>
          <w:bCs/>
        </w:rPr>
        <w:t>T</w:t>
      </w:r>
      <w:r>
        <w:rPr>
          <w:bCs/>
        </w:rPr>
        <w:t xml:space="preserve">ax. However, for illustrative purposes we calculated </w:t>
      </w:r>
      <w:r w:rsidR="001837A7">
        <w:rPr>
          <w:bCs/>
        </w:rPr>
        <w:t xml:space="preserve">the revenue for a </w:t>
      </w:r>
      <w:r w:rsidR="0081790A">
        <w:rPr>
          <w:bCs/>
        </w:rPr>
        <w:t>R</w:t>
      </w:r>
      <w:r w:rsidR="001837A7">
        <w:rPr>
          <w:bCs/>
        </w:rPr>
        <w:t xml:space="preserve">esidence-based </w:t>
      </w:r>
      <w:r w:rsidR="0081790A">
        <w:rPr>
          <w:bCs/>
        </w:rPr>
        <w:t>T</w:t>
      </w:r>
      <w:r>
        <w:rPr>
          <w:bCs/>
        </w:rPr>
        <w:t xml:space="preserve">ax if only the four largest towns adopted it. Table </w:t>
      </w:r>
      <w:r w:rsidR="008869F3">
        <w:rPr>
          <w:bCs/>
        </w:rPr>
        <w:t>5</w:t>
      </w:r>
      <w:r>
        <w:rPr>
          <w:bCs/>
        </w:rPr>
        <w:t xml:space="preserve"> presents the results. For comparison purposes we calculated two ratios. First, we take the ratio of the revenue for </w:t>
      </w:r>
      <w:r w:rsidR="001837A7">
        <w:rPr>
          <w:bCs/>
        </w:rPr>
        <w:t xml:space="preserve">a </w:t>
      </w:r>
      <w:r w:rsidR="0081790A">
        <w:rPr>
          <w:bCs/>
        </w:rPr>
        <w:t>R</w:t>
      </w:r>
      <w:r w:rsidR="001837A7">
        <w:rPr>
          <w:bCs/>
        </w:rPr>
        <w:t>esidence-based</w:t>
      </w:r>
      <w:r>
        <w:rPr>
          <w:bCs/>
        </w:rPr>
        <w:t xml:space="preserve"> </w:t>
      </w:r>
      <w:r w:rsidR="0081790A">
        <w:rPr>
          <w:bCs/>
        </w:rPr>
        <w:t>T</w:t>
      </w:r>
      <w:r>
        <w:rPr>
          <w:bCs/>
        </w:rPr>
        <w:t xml:space="preserve">ax </w:t>
      </w:r>
      <w:r w:rsidR="001837A7">
        <w:rPr>
          <w:bCs/>
        </w:rPr>
        <w:t xml:space="preserve">to </w:t>
      </w:r>
      <w:r>
        <w:rPr>
          <w:bCs/>
        </w:rPr>
        <w:t xml:space="preserve">the revenue from </w:t>
      </w:r>
      <w:r w:rsidR="001837A7">
        <w:rPr>
          <w:bCs/>
        </w:rPr>
        <w:t>a</w:t>
      </w:r>
      <w:r w:rsidR="0081790A">
        <w:rPr>
          <w:bCs/>
        </w:rPr>
        <w:t xml:space="preserve"> P</w:t>
      </w:r>
      <w:r>
        <w:rPr>
          <w:bCs/>
        </w:rPr>
        <w:t xml:space="preserve">ayroll </w:t>
      </w:r>
      <w:r w:rsidR="0081790A">
        <w:rPr>
          <w:bCs/>
        </w:rPr>
        <w:t>T</w:t>
      </w:r>
      <w:r>
        <w:rPr>
          <w:bCs/>
        </w:rPr>
        <w:t xml:space="preserve">ax. </w:t>
      </w:r>
      <w:r w:rsidR="001837A7">
        <w:rPr>
          <w:bCs/>
        </w:rPr>
        <w:t xml:space="preserve">For these </w:t>
      </w:r>
      <w:r w:rsidR="009013FF">
        <w:rPr>
          <w:bCs/>
        </w:rPr>
        <w:t xml:space="preserve">4 </w:t>
      </w:r>
      <w:r w:rsidR="001837A7">
        <w:rPr>
          <w:bCs/>
        </w:rPr>
        <w:t>cities, t</w:t>
      </w:r>
      <w:r>
        <w:rPr>
          <w:bCs/>
        </w:rPr>
        <w:t xml:space="preserve">he revenue from the former is larger than the latter, and the relative differences vary, from 11 percent more to 52 percent more. We also calculated revenue for a </w:t>
      </w:r>
      <w:r w:rsidR="0081790A">
        <w:rPr>
          <w:bCs/>
        </w:rPr>
        <w:t>R</w:t>
      </w:r>
      <w:r w:rsidR="001837A7">
        <w:rPr>
          <w:bCs/>
        </w:rPr>
        <w:t xml:space="preserve">esident-only </w:t>
      </w:r>
      <w:r w:rsidR="0081790A">
        <w:rPr>
          <w:bCs/>
        </w:rPr>
        <w:t>T</w:t>
      </w:r>
      <w:r>
        <w:rPr>
          <w:bCs/>
        </w:rPr>
        <w:t>ax</w:t>
      </w:r>
      <w:r w:rsidR="00E8423E">
        <w:rPr>
          <w:bCs/>
        </w:rPr>
        <w:t xml:space="preserve"> and took the ratio of the </w:t>
      </w:r>
      <w:r w:rsidR="0081790A">
        <w:rPr>
          <w:bCs/>
        </w:rPr>
        <w:t>R</w:t>
      </w:r>
      <w:r w:rsidR="001837A7">
        <w:rPr>
          <w:bCs/>
        </w:rPr>
        <w:t xml:space="preserve">esidence-based </w:t>
      </w:r>
      <w:r w:rsidR="0081790A">
        <w:rPr>
          <w:bCs/>
        </w:rPr>
        <w:t>T</w:t>
      </w:r>
      <w:r w:rsidR="00E8423E">
        <w:rPr>
          <w:bCs/>
        </w:rPr>
        <w:t>ax to the</w:t>
      </w:r>
      <w:r w:rsidR="001837A7">
        <w:rPr>
          <w:bCs/>
        </w:rPr>
        <w:t xml:space="preserve"> </w:t>
      </w:r>
      <w:r w:rsidR="0081790A">
        <w:rPr>
          <w:bCs/>
        </w:rPr>
        <w:t>R</w:t>
      </w:r>
      <w:r w:rsidR="001837A7">
        <w:rPr>
          <w:bCs/>
        </w:rPr>
        <w:t xml:space="preserve">esident-only </w:t>
      </w:r>
      <w:r w:rsidR="0081790A">
        <w:rPr>
          <w:bCs/>
        </w:rPr>
        <w:t>T</w:t>
      </w:r>
      <w:r w:rsidR="001837A7">
        <w:rPr>
          <w:bCs/>
        </w:rPr>
        <w:t>ax (</w:t>
      </w:r>
      <w:r w:rsidR="00E8423E">
        <w:rPr>
          <w:bCs/>
        </w:rPr>
        <w:t>column 4</w:t>
      </w:r>
      <w:r w:rsidR="008869F3">
        <w:rPr>
          <w:bCs/>
        </w:rPr>
        <w:t xml:space="preserve"> of Table 5</w:t>
      </w:r>
      <w:r w:rsidR="001837A7">
        <w:rPr>
          <w:bCs/>
        </w:rPr>
        <w:t>)</w:t>
      </w:r>
      <w:r w:rsidR="00E8423E">
        <w:rPr>
          <w:bCs/>
        </w:rPr>
        <w:t xml:space="preserve">. </w:t>
      </w:r>
      <w:r w:rsidR="00BE7EF2">
        <w:rPr>
          <w:bCs/>
        </w:rPr>
        <w:t>(Recall that the Resident-</w:t>
      </w:r>
      <w:r w:rsidR="00BE7EF2">
        <w:rPr>
          <w:bCs/>
        </w:rPr>
        <w:lastRenderedPageBreak/>
        <w:t xml:space="preserve">only Tax applies to the earned income only of the residents of the town.) </w:t>
      </w:r>
      <w:r w:rsidR="00E8423E">
        <w:rPr>
          <w:bCs/>
        </w:rPr>
        <w:t xml:space="preserve">The ratios are large, suggesting that these </w:t>
      </w:r>
      <w:r w:rsidR="001837A7">
        <w:rPr>
          <w:bCs/>
        </w:rPr>
        <w:t xml:space="preserve">4 </w:t>
      </w:r>
      <w:r w:rsidR="00E8423E">
        <w:rPr>
          <w:bCs/>
        </w:rPr>
        <w:t xml:space="preserve">towns would generate a substantial percentage of their revenue from </w:t>
      </w:r>
      <w:r w:rsidR="001837A7">
        <w:rPr>
          <w:bCs/>
        </w:rPr>
        <w:t xml:space="preserve">the </w:t>
      </w:r>
      <w:r w:rsidR="00E8423E">
        <w:rPr>
          <w:bCs/>
        </w:rPr>
        <w:t>earned income of non-residents.</w:t>
      </w:r>
    </w:p>
    <w:tbl>
      <w:tblPr>
        <w:tblW w:w="8100" w:type="dxa"/>
        <w:tblInd w:w="108" w:type="dxa"/>
        <w:tblLook w:val="04A0" w:firstRow="1" w:lastRow="0" w:firstColumn="1" w:lastColumn="0" w:noHBand="0" w:noVBand="1"/>
      </w:tblPr>
      <w:tblGrid>
        <w:gridCol w:w="1420"/>
        <w:gridCol w:w="1740"/>
        <w:gridCol w:w="1430"/>
        <w:gridCol w:w="1710"/>
        <w:gridCol w:w="1800"/>
      </w:tblGrid>
      <w:tr w:rsidR="008869F3" w:rsidRPr="00D36BA4" w14:paraId="59F4C916" w14:textId="77777777" w:rsidTr="009013FF">
        <w:trPr>
          <w:trHeight w:val="467"/>
        </w:trPr>
        <w:tc>
          <w:tcPr>
            <w:tcW w:w="8100" w:type="dxa"/>
            <w:gridSpan w:val="5"/>
            <w:tcBorders>
              <w:left w:val="nil"/>
              <w:bottom w:val="single" w:sz="4" w:space="0" w:color="auto"/>
              <w:right w:val="nil"/>
            </w:tcBorders>
            <w:shd w:val="clear" w:color="auto" w:fill="auto"/>
            <w:noWrap/>
            <w:vAlign w:val="bottom"/>
          </w:tcPr>
          <w:p w14:paraId="62DD2C2E" w14:textId="7EF5F70E" w:rsidR="008869F3" w:rsidRPr="00BA7354" w:rsidRDefault="008869F3" w:rsidP="005831B2">
            <w:pPr>
              <w:pStyle w:val="Heading4"/>
              <w:rPr>
                <w:color w:val="000000"/>
                <w:lang w:bidi="ar-SA"/>
              </w:rPr>
            </w:pPr>
            <w:bookmarkStart w:id="96" w:name="_Toc433373693"/>
            <w:r w:rsidRPr="00D36BA4">
              <w:rPr>
                <w:lang w:bidi="ar-SA"/>
              </w:rPr>
              <w:t xml:space="preserve">Table </w:t>
            </w:r>
            <w:r>
              <w:rPr>
                <w:lang w:bidi="ar-SA"/>
              </w:rPr>
              <w:t>5</w:t>
            </w:r>
            <w:r w:rsidRPr="00D36BA4">
              <w:rPr>
                <w:lang w:bidi="ar-SA"/>
              </w:rPr>
              <w:t>. Tax Revenue for Residence</w:t>
            </w:r>
            <w:r w:rsidR="003A0E22">
              <w:rPr>
                <w:lang w:bidi="ar-SA"/>
              </w:rPr>
              <w:t>-base</w:t>
            </w:r>
            <w:r>
              <w:rPr>
                <w:lang w:bidi="ar-SA"/>
              </w:rPr>
              <w:t xml:space="preserve"> Tax</w:t>
            </w:r>
            <w:bookmarkEnd w:id="96"/>
          </w:p>
        </w:tc>
      </w:tr>
      <w:tr w:rsidR="003A0E22" w:rsidRPr="00D36BA4" w14:paraId="79D5D4EC" w14:textId="77777777" w:rsidTr="003A0E22">
        <w:trPr>
          <w:trHeight w:val="467"/>
        </w:trPr>
        <w:tc>
          <w:tcPr>
            <w:tcW w:w="1420" w:type="dxa"/>
            <w:tcBorders>
              <w:top w:val="single" w:sz="4" w:space="0" w:color="auto"/>
              <w:left w:val="nil"/>
              <w:right w:val="nil"/>
            </w:tcBorders>
            <w:shd w:val="clear" w:color="auto" w:fill="auto"/>
            <w:noWrap/>
            <w:vAlign w:val="bottom"/>
          </w:tcPr>
          <w:p w14:paraId="47AE799A" w14:textId="77777777" w:rsidR="003A0E22" w:rsidRPr="00D36BA4" w:rsidRDefault="003A0E22" w:rsidP="008869F3">
            <w:pPr>
              <w:spacing w:after="0" w:line="240" w:lineRule="auto"/>
              <w:rPr>
                <w:lang w:bidi="ar-SA"/>
              </w:rPr>
            </w:pPr>
          </w:p>
        </w:tc>
        <w:tc>
          <w:tcPr>
            <w:tcW w:w="1740" w:type="dxa"/>
            <w:tcBorders>
              <w:top w:val="single" w:sz="4" w:space="0" w:color="auto"/>
              <w:left w:val="nil"/>
              <w:right w:val="nil"/>
            </w:tcBorders>
            <w:shd w:val="clear" w:color="auto" w:fill="auto"/>
            <w:vAlign w:val="bottom"/>
          </w:tcPr>
          <w:p w14:paraId="0B7BD18E" w14:textId="77777777" w:rsidR="003A0E22" w:rsidRPr="00BA7354" w:rsidRDefault="003A0E22" w:rsidP="008869F3">
            <w:pPr>
              <w:spacing w:after="0" w:line="240" w:lineRule="auto"/>
              <w:jc w:val="right"/>
              <w:rPr>
                <w:b/>
                <w:color w:val="000000"/>
                <w:lang w:bidi="ar-SA"/>
              </w:rPr>
            </w:pPr>
          </w:p>
        </w:tc>
        <w:tc>
          <w:tcPr>
            <w:tcW w:w="1430" w:type="dxa"/>
            <w:tcBorders>
              <w:top w:val="single" w:sz="4" w:space="0" w:color="auto"/>
              <w:left w:val="nil"/>
              <w:right w:val="nil"/>
            </w:tcBorders>
            <w:shd w:val="clear" w:color="auto" w:fill="auto"/>
            <w:vAlign w:val="bottom"/>
          </w:tcPr>
          <w:p w14:paraId="2822E870" w14:textId="77777777" w:rsidR="003A0E22" w:rsidRPr="00BA7354" w:rsidRDefault="003A0E22" w:rsidP="008869F3">
            <w:pPr>
              <w:spacing w:after="0" w:line="240" w:lineRule="auto"/>
              <w:jc w:val="right"/>
              <w:rPr>
                <w:b/>
                <w:color w:val="000000"/>
                <w:lang w:bidi="ar-SA"/>
              </w:rPr>
            </w:pPr>
          </w:p>
        </w:tc>
        <w:tc>
          <w:tcPr>
            <w:tcW w:w="3510" w:type="dxa"/>
            <w:gridSpan w:val="2"/>
            <w:tcBorders>
              <w:top w:val="single" w:sz="4" w:space="0" w:color="auto"/>
              <w:left w:val="nil"/>
              <w:bottom w:val="single" w:sz="4" w:space="0" w:color="auto"/>
              <w:right w:val="nil"/>
            </w:tcBorders>
            <w:vAlign w:val="bottom"/>
          </w:tcPr>
          <w:p w14:paraId="39E0A2E4" w14:textId="10B6226D" w:rsidR="003A0E22" w:rsidRDefault="003A0E22" w:rsidP="003A0E22">
            <w:pPr>
              <w:spacing w:after="0" w:line="240" w:lineRule="auto"/>
              <w:jc w:val="center"/>
              <w:rPr>
                <w:b/>
                <w:color w:val="000000"/>
                <w:lang w:bidi="ar-SA"/>
              </w:rPr>
            </w:pPr>
            <w:r>
              <w:rPr>
                <w:b/>
                <w:color w:val="000000"/>
                <w:lang w:bidi="ar-SA"/>
              </w:rPr>
              <w:t>Ratio of Bases</w:t>
            </w:r>
          </w:p>
        </w:tc>
      </w:tr>
      <w:tr w:rsidR="008869F3" w:rsidRPr="00D36BA4" w14:paraId="20481EB1" w14:textId="77777777" w:rsidTr="003A0E22">
        <w:trPr>
          <w:trHeight w:val="1007"/>
        </w:trPr>
        <w:tc>
          <w:tcPr>
            <w:tcW w:w="1420" w:type="dxa"/>
            <w:tcBorders>
              <w:left w:val="nil"/>
              <w:bottom w:val="single" w:sz="4" w:space="0" w:color="auto"/>
              <w:right w:val="nil"/>
            </w:tcBorders>
            <w:shd w:val="clear" w:color="auto" w:fill="auto"/>
            <w:noWrap/>
            <w:vAlign w:val="bottom"/>
            <w:hideMark/>
          </w:tcPr>
          <w:p w14:paraId="4841F593" w14:textId="77777777" w:rsidR="008869F3" w:rsidRPr="00D36BA4" w:rsidRDefault="008869F3" w:rsidP="008869F3">
            <w:pPr>
              <w:spacing w:after="0" w:line="240" w:lineRule="auto"/>
              <w:rPr>
                <w:lang w:bidi="ar-SA"/>
              </w:rPr>
            </w:pPr>
          </w:p>
        </w:tc>
        <w:tc>
          <w:tcPr>
            <w:tcW w:w="1740" w:type="dxa"/>
            <w:tcBorders>
              <w:left w:val="nil"/>
              <w:bottom w:val="single" w:sz="4" w:space="0" w:color="auto"/>
              <w:right w:val="nil"/>
            </w:tcBorders>
            <w:shd w:val="clear" w:color="auto" w:fill="auto"/>
            <w:vAlign w:val="bottom"/>
            <w:hideMark/>
          </w:tcPr>
          <w:p w14:paraId="2576F054" w14:textId="442E5CF3" w:rsidR="008869F3" w:rsidRPr="00BA7354" w:rsidRDefault="008869F3" w:rsidP="008869F3">
            <w:pPr>
              <w:spacing w:after="0" w:line="240" w:lineRule="auto"/>
              <w:jc w:val="right"/>
              <w:rPr>
                <w:b/>
                <w:color w:val="000000"/>
                <w:lang w:bidi="ar-SA"/>
              </w:rPr>
            </w:pPr>
            <w:r w:rsidRPr="00BA7354">
              <w:rPr>
                <w:b/>
                <w:color w:val="000000"/>
                <w:lang w:bidi="ar-SA"/>
              </w:rPr>
              <w:t>Tax Revenue</w:t>
            </w:r>
          </w:p>
        </w:tc>
        <w:tc>
          <w:tcPr>
            <w:tcW w:w="1430" w:type="dxa"/>
            <w:tcBorders>
              <w:left w:val="nil"/>
              <w:bottom w:val="single" w:sz="4" w:space="0" w:color="auto"/>
              <w:right w:val="nil"/>
            </w:tcBorders>
            <w:shd w:val="clear" w:color="auto" w:fill="auto"/>
            <w:vAlign w:val="bottom"/>
            <w:hideMark/>
          </w:tcPr>
          <w:p w14:paraId="5EEE9DE1" w14:textId="77777777" w:rsidR="008869F3" w:rsidRPr="00BA7354" w:rsidRDefault="008869F3" w:rsidP="008869F3">
            <w:pPr>
              <w:spacing w:after="0" w:line="240" w:lineRule="auto"/>
              <w:jc w:val="right"/>
              <w:rPr>
                <w:b/>
                <w:color w:val="000000"/>
                <w:lang w:bidi="ar-SA"/>
              </w:rPr>
            </w:pPr>
            <w:r w:rsidRPr="00BA7354">
              <w:rPr>
                <w:b/>
                <w:color w:val="000000"/>
                <w:lang w:bidi="ar-SA"/>
              </w:rPr>
              <w:t>Tax Revenue Per Capita</w:t>
            </w:r>
          </w:p>
        </w:tc>
        <w:tc>
          <w:tcPr>
            <w:tcW w:w="1710" w:type="dxa"/>
            <w:tcBorders>
              <w:top w:val="single" w:sz="4" w:space="0" w:color="auto"/>
              <w:left w:val="nil"/>
              <w:bottom w:val="single" w:sz="4" w:space="0" w:color="auto"/>
              <w:right w:val="nil"/>
            </w:tcBorders>
            <w:vAlign w:val="bottom"/>
          </w:tcPr>
          <w:p w14:paraId="1C0F069F" w14:textId="10A55742" w:rsidR="008869F3" w:rsidRPr="00BA7354" w:rsidRDefault="008869F3" w:rsidP="003A0E22">
            <w:pPr>
              <w:spacing w:after="0" w:line="240" w:lineRule="auto"/>
              <w:jc w:val="right"/>
              <w:rPr>
                <w:b/>
                <w:color w:val="000000"/>
                <w:lang w:bidi="ar-SA"/>
              </w:rPr>
            </w:pPr>
            <w:r>
              <w:rPr>
                <w:b/>
                <w:color w:val="000000"/>
                <w:lang w:bidi="ar-SA"/>
              </w:rPr>
              <w:t>Residence-b</w:t>
            </w:r>
            <w:r w:rsidRPr="00BA7354">
              <w:rPr>
                <w:b/>
                <w:color w:val="000000"/>
                <w:lang w:bidi="ar-SA"/>
              </w:rPr>
              <w:t>ase/</w:t>
            </w:r>
            <w:r>
              <w:rPr>
                <w:b/>
                <w:color w:val="000000"/>
                <w:lang w:bidi="ar-SA"/>
              </w:rPr>
              <w:t>Payroll</w:t>
            </w:r>
            <w:r w:rsidR="00593697">
              <w:rPr>
                <w:b/>
                <w:color w:val="000000"/>
                <w:lang w:bidi="ar-SA"/>
              </w:rPr>
              <w:t xml:space="preserve"> </w:t>
            </w:r>
            <w:r>
              <w:rPr>
                <w:b/>
                <w:color w:val="000000"/>
                <w:lang w:bidi="ar-SA"/>
              </w:rPr>
              <w:t xml:space="preserve"> </w:t>
            </w:r>
          </w:p>
        </w:tc>
        <w:tc>
          <w:tcPr>
            <w:tcW w:w="1800" w:type="dxa"/>
            <w:tcBorders>
              <w:top w:val="single" w:sz="4" w:space="0" w:color="auto"/>
              <w:left w:val="nil"/>
              <w:bottom w:val="single" w:sz="4" w:space="0" w:color="auto"/>
              <w:right w:val="nil"/>
            </w:tcBorders>
            <w:shd w:val="clear" w:color="auto" w:fill="auto"/>
            <w:vAlign w:val="bottom"/>
            <w:hideMark/>
          </w:tcPr>
          <w:p w14:paraId="032BB901" w14:textId="6AE7AC4A" w:rsidR="008869F3" w:rsidRPr="00BA7354" w:rsidRDefault="008869F3" w:rsidP="00DB48E2">
            <w:pPr>
              <w:spacing w:after="0" w:line="240" w:lineRule="auto"/>
              <w:jc w:val="right"/>
              <w:rPr>
                <w:b/>
                <w:color w:val="000000"/>
                <w:lang w:bidi="ar-SA"/>
              </w:rPr>
            </w:pPr>
            <w:r>
              <w:rPr>
                <w:b/>
                <w:color w:val="000000"/>
                <w:lang w:bidi="ar-SA"/>
              </w:rPr>
              <w:t>Residence-b</w:t>
            </w:r>
            <w:r w:rsidRPr="00BA7354">
              <w:rPr>
                <w:b/>
                <w:color w:val="000000"/>
                <w:lang w:bidi="ar-SA"/>
              </w:rPr>
              <w:t>ase</w:t>
            </w:r>
            <w:r w:rsidR="00593697">
              <w:rPr>
                <w:b/>
                <w:color w:val="000000"/>
                <w:lang w:bidi="ar-SA"/>
              </w:rPr>
              <w:t xml:space="preserve"> </w:t>
            </w:r>
            <w:r w:rsidRPr="00BA7354">
              <w:rPr>
                <w:b/>
                <w:color w:val="000000"/>
                <w:lang w:bidi="ar-SA"/>
              </w:rPr>
              <w:t>/ Residen</w:t>
            </w:r>
            <w:r w:rsidR="00DB48E2">
              <w:rPr>
                <w:b/>
                <w:color w:val="000000"/>
                <w:lang w:bidi="ar-SA"/>
              </w:rPr>
              <w:t>t</w:t>
            </w:r>
            <w:r>
              <w:rPr>
                <w:b/>
                <w:color w:val="000000"/>
                <w:lang w:bidi="ar-SA"/>
              </w:rPr>
              <w:t>-only</w:t>
            </w:r>
            <w:r w:rsidRPr="00BA7354">
              <w:rPr>
                <w:b/>
                <w:color w:val="000000"/>
                <w:lang w:bidi="ar-SA"/>
              </w:rPr>
              <w:t xml:space="preserve"> </w:t>
            </w:r>
          </w:p>
        </w:tc>
      </w:tr>
      <w:tr w:rsidR="008869F3" w:rsidRPr="00D36BA4" w14:paraId="564E89B2" w14:textId="77777777" w:rsidTr="003A0E22">
        <w:trPr>
          <w:trHeight w:val="288"/>
        </w:trPr>
        <w:tc>
          <w:tcPr>
            <w:tcW w:w="1420" w:type="dxa"/>
            <w:tcBorders>
              <w:top w:val="single" w:sz="4" w:space="0" w:color="auto"/>
              <w:left w:val="nil"/>
              <w:bottom w:val="nil"/>
              <w:right w:val="nil"/>
            </w:tcBorders>
            <w:shd w:val="clear" w:color="auto" w:fill="auto"/>
            <w:noWrap/>
            <w:vAlign w:val="bottom"/>
            <w:hideMark/>
          </w:tcPr>
          <w:p w14:paraId="09CE29D2" w14:textId="77777777" w:rsidR="008869F3" w:rsidRPr="00D36BA4" w:rsidRDefault="008869F3" w:rsidP="008869F3">
            <w:pPr>
              <w:spacing w:after="0" w:line="240" w:lineRule="auto"/>
              <w:rPr>
                <w:color w:val="000000"/>
                <w:lang w:bidi="ar-SA"/>
              </w:rPr>
            </w:pPr>
            <w:r w:rsidRPr="00D36BA4">
              <w:rPr>
                <w:color w:val="000000"/>
                <w:lang w:bidi="ar-SA"/>
              </w:rPr>
              <w:t>Bridgeport</w:t>
            </w:r>
          </w:p>
        </w:tc>
        <w:tc>
          <w:tcPr>
            <w:tcW w:w="1740" w:type="dxa"/>
            <w:tcBorders>
              <w:top w:val="single" w:sz="4" w:space="0" w:color="auto"/>
              <w:left w:val="nil"/>
              <w:bottom w:val="nil"/>
              <w:right w:val="nil"/>
            </w:tcBorders>
            <w:shd w:val="clear" w:color="auto" w:fill="auto"/>
            <w:noWrap/>
            <w:vAlign w:val="bottom"/>
            <w:hideMark/>
          </w:tcPr>
          <w:p w14:paraId="452715A3" w14:textId="329477F1" w:rsidR="008869F3" w:rsidRPr="00D36BA4" w:rsidRDefault="008869F3" w:rsidP="008869F3">
            <w:pPr>
              <w:spacing w:after="0" w:line="240" w:lineRule="auto"/>
              <w:jc w:val="right"/>
              <w:rPr>
                <w:color w:val="000000"/>
                <w:lang w:bidi="ar-SA"/>
              </w:rPr>
            </w:pPr>
            <w:r w:rsidRPr="00D36BA4">
              <w:rPr>
                <w:color w:val="000000"/>
                <w:lang w:bidi="ar-SA"/>
              </w:rPr>
              <w:t xml:space="preserve">     33,441,235 </w:t>
            </w:r>
          </w:p>
        </w:tc>
        <w:tc>
          <w:tcPr>
            <w:tcW w:w="1430" w:type="dxa"/>
            <w:tcBorders>
              <w:top w:val="single" w:sz="4" w:space="0" w:color="auto"/>
              <w:left w:val="nil"/>
              <w:bottom w:val="nil"/>
              <w:right w:val="nil"/>
            </w:tcBorders>
            <w:shd w:val="clear" w:color="auto" w:fill="auto"/>
            <w:noWrap/>
            <w:vAlign w:val="bottom"/>
            <w:hideMark/>
          </w:tcPr>
          <w:p w14:paraId="0775D879" w14:textId="77777777" w:rsidR="008869F3" w:rsidRPr="00D36BA4" w:rsidRDefault="008869F3" w:rsidP="008869F3">
            <w:pPr>
              <w:spacing w:after="0" w:line="240" w:lineRule="auto"/>
              <w:jc w:val="right"/>
              <w:rPr>
                <w:color w:val="000000"/>
                <w:lang w:bidi="ar-SA"/>
              </w:rPr>
            </w:pPr>
            <w:r w:rsidRPr="00D36BA4">
              <w:rPr>
                <w:color w:val="000000"/>
                <w:lang w:bidi="ar-SA"/>
              </w:rPr>
              <w:t>230</w:t>
            </w:r>
          </w:p>
        </w:tc>
        <w:tc>
          <w:tcPr>
            <w:tcW w:w="1710" w:type="dxa"/>
            <w:tcBorders>
              <w:top w:val="single" w:sz="4" w:space="0" w:color="auto"/>
              <w:left w:val="nil"/>
              <w:bottom w:val="nil"/>
              <w:right w:val="nil"/>
            </w:tcBorders>
            <w:vAlign w:val="bottom"/>
          </w:tcPr>
          <w:p w14:paraId="7E98A011" w14:textId="7AAB6E0F" w:rsidR="008869F3" w:rsidRPr="00D36BA4" w:rsidRDefault="008869F3" w:rsidP="008869F3">
            <w:pPr>
              <w:spacing w:after="0" w:line="240" w:lineRule="auto"/>
              <w:jc w:val="right"/>
              <w:rPr>
                <w:color w:val="000000"/>
                <w:lang w:bidi="ar-SA"/>
              </w:rPr>
            </w:pPr>
            <w:r w:rsidRPr="00D36BA4">
              <w:rPr>
                <w:color w:val="000000"/>
                <w:lang w:bidi="ar-SA"/>
              </w:rPr>
              <w:t xml:space="preserve">             1.52 </w:t>
            </w:r>
          </w:p>
        </w:tc>
        <w:tc>
          <w:tcPr>
            <w:tcW w:w="1800" w:type="dxa"/>
            <w:tcBorders>
              <w:top w:val="single" w:sz="4" w:space="0" w:color="auto"/>
              <w:left w:val="nil"/>
              <w:bottom w:val="nil"/>
              <w:right w:val="nil"/>
            </w:tcBorders>
            <w:shd w:val="clear" w:color="auto" w:fill="auto"/>
            <w:noWrap/>
            <w:vAlign w:val="bottom"/>
            <w:hideMark/>
          </w:tcPr>
          <w:p w14:paraId="4EFE4DA8" w14:textId="077DC26E" w:rsidR="008869F3" w:rsidRPr="00D36BA4" w:rsidRDefault="008869F3" w:rsidP="008869F3">
            <w:pPr>
              <w:spacing w:after="0" w:line="240" w:lineRule="auto"/>
              <w:jc w:val="right"/>
              <w:rPr>
                <w:color w:val="000000"/>
                <w:lang w:bidi="ar-SA"/>
              </w:rPr>
            </w:pPr>
            <w:r w:rsidRPr="00D36BA4">
              <w:rPr>
                <w:color w:val="000000"/>
                <w:lang w:bidi="ar-SA"/>
              </w:rPr>
              <w:t xml:space="preserve">                     2.02 </w:t>
            </w:r>
          </w:p>
        </w:tc>
      </w:tr>
      <w:tr w:rsidR="008869F3" w:rsidRPr="00D36BA4" w14:paraId="52FCD0A0" w14:textId="77777777" w:rsidTr="003A0E22">
        <w:trPr>
          <w:trHeight w:val="288"/>
        </w:trPr>
        <w:tc>
          <w:tcPr>
            <w:tcW w:w="1420" w:type="dxa"/>
            <w:tcBorders>
              <w:top w:val="nil"/>
              <w:left w:val="nil"/>
              <w:bottom w:val="nil"/>
              <w:right w:val="nil"/>
            </w:tcBorders>
            <w:shd w:val="clear" w:color="auto" w:fill="auto"/>
            <w:noWrap/>
            <w:vAlign w:val="bottom"/>
            <w:hideMark/>
          </w:tcPr>
          <w:p w14:paraId="1E056761" w14:textId="77777777" w:rsidR="008869F3" w:rsidRPr="00D36BA4" w:rsidRDefault="008869F3" w:rsidP="008869F3">
            <w:pPr>
              <w:spacing w:after="0" w:line="240" w:lineRule="auto"/>
              <w:rPr>
                <w:color w:val="000000"/>
                <w:lang w:bidi="ar-SA"/>
              </w:rPr>
            </w:pPr>
            <w:r w:rsidRPr="00D36BA4">
              <w:rPr>
                <w:color w:val="000000"/>
                <w:lang w:bidi="ar-SA"/>
              </w:rPr>
              <w:t>Hartford</w:t>
            </w:r>
          </w:p>
        </w:tc>
        <w:tc>
          <w:tcPr>
            <w:tcW w:w="1740" w:type="dxa"/>
            <w:tcBorders>
              <w:top w:val="nil"/>
              <w:left w:val="nil"/>
              <w:bottom w:val="nil"/>
              <w:right w:val="nil"/>
            </w:tcBorders>
            <w:shd w:val="clear" w:color="auto" w:fill="auto"/>
            <w:noWrap/>
            <w:vAlign w:val="bottom"/>
            <w:hideMark/>
          </w:tcPr>
          <w:p w14:paraId="505BB56D" w14:textId="77777777" w:rsidR="008869F3" w:rsidRPr="00D36BA4" w:rsidRDefault="008869F3" w:rsidP="008869F3">
            <w:pPr>
              <w:spacing w:after="0" w:line="240" w:lineRule="auto"/>
              <w:jc w:val="right"/>
              <w:rPr>
                <w:color w:val="000000"/>
                <w:lang w:bidi="ar-SA"/>
              </w:rPr>
            </w:pPr>
            <w:r w:rsidRPr="00D36BA4">
              <w:rPr>
                <w:color w:val="000000"/>
                <w:lang w:bidi="ar-SA"/>
              </w:rPr>
              <w:t xml:space="preserve">         93,269,242 </w:t>
            </w:r>
          </w:p>
        </w:tc>
        <w:tc>
          <w:tcPr>
            <w:tcW w:w="1430" w:type="dxa"/>
            <w:tcBorders>
              <w:top w:val="nil"/>
              <w:left w:val="nil"/>
              <w:bottom w:val="nil"/>
              <w:right w:val="nil"/>
            </w:tcBorders>
            <w:shd w:val="clear" w:color="auto" w:fill="auto"/>
            <w:noWrap/>
            <w:vAlign w:val="bottom"/>
            <w:hideMark/>
          </w:tcPr>
          <w:p w14:paraId="694BF17C" w14:textId="77777777" w:rsidR="008869F3" w:rsidRPr="00D36BA4" w:rsidRDefault="008869F3" w:rsidP="008869F3">
            <w:pPr>
              <w:spacing w:after="0" w:line="240" w:lineRule="auto"/>
              <w:jc w:val="right"/>
              <w:rPr>
                <w:color w:val="000000"/>
                <w:lang w:bidi="ar-SA"/>
              </w:rPr>
            </w:pPr>
            <w:r w:rsidRPr="00D36BA4">
              <w:rPr>
                <w:color w:val="000000"/>
                <w:lang w:bidi="ar-SA"/>
              </w:rPr>
              <w:t>745</w:t>
            </w:r>
          </w:p>
        </w:tc>
        <w:tc>
          <w:tcPr>
            <w:tcW w:w="1710" w:type="dxa"/>
            <w:tcBorders>
              <w:top w:val="nil"/>
              <w:left w:val="nil"/>
              <w:bottom w:val="nil"/>
              <w:right w:val="nil"/>
            </w:tcBorders>
            <w:vAlign w:val="bottom"/>
          </w:tcPr>
          <w:p w14:paraId="32F7918E" w14:textId="1DAA2E63" w:rsidR="008869F3" w:rsidRPr="00D36BA4" w:rsidRDefault="008869F3" w:rsidP="008869F3">
            <w:pPr>
              <w:spacing w:after="0" w:line="240" w:lineRule="auto"/>
              <w:jc w:val="right"/>
              <w:rPr>
                <w:color w:val="000000"/>
                <w:lang w:bidi="ar-SA"/>
              </w:rPr>
            </w:pPr>
            <w:r w:rsidRPr="00D36BA4">
              <w:rPr>
                <w:color w:val="000000"/>
                <w:lang w:bidi="ar-SA"/>
              </w:rPr>
              <w:t xml:space="preserve">             1.11 </w:t>
            </w:r>
          </w:p>
        </w:tc>
        <w:tc>
          <w:tcPr>
            <w:tcW w:w="1800" w:type="dxa"/>
            <w:tcBorders>
              <w:top w:val="nil"/>
              <w:left w:val="nil"/>
              <w:bottom w:val="nil"/>
              <w:right w:val="nil"/>
            </w:tcBorders>
            <w:shd w:val="clear" w:color="auto" w:fill="auto"/>
            <w:noWrap/>
            <w:vAlign w:val="bottom"/>
            <w:hideMark/>
          </w:tcPr>
          <w:p w14:paraId="217C088D" w14:textId="4041AF86" w:rsidR="008869F3" w:rsidRPr="00D36BA4" w:rsidRDefault="008869F3" w:rsidP="008869F3">
            <w:pPr>
              <w:spacing w:after="0" w:line="240" w:lineRule="auto"/>
              <w:jc w:val="right"/>
              <w:rPr>
                <w:color w:val="000000"/>
                <w:lang w:bidi="ar-SA"/>
              </w:rPr>
            </w:pPr>
            <w:r w:rsidRPr="00D36BA4">
              <w:rPr>
                <w:color w:val="000000"/>
                <w:lang w:bidi="ar-SA"/>
              </w:rPr>
              <w:t xml:space="preserve">                     7.03 </w:t>
            </w:r>
          </w:p>
        </w:tc>
      </w:tr>
      <w:tr w:rsidR="008869F3" w:rsidRPr="00D36BA4" w14:paraId="2C10D3E9" w14:textId="77777777" w:rsidTr="003A0E22">
        <w:trPr>
          <w:trHeight w:val="288"/>
        </w:trPr>
        <w:tc>
          <w:tcPr>
            <w:tcW w:w="1420" w:type="dxa"/>
            <w:tcBorders>
              <w:top w:val="nil"/>
              <w:left w:val="nil"/>
              <w:right w:val="nil"/>
            </w:tcBorders>
            <w:shd w:val="clear" w:color="auto" w:fill="auto"/>
            <w:noWrap/>
            <w:vAlign w:val="bottom"/>
            <w:hideMark/>
          </w:tcPr>
          <w:p w14:paraId="47DC714D" w14:textId="77777777" w:rsidR="008869F3" w:rsidRPr="00D36BA4" w:rsidRDefault="008869F3" w:rsidP="008869F3">
            <w:pPr>
              <w:spacing w:after="0" w:line="240" w:lineRule="auto"/>
              <w:rPr>
                <w:color w:val="000000"/>
                <w:lang w:bidi="ar-SA"/>
              </w:rPr>
            </w:pPr>
            <w:r w:rsidRPr="00D36BA4">
              <w:rPr>
                <w:color w:val="000000"/>
                <w:lang w:bidi="ar-SA"/>
              </w:rPr>
              <w:t>New Haven</w:t>
            </w:r>
          </w:p>
        </w:tc>
        <w:tc>
          <w:tcPr>
            <w:tcW w:w="1740" w:type="dxa"/>
            <w:tcBorders>
              <w:top w:val="nil"/>
              <w:left w:val="nil"/>
              <w:right w:val="nil"/>
            </w:tcBorders>
            <w:shd w:val="clear" w:color="auto" w:fill="auto"/>
            <w:noWrap/>
            <w:vAlign w:val="bottom"/>
            <w:hideMark/>
          </w:tcPr>
          <w:p w14:paraId="6EF37561" w14:textId="77777777" w:rsidR="008869F3" w:rsidRPr="00D36BA4" w:rsidRDefault="008869F3" w:rsidP="008869F3">
            <w:pPr>
              <w:spacing w:after="0" w:line="240" w:lineRule="auto"/>
              <w:jc w:val="right"/>
              <w:rPr>
                <w:color w:val="000000"/>
                <w:lang w:bidi="ar-SA"/>
              </w:rPr>
            </w:pPr>
            <w:r w:rsidRPr="00D36BA4">
              <w:rPr>
                <w:color w:val="000000"/>
                <w:lang w:bidi="ar-SA"/>
              </w:rPr>
              <w:t xml:space="preserve">         59,355,611 </w:t>
            </w:r>
          </w:p>
        </w:tc>
        <w:tc>
          <w:tcPr>
            <w:tcW w:w="1430" w:type="dxa"/>
            <w:tcBorders>
              <w:top w:val="nil"/>
              <w:left w:val="nil"/>
              <w:right w:val="nil"/>
            </w:tcBorders>
            <w:shd w:val="clear" w:color="auto" w:fill="auto"/>
            <w:noWrap/>
            <w:vAlign w:val="bottom"/>
            <w:hideMark/>
          </w:tcPr>
          <w:p w14:paraId="0CEB0559" w14:textId="77777777" w:rsidR="008869F3" w:rsidRPr="00D36BA4" w:rsidRDefault="008869F3" w:rsidP="008869F3">
            <w:pPr>
              <w:spacing w:after="0" w:line="240" w:lineRule="auto"/>
              <w:jc w:val="right"/>
              <w:rPr>
                <w:color w:val="000000"/>
                <w:lang w:bidi="ar-SA"/>
              </w:rPr>
            </w:pPr>
            <w:r w:rsidRPr="00D36BA4">
              <w:rPr>
                <w:color w:val="000000"/>
                <w:lang w:bidi="ar-SA"/>
              </w:rPr>
              <w:t>455</w:t>
            </w:r>
          </w:p>
        </w:tc>
        <w:tc>
          <w:tcPr>
            <w:tcW w:w="1710" w:type="dxa"/>
            <w:tcBorders>
              <w:top w:val="nil"/>
              <w:left w:val="nil"/>
              <w:right w:val="nil"/>
            </w:tcBorders>
            <w:vAlign w:val="bottom"/>
          </w:tcPr>
          <w:p w14:paraId="7EDFF3E6" w14:textId="24C24609" w:rsidR="008869F3" w:rsidRPr="00D36BA4" w:rsidRDefault="008869F3" w:rsidP="008869F3">
            <w:pPr>
              <w:spacing w:after="0" w:line="240" w:lineRule="auto"/>
              <w:jc w:val="right"/>
              <w:rPr>
                <w:color w:val="000000"/>
                <w:lang w:bidi="ar-SA"/>
              </w:rPr>
            </w:pPr>
            <w:r w:rsidRPr="00D36BA4">
              <w:rPr>
                <w:color w:val="000000"/>
                <w:lang w:bidi="ar-SA"/>
              </w:rPr>
              <w:t xml:space="preserve">             1.16 </w:t>
            </w:r>
          </w:p>
        </w:tc>
        <w:tc>
          <w:tcPr>
            <w:tcW w:w="1800" w:type="dxa"/>
            <w:tcBorders>
              <w:top w:val="nil"/>
              <w:left w:val="nil"/>
              <w:right w:val="nil"/>
            </w:tcBorders>
            <w:shd w:val="clear" w:color="auto" w:fill="auto"/>
            <w:noWrap/>
            <w:vAlign w:val="bottom"/>
            <w:hideMark/>
          </w:tcPr>
          <w:p w14:paraId="2F38EB98" w14:textId="5E97C150" w:rsidR="008869F3" w:rsidRPr="00D36BA4" w:rsidRDefault="008869F3" w:rsidP="008869F3">
            <w:pPr>
              <w:spacing w:after="0" w:line="240" w:lineRule="auto"/>
              <w:jc w:val="right"/>
              <w:rPr>
                <w:color w:val="000000"/>
                <w:lang w:bidi="ar-SA"/>
              </w:rPr>
            </w:pPr>
            <w:r w:rsidRPr="00D36BA4">
              <w:rPr>
                <w:color w:val="000000"/>
                <w:lang w:bidi="ar-SA"/>
              </w:rPr>
              <w:t xml:space="preserve">                     3.45 </w:t>
            </w:r>
          </w:p>
        </w:tc>
      </w:tr>
      <w:tr w:rsidR="008869F3" w:rsidRPr="00D36BA4" w14:paraId="0DADFB32" w14:textId="77777777" w:rsidTr="003A0E22">
        <w:trPr>
          <w:trHeight w:val="288"/>
        </w:trPr>
        <w:tc>
          <w:tcPr>
            <w:tcW w:w="1420" w:type="dxa"/>
            <w:tcBorders>
              <w:top w:val="nil"/>
              <w:left w:val="nil"/>
              <w:bottom w:val="single" w:sz="4" w:space="0" w:color="auto"/>
              <w:right w:val="nil"/>
            </w:tcBorders>
            <w:shd w:val="clear" w:color="auto" w:fill="auto"/>
            <w:noWrap/>
            <w:vAlign w:val="bottom"/>
            <w:hideMark/>
          </w:tcPr>
          <w:p w14:paraId="1C9E6711" w14:textId="77777777" w:rsidR="008869F3" w:rsidRPr="00D36BA4" w:rsidRDefault="008869F3" w:rsidP="008869F3">
            <w:pPr>
              <w:spacing w:after="0" w:line="240" w:lineRule="auto"/>
              <w:rPr>
                <w:color w:val="000000"/>
                <w:lang w:bidi="ar-SA"/>
              </w:rPr>
            </w:pPr>
            <w:r w:rsidRPr="00D36BA4">
              <w:rPr>
                <w:color w:val="000000"/>
                <w:lang w:bidi="ar-SA"/>
              </w:rPr>
              <w:t>Stamford</w:t>
            </w:r>
          </w:p>
        </w:tc>
        <w:tc>
          <w:tcPr>
            <w:tcW w:w="1740" w:type="dxa"/>
            <w:tcBorders>
              <w:top w:val="nil"/>
              <w:left w:val="nil"/>
              <w:bottom w:val="single" w:sz="4" w:space="0" w:color="auto"/>
              <w:right w:val="nil"/>
            </w:tcBorders>
            <w:shd w:val="clear" w:color="auto" w:fill="auto"/>
            <w:noWrap/>
            <w:vAlign w:val="bottom"/>
            <w:hideMark/>
          </w:tcPr>
          <w:p w14:paraId="03E4AD5A" w14:textId="77777777" w:rsidR="008869F3" w:rsidRPr="00D36BA4" w:rsidRDefault="008869F3" w:rsidP="008869F3">
            <w:pPr>
              <w:spacing w:after="0" w:line="240" w:lineRule="auto"/>
              <w:jc w:val="right"/>
              <w:rPr>
                <w:color w:val="000000"/>
                <w:lang w:bidi="ar-SA"/>
              </w:rPr>
            </w:pPr>
            <w:r w:rsidRPr="00D36BA4">
              <w:rPr>
                <w:color w:val="000000"/>
                <w:lang w:bidi="ar-SA"/>
              </w:rPr>
              <w:t xml:space="preserve">       105,168,062 </w:t>
            </w:r>
          </w:p>
        </w:tc>
        <w:tc>
          <w:tcPr>
            <w:tcW w:w="1430" w:type="dxa"/>
            <w:tcBorders>
              <w:top w:val="nil"/>
              <w:left w:val="nil"/>
              <w:bottom w:val="single" w:sz="4" w:space="0" w:color="auto"/>
              <w:right w:val="nil"/>
            </w:tcBorders>
            <w:shd w:val="clear" w:color="auto" w:fill="auto"/>
            <w:noWrap/>
            <w:vAlign w:val="bottom"/>
            <w:hideMark/>
          </w:tcPr>
          <w:p w14:paraId="76DB15AE" w14:textId="77777777" w:rsidR="008869F3" w:rsidRPr="00D36BA4" w:rsidRDefault="008869F3" w:rsidP="008869F3">
            <w:pPr>
              <w:spacing w:after="0" w:line="240" w:lineRule="auto"/>
              <w:jc w:val="right"/>
              <w:rPr>
                <w:color w:val="000000"/>
                <w:lang w:bidi="ar-SA"/>
              </w:rPr>
            </w:pPr>
            <w:r w:rsidRPr="00D36BA4">
              <w:rPr>
                <w:color w:val="000000"/>
                <w:lang w:bidi="ar-SA"/>
              </w:rPr>
              <w:t>848</w:t>
            </w:r>
          </w:p>
        </w:tc>
        <w:tc>
          <w:tcPr>
            <w:tcW w:w="1710" w:type="dxa"/>
            <w:tcBorders>
              <w:top w:val="nil"/>
              <w:left w:val="nil"/>
              <w:bottom w:val="single" w:sz="4" w:space="0" w:color="auto"/>
              <w:right w:val="nil"/>
            </w:tcBorders>
            <w:vAlign w:val="bottom"/>
          </w:tcPr>
          <w:p w14:paraId="47159865" w14:textId="4C059857" w:rsidR="008869F3" w:rsidRPr="00D36BA4" w:rsidRDefault="008869F3" w:rsidP="008869F3">
            <w:pPr>
              <w:spacing w:after="0" w:line="240" w:lineRule="auto"/>
              <w:jc w:val="right"/>
              <w:rPr>
                <w:color w:val="000000"/>
                <w:lang w:bidi="ar-SA"/>
              </w:rPr>
            </w:pPr>
            <w:r w:rsidRPr="00D36BA4">
              <w:rPr>
                <w:color w:val="000000"/>
                <w:lang w:bidi="ar-SA"/>
              </w:rPr>
              <w:t xml:space="preserve">             1.23 </w:t>
            </w:r>
          </w:p>
        </w:tc>
        <w:tc>
          <w:tcPr>
            <w:tcW w:w="1800" w:type="dxa"/>
            <w:tcBorders>
              <w:top w:val="nil"/>
              <w:left w:val="nil"/>
              <w:bottom w:val="single" w:sz="4" w:space="0" w:color="auto"/>
              <w:right w:val="nil"/>
            </w:tcBorders>
            <w:shd w:val="clear" w:color="auto" w:fill="auto"/>
            <w:noWrap/>
            <w:vAlign w:val="bottom"/>
            <w:hideMark/>
          </w:tcPr>
          <w:p w14:paraId="4DDBB90F" w14:textId="709CB696" w:rsidR="008869F3" w:rsidRPr="00D36BA4" w:rsidRDefault="008869F3" w:rsidP="008869F3">
            <w:pPr>
              <w:spacing w:after="0" w:line="240" w:lineRule="auto"/>
              <w:jc w:val="right"/>
              <w:rPr>
                <w:color w:val="000000"/>
                <w:lang w:bidi="ar-SA"/>
              </w:rPr>
            </w:pPr>
            <w:r w:rsidRPr="00D36BA4">
              <w:rPr>
                <w:color w:val="000000"/>
                <w:lang w:bidi="ar-SA"/>
              </w:rPr>
              <w:t xml:space="preserve">                     3.17 </w:t>
            </w:r>
          </w:p>
        </w:tc>
      </w:tr>
    </w:tbl>
    <w:p w14:paraId="02C416BC" w14:textId="77777777" w:rsidR="00105583" w:rsidRPr="00D05EFC" w:rsidRDefault="00105583" w:rsidP="00D422A0">
      <w:pPr>
        <w:spacing w:after="0" w:line="480" w:lineRule="auto"/>
        <w:ind w:firstLine="720"/>
        <w:rPr>
          <w:bCs/>
        </w:rPr>
      </w:pPr>
    </w:p>
    <w:p w14:paraId="04CA286E" w14:textId="27CC35DE" w:rsidR="00BA7354" w:rsidRDefault="00593697" w:rsidP="00D422A0">
      <w:pPr>
        <w:spacing w:after="0" w:line="360" w:lineRule="auto"/>
        <w:ind w:firstLine="720"/>
        <w:rPr>
          <w:color w:val="000000"/>
        </w:rPr>
      </w:pPr>
      <w:r>
        <w:rPr>
          <w:color w:val="000000"/>
        </w:rPr>
        <w:t>T</w:t>
      </w:r>
      <w:r w:rsidR="00E8423E">
        <w:rPr>
          <w:color w:val="000000"/>
        </w:rPr>
        <w:t xml:space="preserve">o explore the relationship between </w:t>
      </w:r>
      <w:r w:rsidR="005E758F">
        <w:rPr>
          <w:color w:val="000000"/>
        </w:rPr>
        <w:t xml:space="preserve">the </w:t>
      </w:r>
      <w:r w:rsidR="00B20654">
        <w:rPr>
          <w:color w:val="000000"/>
        </w:rPr>
        <w:t>P</w:t>
      </w:r>
      <w:r w:rsidR="005E758F">
        <w:rPr>
          <w:color w:val="000000"/>
        </w:rPr>
        <w:t xml:space="preserve">ayroll </w:t>
      </w:r>
      <w:r w:rsidR="00B20654">
        <w:rPr>
          <w:color w:val="000000"/>
        </w:rPr>
        <w:t>T</w:t>
      </w:r>
      <w:r w:rsidR="005E758F">
        <w:rPr>
          <w:color w:val="000000"/>
        </w:rPr>
        <w:t xml:space="preserve">ax and the </w:t>
      </w:r>
      <w:r w:rsidR="00B20654">
        <w:rPr>
          <w:color w:val="000000"/>
        </w:rPr>
        <w:t>R</w:t>
      </w:r>
      <w:r w:rsidR="005E758F">
        <w:rPr>
          <w:color w:val="000000"/>
        </w:rPr>
        <w:t xml:space="preserve">esident-only </w:t>
      </w:r>
      <w:r w:rsidR="00B20654">
        <w:rPr>
          <w:color w:val="000000"/>
        </w:rPr>
        <w:t>T</w:t>
      </w:r>
      <w:r w:rsidR="005E758F">
        <w:rPr>
          <w:color w:val="000000"/>
        </w:rPr>
        <w:t>ax</w:t>
      </w:r>
      <w:r>
        <w:rPr>
          <w:color w:val="000000"/>
        </w:rPr>
        <w:t>, we</w:t>
      </w:r>
      <w:r w:rsidR="005E758F">
        <w:rPr>
          <w:color w:val="000000"/>
        </w:rPr>
        <w:t xml:space="preserve"> created the ratio of the </w:t>
      </w:r>
      <w:r>
        <w:rPr>
          <w:color w:val="000000"/>
        </w:rPr>
        <w:t xml:space="preserve">revenue from </w:t>
      </w:r>
      <w:r w:rsidR="004D3334">
        <w:rPr>
          <w:color w:val="000000"/>
        </w:rPr>
        <w:t xml:space="preserve">the </w:t>
      </w:r>
      <w:r w:rsidR="005E758F">
        <w:rPr>
          <w:color w:val="000000"/>
        </w:rPr>
        <w:t>two</w:t>
      </w:r>
      <w:r>
        <w:rPr>
          <w:color w:val="000000"/>
        </w:rPr>
        <w:t xml:space="preserve"> taxes</w:t>
      </w:r>
      <w:r w:rsidR="005E758F">
        <w:rPr>
          <w:color w:val="000000"/>
        </w:rPr>
        <w:t xml:space="preserve"> (Table </w:t>
      </w:r>
      <w:r>
        <w:rPr>
          <w:color w:val="000000"/>
        </w:rPr>
        <w:t>6</w:t>
      </w:r>
      <w:r w:rsidR="005E758F">
        <w:rPr>
          <w:color w:val="000000"/>
        </w:rPr>
        <w:t>)</w:t>
      </w:r>
      <w:r w:rsidR="00E8423E">
        <w:rPr>
          <w:color w:val="000000"/>
        </w:rPr>
        <w:t xml:space="preserve">. </w:t>
      </w:r>
      <w:r w:rsidR="005E758F">
        <w:rPr>
          <w:color w:val="000000"/>
        </w:rPr>
        <w:t xml:space="preserve">A ratio greater than </w:t>
      </w:r>
      <w:r>
        <w:rPr>
          <w:color w:val="000000"/>
        </w:rPr>
        <w:t>one</w:t>
      </w:r>
      <w:r w:rsidR="005E758F">
        <w:rPr>
          <w:color w:val="000000"/>
        </w:rPr>
        <w:t xml:space="preserve"> means that tax revenue is larger when the tax is based on place of work (</w:t>
      </w:r>
      <w:r w:rsidR="00B20654">
        <w:rPr>
          <w:color w:val="000000"/>
        </w:rPr>
        <w:t>P</w:t>
      </w:r>
      <w:r w:rsidR="005E758F">
        <w:rPr>
          <w:color w:val="000000"/>
        </w:rPr>
        <w:t xml:space="preserve">ayroll </w:t>
      </w:r>
      <w:r w:rsidR="00B20654">
        <w:rPr>
          <w:color w:val="000000"/>
        </w:rPr>
        <w:t>T</w:t>
      </w:r>
      <w:r w:rsidR="005E758F">
        <w:rPr>
          <w:color w:val="000000"/>
        </w:rPr>
        <w:t>ax) than place of residence (</w:t>
      </w:r>
      <w:r w:rsidR="00B20654">
        <w:rPr>
          <w:color w:val="000000"/>
        </w:rPr>
        <w:t>R</w:t>
      </w:r>
      <w:r w:rsidR="005E758F">
        <w:rPr>
          <w:color w:val="000000"/>
        </w:rPr>
        <w:t xml:space="preserve">esident-only </w:t>
      </w:r>
      <w:r w:rsidR="00B20654">
        <w:rPr>
          <w:color w:val="000000"/>
        </w:rPr>
        <w:t>T</w:t>
      </w:r>
      <w:r w:rsidR="005E758F">
        <w:rPr>
          <w:color w:val="000000"/>
        </w:rPr>
        <w:t xml:space="preserve">ax). </w:t>
      </w:r>
      <w:r w:rsidR="00BF211D">
        <w:rPr>
          <w:color w:val="000000"/>
        </w:rPr>
        <w:t xml:space="preserve">There are only 35 towns from which </w:t>
      </w:r>
      <w:r w:rsidR="00B20654">
        <w:rPr>
          <w:color w:val="000000"/>
        </w:rPr>
        <w:t>P</w:t>
      </w:r>
      <w:r w:rsidR="005E758F">
        <w:rPr>
          <w:color w:val="000000"/>
        </w:rPr>
        <w:t>ayroll</w:t>
      </w:r>
      <w:r w:rsidR="00BF211D">
        <w:rPr>
          <w:color w:val="000000"/>
        </w:rPr>
        <w:t xml:space="preserve"> </w:t>
      </w:r>
      <w:r w:rsidR="00B20654">
        <w:rPr>
          <w:color w:val="000000"/>
        </w:rPr>
        <w:t>T</w:t>
      </w:r>
      <w:r w:rsidR="00BF211D">
        <w:rPr>
          <w:color w:val="000000"/>
        </w:rPr>
        <w:t xml:space="preserve">ax revenue is greater than </w:t>
      </w:r>
      <w:r w:rsidR="00B20654">
        <w:rPr>
          <w:color w:val="000000"/>
        </w:rPr>
        <w:t>R</w:t>
      </w:r>
      <w:r w:rsidR="005E758F">
        <w:rPr>
          <w:color w:val="000000"/>
        </w:rPr>
        <w:t xml:space="preserve">esident-only </w:t>
      </w:r>
      <w:r w:rsidR="00B20654">
        <w:rPr>
          <w:color w:val="000000"/>
        </w:rPr>
        <w:t>T</w:t>
      </w:r>
      <w:r w:rsidR="005E758F">
        <w:rPr>
          <w:color w:val="000000"/>
        </w:rPr>
        <w:t>ax revenue.</w:t>
      </w:r>
      <w:r w:rsidR="00BF211D">
        <w:rPr>
          <w:color w:val="000000"/>
        </w:rPr>
        <w:t xml:space="preserve"> </w:t>
      </w:r>
      <w:r w:rsidR="00A05136">
        <w:rPr>
          <w:color w:val="000000"/>
        </w:rPr>
        <w:t xml:space="preserve">These 35 towns are employment centers, and thus generate more revenue when the earned income tax is </w:t>
      </w:r>
      <w:r w:rsidR="005E758F">
        <w:rPr>
          <w:color w:val="000000"/>
        </w:rPr>
        <w:t xml:space="preserve">a </w:t>
      </w:r>
      <w:r w:rsidR="00B20654">
        <w:rPr>
          <w:color w:val="000000"/>
        </w:rPr>
        <w:t>P</w:t>
      </w:r>
      <w:r w:rsidR="005E758F">
        <w:rPr>
          <w:color w:val="000000"/>
        </w:rPr>
        <w:t xml:space="preserve">ayroll </w:t>
      </w:r>
      <w:r w:rsidR="00B20654">
        <w:rPr>
          <w:color w:val="000000"/>
        </w:rPr>
        <w:t>T</w:t>
      </w:r>
      <w:r w:rsidR="005E758F">
        <w:rPr>
          <w:color w:val="000000"/>
        </w:rPr>
        <w:t>ax</w:t>
      </w:r>
      <w:r w:rsidR="00A05136">
        <w:rPr>
          <w:color w:val="000000"/>
        </w:rPr>
        <w:t>.</w:t>
      </w:r>
      <w:r w:rsidR="00BF211D">
        <w:rPr>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0"/>
        <w:gridCol w:w="1710"/>
      </w:tblGrid>
      <w:tr w:rsidR="00A05136" w14:paraId="24184685" w14:textId="77777777" w:rsidTr="00BA7354">
        <w:trPr>
          <w:trHeight w:val="711"/>
        </w:trPr>
        <w:tc>
          <w:tcPr>
            <w:tcW w:w="4788" w:type="dxa"/>
            <w:gridSpan w:val="3"/>
            <w:tcBorders>
              <w:bottom w:val="single" w:sz="4" w:space="0" w:color="auto"/>
            </w:tcBorders>
          </w:tcPr>
          <w:p w14:paraId="7C74B387" w14:textId="4107C7BD" w:rsidR="00593697" w:rsidRPr="00A05136" w:rsidRDefault="00BF211D" w:rsidP="005831B2">
            <w:pPr>
              <w:pStyle w:val="Heading4"/>
            </w:pPr>
            <w:r>
              <w:rPr>
                <w:color w:val="000000"/>
              </w:rPr>
              <w:t xml:space="preserve"> </w:t>
            </w:r>
            <w:bookmarkStart w:id="97" w:name="_Toc433373694"/>
            <w:r w:rsidR="00593697">
              <w:t>Table 6</w:t>
            </w:r>
            <w:r w:rsidR="00A05136" w:rsidRPr="00A05136">
              <w:t xml:space="preserve">. Distribution of the Ratio of </w:t>
            </w:r>
            <w:r w:rsidR="005E758F">
              <w:t xml:space="preserve">Payroll </w:t>
            </w:r>
            <w:r w:rsidR="00A05136" w:rsidRPr="00A05136">
              <w:t xml:space="preserve">Tax Revenue </w:t>
            </w:r>
            <w:r w:rsidR="005E758F">
              <w:t>to Resident-only Tax</w:t>
            </w:r>
            <w:r w:rsidR="00593697">
              <w:t xml:space="preserve"> Revenue</w:t>
            </w:r>
            <w:bookmarkEnd w:id="97"/>
          </w:p>
        </w:tc>
      </w:tr>
      <w:tr w:rsidR="00A05136" w14:paraId="48529A63" w14:textId="77777777" w:rsidTr="00BA7354">
        <w:tc>
          <w:tcPr>
            <w:tcW w:w="2358" w:type="dxa"/>
            <w:tcBorders>
              <w:top w:val="single" w:sz="4" w:space="0" w:color="auto"/>
              <w:bottom w:val="single" w:sz="4" w:space="0" w:color="auto"/>
            </w:tcBorders>
          </w:tcPr>
          <w:p w14:paraId="52561530" w14:textId="7C4E8268" w:rsidR="00A05136" w:rsidRPr="00BA7354" w:rsidRDefault="00A05136" w:rsidP="00D422A0">
            <w:pPr>
              <w:spacing w:after="0"/>
              <w:rPr>
                <w:b/>
                <w:color w:val="000000"/>
              </w:rPr>
            </w:pPr>
            <w:r w:rsidRPr="00BA7354">
              <w:rPr>
                <w:b/>
                <w:color w:val="000000"/>
              </w:rPr>
              <w:t>Range</w:t>
            </w:r>
          </w:p>
        </w:tc>
        <w:tc>
          <w:tcPr>
            <w:tcW w:w="2430" w:type="dxa"/>
            <w:gridSpan w:val="2"/>
            <w:tcBorders>
              <w:top w:val="single" w:sz="4" w:space="0" w:color="auto"/>
              <w:bottom w:val="single" w:sz="4" w:space="0" w:color="auto"/>
            </w:tcBorders>
          </w:tcPr>
          <w:p w14:paraId="4B77A71B" w14:textId="6AEDC7D0" w:rsidR="00A05136" w:rsidRPr="00BA7354" w:rsidRDefault="00A05136" w:rsidP="00D422A0">
            <w:pPr>
              <w:spacing w:after="0"/>
              <w:rPr>
                <w:b/>
                <w:color w:val="000000"/>
              </w:rPr>
            </w:pPr>
            <w:r w:rsidRPr="00BA7354">
              <w:rPr>
                <w:b/>
                <w:color w:val="000000"/>
              </w:rPr>
              <w:t>Number of Towns</w:t>
            </w:r>
          </w:p>
        </w:tc>
      </w:tr>
      <w:tr w:rsidR="00A05136" w14:paraId="6E5E7933" w14:textId="77777777" w:rsidTr="00BA7354">
        <w:tc>
          <w:tcPr>
            <w:tcW w:w="3078" w:type="dxa"/>
            <w:gridSpan w:val="2"/>
            <w:tcBorders>
              <w:top w:val="single" w:sz="4" w:space="0" w:color="auto"/>
            </w:tcBorders>
          </w:tcPr>
          <w:p w14:paraId="23F9B12B" w14:textId="3F177677" w:rsidR="00A05136" w:rsidRDefault="00A05136" w:rsidP="00D422A0">
            <w:pPr>
              <w:spacing w:after="0"/>
              <w:rPr>
                <w:color w:val="000000"/>
              </w:rPr>
            </w:pPr>
            <w:r>
              <w:rPr>
                <w:color w:val="000000"/>
              </w:rPr>
              <w:t>0 to 0.2</w:t>
            </w:r>
          </w:p>
        </w:tc>
        <w:tc>
          <w:tcPr>
            <w:tcW w:w="1710" w:type="dxa"/>
            <w:tcBorders>
              <w:top w:val="single" w:sz="4" w:space="0" w:color="auto"/>
            </w:tcBorders>
          </w:tcPr>
          <w:p w14:paraId="3D0E72FF" w14:textId="5B0CD682" w:rsidR="00A05136" w:rsidRDefault="00A05136" w:rsidP="00D422A0">
            <w:pPr>
              <w:spacing w:after="0"/>
              <w:rPr>
                <w:color w:val="000000"/>
              </w:rPr>
            </w:pPr>
            <w:r>
              <w:rPr>
                <w:color w:val="000000"/>
              </w:rPr>
              <w:t>22</w:t>
            </w:r>
          </w:p>
        </w:tc>
      </w:tr>
      <w:tr w:rsidR="00A05136" w14:paraId="40347C68" w14:textId="77777777" w:rsidTr="00BA7354">
        <w:tc>
          <w:tcPr>
            <w:tcW w:w="3078" w:type="dxa"/>
            <w:gridSpan w:val="2"/>
          </w:tcPr>
          <w:p w14:paraId="395C8E31" w14:textId="02288F79" w:rsidR="00A05136" w:rsidRDefault="00A05136" w:rsidP="00D422A0">
            <w:pPr>
              <w:spacing w:after="0"/>
              <w:rPr>
                <w:color w:val="000000"/>
              </w:rPr>
            </w:pPr>
            <w:r>
              <w:rPr>
                <w:color w:val="000000"/>
              </w:rPr>
              <w:t>0.2 to 0.4</w:t>
            </w:r>
          </w:p>
        </w:tc>
        <w:tc>
          <w:tcPr>
            <w:tcW w:w="1710" w:type="dxa"/>
          </w:tcPr>
          <w:p w14:paraId="2EC7C099" w14:textId="168E2A72" w:rsidR="00A05136" w:rsidRDefault="00A05136" w:rsidP="00D422A0">
            <w:pPr>
              <w:spacing w:after="0"/>
              <w:rPr>
                <w:color w:val="000000"/>
              </w:rPr>
            </w:pPr>
            <w:r>
              <w:rPr>
                <w:color w:val="000000"/>
              </w:rPr>
              <w:t>44</w:t>
            </w:r>
          </w:p>
        </w:tc>
      </w:tr>
      <w:tr w:rsidR="00A05136" w14:paraId="6A3232E7" w14:textId="77777777" w:rsidTr="00BA7354">
        <w:tc>
          <w:tcPr>
            <w:tcW w:w="3078" w:type="dxa"/>
            <w:gridSpan w:val="2"/>
          </w:tcPr>
          <w:p w14:paraId="38957EEB" w14:textId="6914B912" w:rsidR="00A05136" w:rsidRDefault="00A05136" w:rsidP="00D422A0">
            <w:pPr>
              <w:spacing w:after="0"/>
              <w:rPr>
                <w:color w:val="000000"/>
              </w:rPr>
            </w:pPr>
            <w:r>
              <w:rPr>
                <w:color w:val="000000"/>
              </w:rPr>
              <w:t>0.4 to 0.6</w:t>
            </w:r>
          </w:p>
        </w:tc>
        <w:tc>
          <w:tcPr>
            <w:tcW w:w="1710" w:type="dxa"/>
          </w:tcPr>
          <w:p w14:paraId="5A32CEBE" w14:textId="66FF1C7F" w:rsidR="00A05136" w:rsidRDefault="00A05136" w:rsidP="00D422A0">
            <w:pPr>
              <w:spacing w:after="0"/>
              <w:rPr>
                <w:color w:val="000000"/>
              </w:rPr>
            </w:pPr>
            <w:r>
              <w:rPr>
                <w:color w:val="000000"/>
              </w:rPr>
              <w:t>30</w:t>
            </w:r>
          </w:p>
        </w:tc>
      </w:tr>
      <w:tr w:rsidR="00A05136" w14:paraId="5D2DAB16" w14:textId="77777777" w:rsidTr="00BA7354">
        <w:tc>
          <w:tcPr>
            <w:tcW w:w="3078" w:type="dxa"/>
            <w:gridSpan w:val="2"/>
          </w:tcPr>
          <w:p w14:paraId="22D7A6A1" w14:textId="09F08B2B" w:rsidR="00A05136" w:rsidRDefault="00A05136" w:rsidP="00D422A0">
            <w:pPr>
              <w:spacing w:after="0"/>
              <w:rPr>
                <w:color w:val="000000"/>
              </w:rPr>
            </w:pPr>
            <w:r>
              <w:rPr>
                <w:color w:val="000000"/>
              </w:rPr>
              <w:t>0.6 to 0.8</w:t>
            </w:r>
          </w:p>
        </w:tc>
        <w:tc>
          <w:tcPr>
            <w:tcW w:w="1710" w:type="dxa"/>
          </w:tcPr>
          <w:p w14:paraId="462038BE" w14:textId="63F5201B" w:rsidR="00A05136" w:rsidRDefault="00A05136" w:rsidP="00D422A0">
            <w:pPr>
              <w:spacing w:after="0"/>
              <w:rPr>
                <w:color w:val="000000"/>
              </w:rPr>
            </w:pPr>
            <w:r>
              <w:rPr>
                <w:color w:val="000000"/>
              </w:rPr>
              <w:t>21</w:t>
            </w:r>
          </w:p>
        </w:tc>
      </w:tr>
      <w:tr w:rsidR="00A05136" w14:paraId="0F9A2A87" w14:textId="77777777" w:rsidTr="00BA7354">
        <w:tc>
          <w:tcPr>
            <w:tcW w:w="3078" w:type="dxa"/>
            <w:gridSpan w:val="2"/>
          </w:tcPr>
          <w:p w14:paraId="3C095192" w14:textId="6C179B1A" w:rsidR="00A05136" w:rsidRDefault="00A05136" w:rsidP="00D422A0">
            <w:pPr>
              <w:spacing w:after="0"/>
              <w:rPr>
                <w:color w:val="000000"/>
              </w:rPr>
            </w:pPr>
            <w:r>
              <w:rPr>
                <w:color w:val="000000"/>
              </w:rPr>
              <w:t>0.8 to 1.0</w:t>
            </w:r>
          </w:p>
        </w:tc>
        <w:tc>
          <w:tcPr>
            <w:tcW w:w="1710" w:type="dxa"/>
          </w:tcPr>
          <w:p w14:paraId="4C8B1B11" w14:textId="4DDDA232" w:rsidR="00A05136" w:rsidRDefault="00A05136" w:rsidP="00D422A0">
            <w:pPr>
              <w:spacing w:after="0"/>
              <w:rPr>
                <w:color w:val="000000"/>
              </w:rPr>
            </w:pPr>
            <w:r>
              <w:rPr>
                <w:color w:val="000000"/>
              </w:rPr>
              <w:t>17</w:t>
            </w:r>
          </w:p>
        </w:tc>
      </w:tr>
      <w:tr w:rsidR="00A05136" w14:paraId="322B884B" w14:textId="77777777" w:rsidTr="00BA7354">
        <w:tc>
          <w:tcPr>
            <w:tcW w:w="3078" w:type="dxa"/>
            <w:gridSpan w:val="2"/>
          </w:tcPr>
          <w:p w14:paraId="285E3E3B" w14:textId="60A63445" w:rsidR="00A05136" w:rsidRDefault="00A05136" w:rsidP="00D422A0">
            <w:pPr>
              <w:spacing w:after="0"/>
              <w:rPr>
                <w:color w:val="000000"/>
              </w:rPr>
            </w:pPr>
            <w:r>
              <w:rPr>
                <w:color w:val="000000"/>
              </w:rPr>
              <w:t>1.0 to 1.4</w:t>
            </w:r>
          </w:p>
        </w:tc>
        <w:tc>
          <w:tcPr>
            <w:tcW w:w="1710" w:type="dxa"/>
          </w:tcPr>
          <w:p w14:paraId="42863852" w14:textId="4AA431B4" w:rsidR="00A05136" w:rsidRDefault="00A05136" w:rsidP="00D422A0">
            <w:pPr>
              <w:spacing w:after="0"/>
              <w:rPr>
                <w:color w:val="000000"/>
              </w:rPr>
            </w:pPr>
            <w:r>
              <w:rPr>
                <w:color w:val="000000"/>
              </w:rPr>
              <w:t>17</w:t>
            </w:r>
          </w:p>
        </w:tc>
      </w:tr>
      <w:tr w:rsidR="00A05136" w14:paraId="38AEB9BA" w14:textId="77777777" w:rsidTr="00BA7354">
        <w:tc>
          <w:tcPr>
            <w:tcW w:w="3078" w:type="dxa"/>
            <w:gridSpan w:val="2"/>
          </w:tcPr>
          <w:p w14:paraId="5E9C2B09" w14:textId="4BB21F7F" w:rsidR="00A05136" w:rsidRDefault="00A05136" w:rsidP="00D422A0">
            <w:pPr>
              <w:spacing w:after="0"/>
              <w:rPr>
                <w:color w:val="000000"/>
              </w:rPr>
            </w:pPr>
            <w:r>
              <w:rPr>
                <w:color w:val="000000"/>
              </w:rPr>
              <w:t>1.4 to 2.0</w:t>
            </w:r>
          </w:p>
        </w:tc>
        <w:tc>
          <w:tcPr>
            <w:tcW w:w="1710" w:type="dxa"/>
          </w:tcPr>
          <w:p w14:paraId="282BF04E" w14:textId="1EC7C025" w:rsidR="00A05136" w:rsidRDefault="00A05136" w:rsidP="00D422A0">
            <w:pPr>
              <w:spacing w:after="0"/>
              <w:rPr>
                <w:color w:val="000000"/>
              </w:rPr>
            </w:pPr>
            <w:r>
              <w:rPr>
                <w:color w:val="000000"/>
              </w:rPr>
              <w:t>9</w:t>
            </w:r>
          </w:p>
        </w:tc>
      </w:tr>
      <w:tr w:rsidR="00A05136" w14:paraId="5F0F2595" w14:textId="77777777" w:rsidTr="00BA7354">
        <w:tc>
          <w:tcPr>
            <w:tcW w:w="3078" w:type="dxa"/>
            <w:gridSpan w:val="2"/>
            <w:tcBorders>
              <w:bottom w:val="single" w:sz="4" w:space="0" w:color="auto"/>
            </w:tcBorders>
          </w:tcPr>
          <w:p w14:paraId="203D5C39" w14:textId="0B6F359D" w:rsidR="00A05136" w:rsidRDefault="00A05136" w:rsidP="00D422A0">
            <w:pPr>
              <w:spacing w:after="0"/>
              <w:rPr>
                <w:color w:val="000000"/>
              </w:rPr>
            </w:pPr>
            <w:r>
              <w:rPr>
                <w:color w:val="000000"/>
              </w:rPr>
              <w:t>2.0 and above</w:t>
            </w:r>
          </w:p>
        </w:tc>
        <w:tc>
          <w:tcPr>
            <w:tcW w:w="1710" w:type="dxa"/>
            <w:tcBorders>
              <w:bottom w:val="single" w:sz="4" w:space="0" w:color="auto"/>
            </w:tcBorders>
          </w:tcPr>
          <w:p w14:paraId="6D07CB4C" w14:textId="7023012A" w:rsidR="00A05136" w:rsidRDefault="00A05136" w:rsidP="00D422A0">
            <w:pPr>
              <w:spacing w:after="0"/>
              <w:rPr>
                <w:color w:val="000000"/>
              </w:rPr>
            </w:pPr>
            <w:r>
              <w:rPr>
                <w:color w:val="000000"/>
              </w:rPr>
              <w:t>9</w:t>
            </w:r>
          </w:p>
        </w:tc>
      </w:tr>
    </w:tbl>
    <w:p w14:paraId="44687FC8" w14:textId="77777777" w:rsidR="00A05136" w:rsidRDefault="00A05136" w:rsidP="00D422A0">
      <w:pPr>
        <w:spacing w:after="0" w:line="360" w:lineRule="auto"/>
        <w:ind w:firstLine="720"/>
        <w:rPr>
          <w:color w:val="000000"/>
        </w:rPr>
      </w:pPr>
    </w:p>
    <w:p w14:paraId="545D68C6" w14:textId="203A67DD" w:rsidR="00355D09" w:rsidRDefault="009013FF" w:rsidP="00A65845">
      <w:pPr>
        <w:spacing w:after="0" w:line="360" w:lineRule="auto"/>
        <w:rPr>
          <w:color w:val="000000"/>
        </w:rPr>
      </w:pPr>
      <w:bookmarkStart w:id="98" w:name="_Toc433373709"/>
      <w:r>
        <w:rPr>
          <w:rStyle w:val="Heading5Char"/>
        </w:rPr>
        <w:lastRenderedPageBreak/>
        <w:t>F</w:t>
      </w:r>
      <w:r w:rsidR="00A65845" w:rsidRPr="00A65845">
        <w:rPr>
          <w:rStyle w:val="Heading5Char"/>
        </w:rPr>
        <w:t>igure 7. Earned Income Tax Revenue per Capita</w:t>
      </w:r>
      <w:bookmarkEnd w:id="98"/>
      <w:r w:rsidR="00355D09">
        <w:rPr>
          <w:noProof/>
          <w:lang w:bidi="ar-SA"/>
        </w:rPr>
        <w:drawing>
          <wp:inline distT="0" distB="0" distL="0" distR="0" wp14:anchorId="1B160D7D" wp14:editId="766347CB">
            <wp:extent cx="5943600" cy="319278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9B3670" w14:textId="77777777" w:rsidR="00593697" w:rsidRDefault="00593697" w:rsidP="00593697">
      <w:pPr>
        <w:spacing w:after="0" w:line="360" w:lineRule="auto"/>
        <w:rPr>
          <w:color w:val="000000"/>
        </w:rPr>
      </w:pPr>
    </w:p>
    <w:p w14:paraId="333730D7" w14:textId="77777777" w:rsidR="009013FF" w:rsidRDefault="009013FF" w:rsidP="009013FF">
      <w:pPr>
        <w:spacing w:after="0" w:line="360" w:lineRule="auto"/>
        <w:ind w:firstLine="720"/>
        <w:rPr>
          <w:color w:val="000000"/>
        </w:rPr>
      </w:pPr>
      <w:r>
        <w:rPr>
          <w:color w:val="000000"/>
        </w:rPr>
        <w:t xml:space="preserve">We also consider a tax in which the tax on earned income is split 50/50 between place of residence and place of employment. Per capita revenues for the Split Earnings Tax ranges from $97 to $710. Figure 7 shows the relationship between per capita revenues for the Payroll Tax and the Split Earnings Tax. </w:t>
      </w:r>
      <w:r>
        <w:t xml:space="preserve">The line in Figure 7 represents points for which the revenue per capita from the two taxes are equal. </w:t>
      </w:r>
      <w:r>
        <w:rPr>
          <w:color w:val="000000"/>
        </w:rPr>
        <w:t>For low values of per capita Payroll Tax revenue, the per capita revenue for the Split Earnings Tax is greater than the per capita revenue for the Payroll Tax, i.e., the points are above the line. Towns with small Payroll Tax bases are likely to be residential communities so that resident earned income is likely to be larger than payroll earned income, since residents in such communities work outside their town of residence. The opposite is the case for towns with large per capita Payroll Tax revenue.</w:t>
      </w:r>
    </w:p>
    <w:p w14:paraId="138D4678" w14:textId="6D90A3B9" w:rsidR="00593697" w:rsidRDefault="00593697" w:rsidP="00593697">
      <w:pPr>
        <w:spacing w:after="0" w:line="360" w:lineRule="auto"/>
      </w:pPr>
      <w:r>
        <w:rPr>
          <w:color w:val="000000"/>
        </w:rPr>
        <w:tab/>
      </w:r>
      <w:r>
        <w:t>Figure 8 provides more detail on the distribution of tax revenue per capita for three income taxes</w:t>
      </w:r>
      <w:r w:rsidR="00B20654">
        <w:t xml:space="preserve"> (we exclude the Income Surtax since it is closely related to the tax on AGI)</w:t>
      </w:r>
      <w:r>
        <w:t xml:space="preserve">. In particular, the figure shows that there are many more towns with </w:t>
      </w:r>
      <w:r w:rsidR="00B20654">
        <w:t>P</w:t>
      </w:r>
      <w:r>
        <w:t xml:space="preserve">ayroll </w:t>
      </w:r>
      <w:r w:rsidR="00B20654">
        <w:t>T</w:t>
      </w:r>
      <w:r>
        <w:t xml:space="preserve">ax revenue per capita below $150 than either the </w:t>
      </w:r>
      <w:r w:rsidR="00BE7EF2">
        <w:t>AGI T</w:t>
      </w:r>
      <w:r>
        <w:t xml:space="preserve">ax or the Split Earnings Tax. Furthermore, the distribution for the Split Earnings Tax is more </w:t>
      </w:r>
      <w:r w:rsidR="00BE7EF2">
        <w:t xml:space="preserve">uniformly </w:t>
      </w:r>
      <w:r>
        <w:t>distributed than either of the other two taxes.</w:t>
      </w:r>
    </w:p>
    <w:p w14:paraId="220EE9F9" w14:textId="56AB369B" w:rsidR="00A65845" w:rsidRPr="009013FF" w:rsidRDefault="00593697" w:rsidP="00FF4666">
      <w:pPr>
        <w:spacing w:after="0" w:line="360" w:lineRule="auto"/>
        <w:rPr>
          <w:b/>
        </w:rPr>
      </w:pPr>
      <w:r>
        <w:rPr>
          <w:color w:val="000000"/>
        </w:rPr>
        <w:t xml:space="preserve"> </w:t>
      </w:r>
    </w:p>
    <w:p w14:paraId="1DB20EB2" w14:textId="1C969AB1" w:rsidR="00593697" w:rsidRDefault="00FF4666" w:rsidP="00BD0B5F">
      <w:pPr>
        <w:pStyle w:val="Heading5"/>
      </w:pPr>
      <w:bookmarkStart w:id="99" w:name="_Toc433373710"/>
      <w:r>
        <w:lastRenderedPageBreak/>
        <w:t>Figure 8. Income Tax per Capita</w:t>
      </w:r>
      <w:bookmarkEnd w:id="99"/>
    </w:p>
    <w:p w14:paraId="5E87CC01" w14:textId="77777777" w:rsidR="00FF4666" w:rsidRPr="00FF4666" w:rsidRDefault="00FF4666" w:rsidP="00FF4666"/>
    <w:p w14:paraId="54174A9F" w14:textId="463550A5" w:rsidR="00FF4666" w:rsidRDefault="00FF4666" w:rsidP="00FF4666">
      <w:bookmarkStart w:id="100" w:name="_Toc431996396"/>
      <w:r w:rsidRPr="00BD0B5F">
        <w:rPr>
          <w:noProof/>
          <w:lang w:bidi="ar-SA"/>
        </w:rPr>
        <w:drawing>
          <wp:inline distT="0" distB="0" distL="0" distR="0" wp14:anchorId="0663AFEC" wp14:editId="559EC943">
            <wp:extent cx="5425440" cy="334899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100"/>
    </w:p>
    <w:p w14:paraId="477D992A" w14:textId="77777777" w:rsidR="00A65845" w:rsidRDefault="00A65845" w:rsidP="00A65845"/>
    <w:p w14:paraId="73C47A42" w14:textId="466E4DE0" w:rsidR="007F7356" w:rsidRDefault="007F7356" w:rsidP="00D422A0">
      <w:pPr>
        <w:spacing w:after="0" w:line="360" w:lineRule="auto"/>
        <w:ind w:firstLine="720"/>
        <w:rPr>
          <w:color w:val="000000"/>
        </w:rPr>
      </w:pPr>
      <w:r>
        <w:rPr>
          <w:color w:val="000000"/>
        </w:rPr>
        <w:t xml:space="preserve">One possible objective of </w:t>
      </w:r>
      <w:r w:rsidR="00B20654">
        <w:rPr>
          <w:color w:val="000000"/>
        </w:rPr>
        <w:t xml:space="preserve">adopting </w:t>
      </w:r>
      <w:r>
        <w:rPr>
          <w:color w:val="000000"/>
        </w:rPr>
        <w:t xml:space="preserve">a local income tax is to reduce property taxes. </w:t>
      </w:r>
      <w:r w:rsidR="00E576C2">
        <w:rPr>
          <w:color w:val="000000"/>
        </w:rPr>
        <w:t>In the aggregate, the income taxes generate sufficient revenue to reduce total property taxes by about 11.5 percent. But there are substantial difference</w:t>
      </w:r>
      <w:r w:rsidR="009013FF">
        <w:rPr>
          <w:color w:val="000000"/>
        </w:rPr>
        <w:t>s</w:t>
      </w:r>
      <w:r w:rsidR="00E576C2">
        <w:rPr>
          <w:color w:val="000000"/>
        </w:rPr>
        <w:t xml:space="preserve"> </w:t>
      </w:r>
      <w:r w:rsidR="00F241E3">
        <w:rPr>
          <w:color w:val="000000"/>
        </w:rPr>
        <w:t>between</w:t>
      </w:r>
      <w:r w:rsidR="00E576C2">
        <w:rPr>
          <w:color w:val="000000"/>
        </w:rPr>
        <w:t xml:space="preserve"> towns in the </w:t>
      </w:r>
      <w:r w:rsidR="00F241E3">
        <w:rPr>
          <w:color w:val="000000"/>
        </w:rPr>
        <w:t>possible reduction in property taxes, and furthermore the possible reduction</w:t>
      </w:r>
      <w:r w:rsidR="00B2221D">
        <w:rPr>
          <w:color w:val="000000"/>
        </w:rPr>
        <w:t xml:space="preserve"> for a town</w:t>
      </w:r>
      <w:r w:rsidR="00F241E3">
        <w:rPr>
          <w:color w:val="000000"/>
        </w:rPr>
        <w:t xml:space="preserve"> differ</w:t>
      </w:r>
      <w:r w:rsidR="00B2221D">
        <w:rPr>
          <w:color w:val="000000"/>
        </w:rPr>
        <w:t>s</w:t>
      </w:r>
      <w:r w:rsidR="00F241E3">
        <w:rPr>
          <w:color w:val="000000"/>
        </w:rPr>
        <w:t xml:space="preserve"> by</w:t>
      </w:r>
      <w:r w:rsidR="00701AB9">
        <w:rPr>
          <w:color w:val="000000"/>
        </w:rPr>
        <w:t xml:space="preserve"> the particular income</w:t>
      </w:r>
      <w:r w:rsidR="00F241E3">
        <w:rPr>
          <w:color w:val="000000"/>
        </w:rPr>
        <w:t xml:space="preserve"> tax</w:t>
      </w:r>
      <w:r w:rsidR="00701AB9">
        <w:rPr>
          <w:color w:val="000000"/>
        </w:rPr>
        <w:t xml:space="preserve"> considered</w:t>
      </w:r>
      <w:r w:rsidR="00F241E3">
        <w:rPr>
          <w:color w:val="000000"/>
        </w:rPr>
        <w:t xml:space="preserve">. </w:t>
      </w:r>
      <w:r>
        <w:rPr>
          <w:color w:val="000000"/>
        </w:rPr>
        <w:t>For each of th</w:t>
      </w:r>
      <w:r w:rsidR="00F241E3">
        <w:rPr>
          <w:color w:val="000000"/>
        </w:rPr>
        <w:t>re</w:t>
      </w:r>
      <w:r>
        <w:rPr>
          <w:color w:val="000000"/>
        </w:rPr>
        <w:t xml:space="preserve">e taxes </w:t>
      </w:r>
      <w:r w:rsidR="00701AB9">
        <w:rPr>
          <w:color w:val="000000"/>
        </w:rPr>
        <w:t xml:space="preserve">(AGI Tax, Payroll Tax, and Split Earnings Tax) </w:t>
      </w:r>
      <w:r>
        <w:rPr>
          <w:color w:val="000000"/>
        </w:rPr>
        <w:t>we calculated the income tax revenue as a percentage of property tax</w:t>
      </w:r>
      <w:r w:rsidR="004D3334">
        <w:rPr>
          <w:color w:val="000000"/>
        </w:rPr>
        <w:t xml:space="preserve"> revenue</w:t>
      </w:r>
      <w:r>
        <w:rPr>
          <w:color w:val="000000"/>
        </w:rPr>
        <w:t xml:space="preserve">. Table </w:t>
      </w:r>
      <w:r w:rsidR="00B20654">
        <w:rPr>
          <w:color w:val="000000"/>
        </w:rPr>
        <w:t>7</w:t>
      </w:r>
      <w:r>
        <w:rPr>
          <w:color w:val="000000"/>
        </w:rPr>
        <w:t xml:space="preserve"> summarize</w:t>
      </w:r>
      <w:r w:rsidR="00B20654">
        <w:rPr>
          <w:color w:val="000000"/>
        </w:rPr>
        <w:t>s</w:t>
      </w:r>
      <w:r>
        <w:rPr>
          <w:color w:val="000000"/>
        </w:rPr>
        <w:t xml:space="preserve"> the distribution of the potential percentage reduction in property tax. </w:t>
      </w:r>
      <w:r w:rsidR="00B2221D">
        <w:rPr>
          <w:color w:val="000000"/>
        </w:rPr>
        <w:t xml:space="preserve">For the </w:t>
      </w:r>
      <w:r w:rsidR="00F241E3">
        <w:rPr>
          <w:color w:val="000000"/>
        </w:rPr>
        <w:t xml:space="preserve">AGI </w:t>
      </w:r>
      <w:r w:rsidR="00B20654">
        <w:rPr>
          <w:color w:val="000000"/>
        </w:rPr>
        <w:t>T</w:t>
      </w:r>
      <w:r w:rsidR="00B2221D">
        <w:rPr>
          <w:color w:val="000000"/>
        </w:rPr>
        <w:t xml:space="preserve">ax </w:t>
      </w:r>
      <w:r w:rsidR="00F241E3">
        <w:rPr>
          <w:color w:val="000000"/>
        </w:rPr>
        <w:t xml:space="preserve">and the </w:t>
      </w:r>
      <w:r w:rsidR="00B20654">
        <w:rPr>
          <w:color w:val="000000"/>
        </w:rPr>
        <w:t>S</w:t>
      </w:r>
      <w:r w:rsidR="00F241E3">
        <w:rPr>
          <w:color w:val="000000"/>
        </w:rPr>
        <w:t>plit</w:t>
      </w:r>
      <w:r w:rsidR="00B20654">
        <w:rPr>
          <w:color w:val="000000"/>
        </w:rPr>
        <w:t xml:space="preserve"> Earnings T</w:t>
      </w:r>
      <w:r w:rsidR="00B2221D">
        <w:rPr>
          <w:color w:val="000000"/>
        </w:rPr>
        <w:t>ax,</w:t>
      </w:r>
      <w:r w:rsidR="00F241E3">
        <w:rPr>
          <w:color w:val="000000"/>
        </w:rPr>
        <w:t xml:space="preserve"> most of towns can reduce property taxes by 5 to 15 percent. However, for the </w:t>
      </w:r>
      <w:r w:rsidR="009D0F19">
        <w:rPr>
          <w:color w:val="000000"/>
        </w:rPr>
        <w:t>P</w:t>
      </w:r>
      <w:r w:rsidR="00F241E3">
        <w:rPr>
          <w:color w:val="000000"/>
        </w:rPr>
        <w:t xml:space="preserve">ayroll </w:t>
      </w:r>
      <w:r w:rsidR="009D0F19">
        <w:rPr>
          <w:color w:val="000000"/>
        </w:rPr>
        <w:t>T</w:t>
      </w:r>
      <w:r w:rsidR="00F241E3">
        <w:rPr>
          <w:color w:val="000000"/>
        </w:rPr>
        <w:t xml:space="preserve">ax, most of the towns can reduce property taxes by less than 10 percent. The reason is that there are many towns that generate very little revenue with a </w:t>
      </w:r>
      <w:r w:rsidR="009D0F19">
        <w:rPr>
          <w:color w:val="000000"/>
        </w:rPr>
        <w:t>P</w:t>
      </w:r>
      <w:r w:rsidR="00F241E3">
        <w:rPr>
          <w:color w:val="000000"/>
        </w:rPr>
        <w:t xml:space="preserve">ayroll </w:t>
      </w:r>
      <w:r w:rsidR="009D0F19">
        <w:rPr>
          <w:color w:val="000000"/>
        </w:rPr>
        <w:t>T</w:t>
      </w:r>
      <w:r w:rsidR="00F241E3">
        <w:rPr>
          <w:color w:val="000000"/>
        </w:rPr>
        <w:t>ax</w:t>
      </w:r>
      <w:r w:rsidR="00B2221D">
        <w:rPr>
          <w:color w:val="000000"/>
        </w:rPr>
        <w:t xml:space="preserve">, and a few </w:t>
      </w:r>
      <w:r w:rsidR="009D0F19">
        <w:rPr>
          <w:color w:val="000000"/>
        </w:rPr>
        <w:t xml:space="preserve">towns </w:t>
      </w:r>
      <w:r w:rsidR="00B2221D">
        <w:rPr>
          <w:color w:val="000000"/>
        </w:rPr>
        <w:t>with very large payrolls which allows a substantial reduction in property taxes for these towns</w:t>
      </w:r>
      <w:r w:rsidR="00F241E3">
        <w:rPr>
          <w:color w:val="000000"/>
        </w:rPr>
        <w:t>.</w:t>
      </w:r>
    </w:p>
    <w:p w14:paraId="479BED13" w14:textId="77777777" w:rsidR="00601ABB" w:rsidRDefault="00601ABB" w:rsidP="00D422A0">
      <w:pPr>
        <w:spacing w:after="0" w:line="360" w:lineRule="auto"/>
        <w:ind w:firstLine="720"/>
        <w:rPr>
          <w:color w:val="000000"/>
        </w:rPr>
      </w:pPr>
    </w:p>
    <w:p w14:paraId="0ECF040C" w14:textId="77777777" w:rsidR="00601ABB" w:rsidRDefault="00601ABB" w:rsidP="00D422A0">
      <w:pPr>
        <w:spacing w:after="0" w:line="360" w:lineRule="auto"/>
        <w:ind w:firstLine="720"/>
        <w:rPr>
          <w:color w:val="000000"/>
        </w:rPr>
      </w:pPr>
    </w:p>
    <w:p w14:paraId="36DAEE71" w14:textId="77777777" w:rsidR="00601ABB" w:rsidRDefault="00601ABB" w:rsidP="00D422A0">
      <w:pPr>
        <w:spacing w:after="0" w:line="360" w:lineRule="auto"/>
        <w:ind w:firstLine="720"/>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710"/>
        <w:gridCol w:w="1596"/>
        <w:gridCol w:w="1824"/>
      </w:tblGrid>
      <w:tr w:rsidR="00E576C2" w14:paraId="39479C14" w14:textId="77777777" w:rsidTr="004D3334">
        <w:tc>
          <w:tcPr>
            <w:tcW w:w="7308" w:type="dxa"/>
            <w:gridSpan w:val="4"/>
            <w:tcBorders>
              <w:bottom w:val="single" w:sz="4" w:space="0" w:color="auto"/>
            </w:tcBorders>
          </w:tcPr>
          <w:p w14:paraId="696E7118" w14:textId="48517423" w:rsidR="00E576C2" w:rsidRPr="00E576C2" w:rsidRDefault="00E576C2" w:rsidP="005831B2">
            <w:pPr>
              <w:pStyle w:val="Heading4"/>
            </w:pPr>
            <w:bookmarkStart w:id="101" w:name="_Toc433373695"/>
            <w:r w:rsidRPr="00E576C2">
              <w:lastRenderedPageBreak/>
              <w:t xml:space="preserve">Table </w:t>
            </w:r>
            <w:r w:rsidR="00593697">
              <w:t xml:space="preserve">7. </w:t>
            </w:r>
            <w:r w:rsidRPr="00E576C2">
              <w:t>P</w:t>
            </w:r>
            <w:r w:rsidR="00593697">
              <w:t>otential</w:t>
            </w:r>
            <w:r w:rsidRPr="00E576C2">
              <w:t xml:space="preserve"> Reduction in Property Tax</w:t>
            </w:r>
            <w:bookmarkEnd w:id="101"/>
            <w:r>
              <w:tab/>
            </w:r>
          </w:p>
        </w:tc>
      </w:tr>
      <w:tr w:rsidR="00E576C2" w14:paraId="6FF4B746" w14:textId="77777777" w:rsidTr="004D3334">
        <w:tc>
          <w:tcPr>
            <w:tcW w:w="2178" w:type="dxa"/>
            <w:tcBorders>
              <w:top w:val="single" w:sz="4" w:space="0" w:color="auto"/>
            </w:tcBorders>
          </w:tcPr>
          <w:p w14:paraId="79ADF0C3" w14:textId="77777777" w:rsidR="00E576C2" w:rsidRPr="00BA7354" w:rsidRDefault="00E576C2" w:rsidP="00D422A0">
            <w:pPr>
              <w:spacing w:after="0" w:line="360" w:lineRule="auto"/>
              <w:rPr>
                <w:b/>
                <w:color w:val="000000"/>
              </w:rPr>
            </w:pPr>
          </w:p>
        </w:tc>
        <w:tc>
          <w:tcPr>
            <w:tcW w:w="5130" w:type="dxa"/>
            <w:gridSpan w:val="3"/>
            <w:tcBorders>
              <w:top w:val="single" w:sz="4" w:space="0" w:color="auto"/>
              <w:bottom w:val="single" w:sz="4" w:space="0" w:color="auto"/>
            </w:tcBorders>
          </w:tcPr>
          <w:p w14:paraId="6543AA9A" w14:textId="7909D5C5" w:rsidR="00E576C2" w:rsidRPr="00BA7354" w:rsidRDefault="00E576C2" w:rsidP="00D422A0">
            <w:pPr>
              <w:spacing w:after="0" w:line="360" w:lineRule="auto"/>
              <w:jc w:val="center"/>
              <w:rPr>
                <w:b/>
                <w:color w:val="000000"/>
              </w:rPr>
            </w:pPr>
            <w:r w:rsidRPr="00BA7354">
              <w:rPr>
                <w:b/>
                <w:color w:val="000000"/>
              </w:rPr>
              <w:t>Number of Towns</w:t>
            </w:r>
          </w:p>
        </w:tc>
      </w:tr>
      <w:tr w:rsidR="00AF2ED5" w14:paraId="347609AC" w14:textId="77777777" w:rsidTr="000218D0">
        <w:tc>
          <w:tcPr>
            <w:tcW w:w="2178" w:type="dxa"/>
            <w:tcBorders>
              <w:bottom w:val="single" w:sz="4" w:space="0" w:color="auto"/>
            </w:tcBorders>
          </w:tcPr>
          <w:p w14:paraId="0B3B723B" w14:textId="52AE268B" w:rsidR="00AF2ED5" w:rsidRPr="00BA7354" w:rsidRDefault="00AF2ED5" w:rsidP="00D422A0">
            <w:pPr>
              <w:spacing w:after="0" w:line="360" w:lineRule="auto"/>
              <w:rPr>
                <w:b/>
                <w:color w:val="000000"/>
              </w:rPr>
            </w:pPr>
            <w:r w:rsidRPr="00BA7354">
              <w:rPr>
                <w:b/>
                <w:color w:val="000000"/>
              </w:rPr>
              <w:t>Percent Reduction</w:t>
            </w:r>
          </w:p>
        </w:tc>
        <w:tc>
          <w:tcPr>
            <w:tcW w:w="1710" w:type="dxa"/>
            <w:tcBorders>
              <w:bottom w:val="single" w:sz="4" w:space="0" w:color="auto"/>
            </w:tcBorders>
          </w:tcPr>
          <w:p w14:paraId="0299E614" w14:textId="0845A38C" w:rsidR="00AF2ED5" w:rsidRPr="00BA7354" w:rsidRDefault="00AF2ED5" w:rsidP="00D422A0">
            <w:pPr>
              <w:spacing w:after="0" w:line="360" w:lineRule="auto"/>
              <w:rPr>
                <w:b/>
                <w:color w:val="000000"/>
              </w:rPr>
            </w:pPr>
            <w:r w:rsidRPr="00BA7354">
              <w:rPr>
                <w:b/>
                <w:color w:val="000000"/>
              </w:rPr>
              <w:t>AGI Tax</w:t>
            </w:r>
          </w:p>
        </w:tc>
        <w:tc>
          <w:tcPr>
            <w:tcW w:w="1596" w:type="dxa"/>
            <w:tcBorders>
              <w:bottom w:val="single" w:sz="4" w:space="0" w:color="auto"/>
            </w:tcBorders>
          </w:tcPr>
          <w:p w14:paraId="651C39EC" w14:textId="729FDE37" w:rsidR="00AF2ED5" w:rsidRPr="00BA7354" w:rsidRDefault="00AF2ED5" w:rsidP="00D422A0">
            <w:pPr>
              <w:spacing w:after="0" w:line="360" w:lineRule="auto"/>
              <w:rPr>
                <w:b/>
                <w:color w:val="000000"/>
              </w:rPr>
            </w:pPr>
            <w:r w:rsidRPr="00BA7354">
              <w:rPr>
                <w:b/>
                <w:color w:val="000000"/>
              </w:rPr>
              <w:t>Payroll Tax</w:t>
            </w:r>
          </w:p>
        </w:tc>
        <w:tc>
          <w:tcPr>
            <w:tcW w:w="1824" w:type="dxa"/>
            <w:tcBorders>
              <w:bottom w:val="single" w:sz="4" w:space="0" w:color="auto"/>
            </w:tcBorders>
          </w:tcPr>
          <w:p w14:paraId="06E6F678" w14:textId="1DAAE2ED" w:rsidR="00AF2ED5" w:rsidRPr="00BA7354" w:rsidRDefault="00AF2ED5" w:rsidP="00D422A0">
            <w:pPr>
              <w:spacing w:after="0" w:line="360" w:lineRule="auto"/>
              <w:rPr>
                <w:b/>
                <w:color w:val="000000"/>
              </w:rPr>
            </w:pPr>
            <w:r w:rsidRPr="00BA7354">
              <w:rPr>
                <w:b/>
                <w:color w:val="000000"/>
              </w:rPr>
              <w:t>Split</w:t>
            </w:r>
            <w:r w:rsidR="000218D0">
              <w:rPr>
                <w:b/>
                <w:color w:val="000000"/>
              </w:rPr>
              <w:t xml:space="preserve"> Earnings</w:t>
            </w:r>
            <w:r w:rsidRPr="00BA7354">
              <w:rPr>
                <w:b/>
                <w:color w:val="000000"/>
              </w:rPr>
              <w:t xml:space="preserve"> Tax</w:t>
            </w:r>
          </w:p>
        </w:tc>
      </w:tr>
      <w:tr w:rsidR="00AF2ED5" w14:paraId="2256B70C" w14:textId="77777777" w:rsidTr="000218D0">
        <w:tc>
          <w:tcPr>
            <w:tcW w:w="2178" w:type="dxa"/>
            <w:tcBorders>
              <w:top w:val="single" w:sz="4" w:space="0" w:color="auto"/>
            </w:tcBorders>
          </w:tcPr>
          <w:p w14:paraId="2F5DD2BE" w14:textId="79769B33" w:rsidR="00AF2ED5" w:rsidRDefault="00AF2ED5" w:rsidP="00D422A0">
            <w:pPr>
              <w:spacing w:after="0" w:line="360" w:lineRule="auto"/>
              <w:rPr>
                <w:color w:val="000000"/>
              </w:rPr>
            </w:pPr>
            <w:r>
              <w:rPr>
                <w:color w:val="000000"/>
              </w:rPr>
              <w:t xml:space="preserve">0 to </w:t>
            </w:r>
            <w:r w:rsidR="000F62FF">
              <w:rPr>
                <w:color w:val="000000"/>
              </w:rPr>
              <w:t>5%</w:t>
            </w:r>
          </w:p>
        </w:tc>
        <w:tc>
          <w:tcPr>
            <w:tcW w:w="1710" w:type="dxa"/>
            <w:tcBorders>
              <w:top w:val="single" w:sz="4" w:space="0" w:color="auto"/>
            </w:tcBorders>
          </w:tcPr>
          <w:p w14:paraId="3D6A92E6" w14:textId="2B74D85A" w:rsidR="00AF2ED5" w:rsidRDefault="000F62FF" w:rsidP="00D422A0">
            <w:pPr>
              <w:spacing w:after="0" w:line="360" w:lineRule="auto"/>
              <w:rPr>
                <w:color w:val="000000"/>
              </w:rPr>
            </w:pPr>
            <w:r>
              <w:rPr>
                <w:color w:val="000000"/>
              </w:rPr>
              <w:t>4</w:t>
            </w:r>
          </w:p>
        </w:tc>
        <w:tc>
          <w:tcPr>
            <w:tcW w:w="1596" w:type="dxa"/>
            <w:tcBorders>
              <w:top w:val="single" w:sz="4" w:space="0" w:color="auto"/>
            </w:tcBorders>
          </w:tcPr>
          <w:p w14:paraId="3C924D28" w14:textId="0B6C57D6" w:rsidR="00AF2ED5" w:rsidRDefault="000F62FF" w:rsidP="00D422A0">
            <w:pPr>
              <w:spacing w:after="0" w:line="360" w:lineRule="auto"/>
              <w:rPr>
                <w:color w:val="000000"/>
              </w:rPr>
            </w:pPr>
            <w:r>
              <w:rPr>
                <w:color w:val="000000"/>
              </w:rPr>
              <w:t>65</w:t>
            </w:r>
          </w:p>
        </w:tc>
        <w:tc>
          <w:tcPr>
            <w:tcW w:w="1824" w:type="dxa"/>
            <w:tcBorders>
              <w:top w:val="single" w:sz="4" w:space="0" w:color="auto"/>
            </w:tcBorders>
          </w:tcPr>
          <w:p w14:paraId="53A6DBEF" w14:textId="73E8A26C" w:rsidR="00AF2ED5" w:rsidRDefault="000F62FF" w:rsidP="00D422A0">
            <w:pPr>
              <w:spacing w:after="0" w:line="360" w:lineRule="auto"/>
              <w:rPr>
                <w:color w:val="000000"/>
              </w:rPr>
            </w:pPr>
            <w:r>
              <w:rPr>
                <w:color w:val="000000"/>
              </w:rPr>
              <w:t>6</w:t>
            </w:r>
          </w:p>
        </w:tc>
      </w:tr>
      <w:tr w:rsidR="00AF2ED5" w14:paraId="5093FDB1" w14:textId="77777777" w:rsidTr="000218D0">
        <w:tc>
          <w:tcPr>
            <w:tcW w:w="2178" w:type="dxa"/>
          </w:tcPr>
          <w:p w14:paraId="73B9155B" w14:textId="562CF06F" w:rsidR="00AF2ED5" w:rsidRDefault="000F62FF" w:rsidP="00D422A0">
            <w:pPr>
              <w:spacing w:after="0" w:line="360" w:lineRule="auto"/>
              <w:rPr>
                <w:color w:val="000000"/>
              </w:rPr>
            </w:pPr>
            <w:r>
              <w:rPr>
                <w:color w:val="000000"/>
              </w:rPr>
              <w:t>5% to 10%</w:t>
            </w:r>
          </w:p>
        </w:tc>
        <w:tc>
          <w:tcPr>
            <w:tcW w:w="1710" w:type="dxa"/>
          </w:tcPr>
          <w:p w14:paraId="1E7547A3" w14:textId="137BC17A" w:rsidR="00AF2ED5" w:rsidRDefault="000F62FF" w:rsidP="00D422A0">
            <w:pPr>
              <w:spacing w:after="0" w:line="360" w:lineRule="auto"/>
              <w:rPr>
                <w:color w:val="000000"/>
              </w:rPr>
            </w:pPr>
            <w:r>
              <w:rPr>
                <w:color w:val="000000"/>
              </w:rPr>
              <w:t>57</w:t>
            </w:r>
          </w:p>
        </w:tc>
        <w:tc>
          <w:tcPr>
            <w:tcW w:w="1596" w:type="dxa"/>
          </w:tcPr>
          <w:p w14:paraId="1449EA32" w14:textId="56725AD2" w:rsidR="00AF2ED5" w:rsidRDefault="000F62FF" w:rsidP="00D422A0">
            <w:pPr>
              <w:spacing w:after="0" w:line="360" w:lineRule="auto"/>
              <w:rPr>
                <w:color w:val="000000"/>
              </w:rPr>
            </w:pPr>
            <w:r>
              <w:rPr>
                <w:color w:val="000000"/>
              </w:rPr>
              <w:t>61</w:t>
            </w:r>
          </w:p>
        </w:tc>
        <w:tc>
          <w:tcPr>
            <w:tcW w:w="1824" w:type="dxa"/>
          </w:tcPr>
          <w:p w14:paraId="72AA398E" w14:textId="3A020392" w:rsidR="00AF2ED5" w:rsidRDefault="000F62FF" w:rsidP="00D422A0">
            <w:pPr>
              <w:spacing w:after="0" w:line="360" w:lineRule="auto"/>
              <w:rPr>
                <w:color w:val="000000"/>
              </w:rPr>
            </w:pPr>
            <w:r>
              <w:rPr>
                <w:color w:val="000000"/>
              </w:rPr>
              <w:t>91</w:t>
            </w:r>
          </w:p>
        </w:tc>
      </w:tr>
      <w:tr w:rsidR="00AF2ED5" w14:paraId="0A0C828A" w14:textId="77777777" w:rsidTr="000218D0">
        <w:tc>
          <w:tcPr>
            <w:tcW w:w="2178" w:type="dxa"/>
          </w:tcPr>
          <w:p w14:paraId="587853A1" w14:textId="1510A460" w:rsidR="00AF2ED5" w:rsidRDefault="000F62FF" w:rsidP="00D422A0">
            <w:pPr>
              <w:spacing w:after="0" w:line="360" w:lineRule="auto"/>
              <w:rPr>
                <w:color w:val="000000"/>
              </w:rPr>
            </w:pPr>
            <w:r>
              <w:rPr>
                <w:color w:val="000000"/>
              </w:rPr>
              <w:t>10% to 15%</w:t>
            </w:r>
          </w:p>
        </w:tc>
        <w:tc>
          <w:tcPr>
            <w:tcW w:w="1710" w:type="dxa"/>
          </w:tcPr>
          <w:p w14:paraId="1B2D29A6" w14:textId="6408ADD5" w:rsidR="00AF2ED5" w:rsidRDefault="000F62FF" w:rsidP="00D422A0">
            <w:pPr>
              <w:spacing w:after="0" w:line="360" w:lineRule="auto"/>
              <w:rPr>
                <w:color w:val="000000"/>
              </w:rPr>
            </w:pPr>
            <w:r>
              <w:rPr>
                <w:color w:val="000000"/>
              </w:rPr>
              <w:t>97</w:t>
            </w:r>
          </w:p>
        </w:tc>
        <w:tc>
          <w:tcPr>
            <w:tcW w:w="1596" w:type="dxa"/>
          </w:tcPr>
          <w:p w14:paraId="2EA376D5" w14:textId="7C131F53" w:rsidR="00AF2ED5" w:rsidRDefault="000F62FF" w:rsidP="00D422A0">
            <w:pPr>
              <w:spacing w:after="0" w:line="360" w:lineRule="auto"/>
              <w:rPr>
                <w:color w:val="000000"/>
              </w:rPr>
            </w:pPr>
            <w:r>
              <w:rPr>
                <w:color w:val="000000"/>
              </w:rPr>
              <w:t>24</w:t>
            </w:r>
          </w:p>
        </w:tc>
        <w:tc>
          <w:tcPr>
            <w:tcW w:w="1824" w:type="dxa"/>
          </w:tcPr>
          <w:p w14:paraId="5012A5B1" w14:textId="7FA3DD08" w:rsidR="00AF2ED5" w:rsidRDefault="000F62FF" w:rsidP="00D422A0">
            <w:pPr>
              <w:spacing w:after="0" w:line="360" w:lineRule="auto"/>
              <w:rPr>
                <w:color w:val="000000"/>
              </w:rPr>
            </w:pPr>
            <w:r>
              <w:rPr>
                <w:color w:val="000000"/>
              </w:rPr>
              <w:t>58</w:t>
            </w:r>
          </w:p>
        </w:tc>
      </w:tr>
      <w:tr w:rsidR="000F62FF" w14:paraId="2B7E43BE" w14:textId="77777777" w:rsidTr="000218D0">
        <w:tc>
          <w:tcPr>
            <w:tcW w:w="2178" w:type="dxa"/>
          </w:tcPr>
          <w:p w14:paraId="613B019E" w14:textId="25F99D6D" w:rsidR="000F62FF" w:rsidRDefault="000F62FF" w:rsidP="00D422A0">
            <w:pPr>
              <w:spacing w:after="0" w:line="360" w:lineRule="auto"/>
              <w:rPr>
                <w:color w:val="000000"/>
              </w:rPr>
            </w:pPr>
            <w:r>
              <w:rPr>
                <w:color w:val="000000"/>
              </w:rPr>
              <w:t>15% to 20%</w:t>
            </w:r>
          </w:p>
        </w:tc>
        <w:tc>
          <w:tcPr>
            <w:tcW w:w="1710" w:type="dxa"/>
          </w:tcPr>
          <w:p w14:paraId="2FB9E849" w14:textId="3C01A723" w:rsidR="000F62FF" w:rsidRDefault="000F62FF" w:rsidP="00D422A0">
            <w:pPr>
              <w:spacing w:after="0" w:line="360" w:lineRule="auto"/>
              <w:rPr>
                <w:color w:val="000000"/>
              </w:rPr>
            </w:pPr>
            <w:r>
              <w:rPr>
                <w:color w:val="000000"/>
              </w:rPr>
              <w:t>8</w:t>
            </w:r>
          </w:p>
        </w:tc>
        <w:tc>
          <w:tcPr>
            <w:tcW w:w="1596" w:type="dxa"/>
          </w:tcPr>
          <w:p w14:paraId="0A1102DA" w14:textId="04A5A8B8" w:rsidR="000F62FF" w:rsidRDefault="000F62FF" w:rsidP="00D422A0">
            <w:pPr>
              <w:spacing w:after="0" w:line="360" w:lineRule="auto"/>
              <w:rPr>
                <w:color w:val="000000"/>
              </w:rPr>
            </w:pPr>
            <w:r>
              <w:rPr>
                <w:color w:val="000000"/>
              </w:rPr>
              <w:t>7</w:t>
            </w:r>
          </w:p>
        </w:tc>
        <w:tc>
          <w:tcPr>
            <w:tcW w:w="1824" w:type="dxa"/>
          </w:tcPr>
          <w:p w14:paraId="49A71FDD" w14:textId="1F9FEFB7" w:rsidR="000F62FF" w:rsidRDefault="000F62FF" w:rsidP="00D422A0">
            <w:pPr>
              <w:spacing w:after="0" w:line="360" w:lineRule="auto"/>
              <w:rPr>
                <w:color w:val="000000"/>
              </w:rPr>
            </w:pPr>
            <w:r>
              <w:rPr>
                <w:color w:val="000000"/>
              </w:rPr>
              <w:t>10</w:t>
            </w:r>
          </w:p>
        </w:tc>
      </w:tr>
      <w:tr w:rsidR="000F62FF" w14:paraId="17AEA6D3" w14:textId="77777777" w:rsidTr="000218D0">
        <w:tc>
          <w:tcPr>
            <w:tcW w:w="2178" w:type="dxa"/>
            <w:tcBorders>
              <w:bottom w:val="single" w:sz="4" w:space="0" w:color="auto"/>
            </w:tcBorders>
          </w:tcPr>
          <w:p w14:paraId="6B698A05" w14:textId="2242B363" w:rsidR="000F62FF" w:rsidRDefault="000F62FF" w:rsidP="00D422A0">
            <w:pPr>
              <w:spacing w:after="0" w:line="360" w:lineRule="auto"/>
              <w:rPr>
                <w:color w:val="000000"/>
              </w:rPr>
            </w:pPr>
            <w:r>
              <w:rPr>
                <w:color w:val="000000"/>
              </w:rPr>
              <w:t>20% of more</w:t>
            </w:r>
          </w:p>
        </w:tc>
        <w:tc>
          <w:tcPr>
            <w:tcW w:w="1710" w:type="dxa"/>
            <w:tcBorders>
              <w:bottom w:val="single" w:sz="4" w:space="0" w:color="auto"/>
            </w:tcBorders>
          </w:tcPr>
          <w:p w14:paraId="4AE0E564" w14:textId="2675ACA1" w:rsidR="000F62FF" w:rsidRDefault="000F62FF" w:rsidP="00D422A0">
            <w:pPr>
              <w:spacing w:after="0" w:line="360" w:lineRule="auto"/>
              <w:rPr>
                <w:color w:val="000000"/>
              </w:rPr>
            </w:pPr>
            <w:r>
              <w:rPr>
                <w:color w:val="000000"/>
              </w:rPr>
              <w:t>3</w:t>
            </w:r>
          </w:p>
        </w:tc>
        <w:tc>
          <w:tcPr>
            <w:tcW w:w="1596" w:type="dxa"/>
            <w:tcBorders>
              <w:bottom w:val="single" w:sz="4" w:space="0" w:color="auto"/>
            </w:tcBorders>
          </w:tcPr>
          <w:p w14:paraId="30CD05AB" w14:textId="62464E2B" w:rsidR="000F62FF" w:rsidRDefault="000F62FF" w:rsidP="00D422A0">
            <w:pPr>
              <w:spacing w:after="0" w:line="360" w:lineRule="auto"/>
              <w:rPr>
                <w:color w:val="000000"/>
              </w:rPr>
            </w:pPr>
            <w:r>
              <w:rPr>
                <w:color w:val="000000"/>
              </w:rPr>
              <w:t>12</w:t>
            </w:r>
          </w:p>
        </w:tc>
        <w:tc>
          <w:tcPr>
            <w:tcW w:w="1824" w:type="dxa"/>
            <w:tcBorders>
              <w:bottom w:val="single" w:sz="4" w:space="0" w:color="auto"/>
            </w:tcBorders>
          </w:tcPr>
          <w:p w14:paraId="445F50E1" w14:textId="55BC14BF" w:rsidR="000F62FF" w:rsidRDefault="000F62FF" w:rsidP="00D422A0">
            <w:pPr>
              <w:spacing w:after="0" w:line="360" w:lineRule="auto"/>
              <w:rPr>
                <w:color w:val="000000"/>
              </w:rPr>
            </w:pPr>
            <w:r>
              <w:rPr>
                <w:color w:val="000000"/>
              </w:rPr>
              <w:t>4</w:t>
            </w:r>
          </w:p>
        </w:tc>
      </w:tr>
    </w:tbl>
    <w:p w14:paraId="2162690B" w14:textId="77777777" w:rsidR="00AF2ED5" w:rsidRDefault="00AF2ED5" w:rsidP="00D422A0">
      <w:pPr>
        <w:spacing w:after="0" w:line="480" w:lineRule="auto"/>
        <w:ind w:firstLine="720"/>
        <w:rPr>
          <w:color w:val="000000"/>
        </w:rPr>
      </w:pPr>
    </w:p>
    <w:p w14:paraId="453CD5DE" w14:textId="6C46F405" w:rsidR="003F041B" w:rsidRDefault="00C974BA" w:rsidP="00495617">
      <w:pPr>
        <w:spacing w:after="0" w:line="360" w:lineRule="auto"/>
        <w:ind w:firstLine="720"/>
        <w:rPr>
          <w:color w:val="000000"/>
        </w:rPr>
      </w:pPr>
      <w:r>
        <w:rPr>
          <w:color w:val="000000"/>
        </w:rPr>
        <w:t xml:space="preserve">Table </w:t>
      </w:r>
      <w:r w:rsidR="000218D0">
        <w:rPr>
          <w:color w:val="000000"/>
        </w:rPr>
        <w:t>8</w:t>
      </w:r>
      <w:r>
        <w:rPr>
          <w:color w:val="000000"/>
        </w:rPr>
        <w:t xml:space="preserve"> present</w:t>
      </w:r>
      <w:r w:rsidR="00240F3F">
        <w:rPr>
          <w:color w:val="000000"/>
        </w:rPr>
        <w:t xml:space="preserve"> total and per capita</w:t>
      </w:r>
      <w:r w:rsidR="00AC7200">
        <w:rPr>
          <w:color w:val="000000"/>
        </w:rPr>
        <w:t xml:space="preserve"> </w:t>
      </w:r>
      <w:r>
        <w:rPr>
          <w:color w:val="000000"/>
        </w:rPr>
        <w:t>income tax revenue estim</w:t>
      </w:r>
      <w:r w:rsidR="00240F3F">
        <w:rPr>
          <w:color w:val="000000"/>
        </w:rPr>
        <w:t xml:space="preserve">ates for the 23 sample cities, while </w:t>
      </w:r>
      <w:r w:rsidR="00B2221D">
        <w:rPr>
          <w:color w:val="000000"/>
        </w:rPr>
        <w:t>T</w:t>
      </w:r>
      <w:r w:rsidR="00240F3F">
        <w:rPr>
          <w:color w:val="000000"/>
        </w:rPr>
        <w:t xml:space="preserve">able </w:t>
      </w:r>
      <w:r w:rsidR="000218D0">
        <w:rPr>
          <w:color w:val="000000"/>
        </w:rPr>
        <w:t>9</w:t>
      </w:r>
      <w:r w:rsidR="00240F3F">
        <w:rPr>
          <w:color w:val="000000"/>
        </w:rPr>
        <w:t xml:space="preserve"> shows the possible percentage reduction in property tax revenue.  </w:t>
      </w:r>
      <w:r w:rsidR="009D0F19">
        <w:rPr>
          <w:color w:val="000000"/>
        </w:rPr>
        <w:t>The tables illustrate the points made above.</w:t>
      </w:r>
    </w:p>
    <w:p w14:paraId="790C58ED" w14:textId="77777777" w:rsidR="003F041B" w:rsidRDefault="003F041B">
      <w:pPr>
        <w:spacing w:after="0" w:line="240" w:lineRule="auto"/>
        <w:rPr>
          <w:color w:val="000000"/>
        </w:rPr>
      </w:pPr>
      <w:r>
        <w:rPr>
          <w:color w:val="000000"/>
        </w:rPr>
        <w:br w:type="page"/>
      </w:r>
    </w:p>
    <w:tbl>
      <w:tblPr>
        <w:tblW w:w="9705" w:type="dxa"/>
        <w:tblInd w:w="108" w:type="dxa"/>
        <w:tblLook w:val="04A0" w:firstRow="1" w:lastRow="0" w:firstColumn="1" w:lastColumn="0" w:noHBand="0" w:noVBand="1"/>
      </w:tblPr>
      <w:tblGrid>
        <w:gridCol w:w="1800"/>
        <w:gridCol w:w="986"/>
        <w:gridCol w:w="974"/>
        <w:gridCol w:w="1280"/>
        <w:gridCol w:w="791"/>
        <w:gridCol w:w="986"/>
        <w:gridCol w:w="791"/>
        <w:gridCol w:w="1121"/>
        <w:gridCol w:w="320"/>
        <w:gridCol w:w="592"/>
        <w:gridCol w:w="64"/>
      </w:tblGrid>
      <w:tr w:rsidR="00240F3F" w:rsidRPr="009D5939" w14:paraId="469E6D98" w14:textId="77777777" w:rsidTr="004D3334">
        <w:trPr>
          <w:gridAfter w:val="1"/>
          <w:wAfter w:w="64" w:type="dxa"/>
          <w:trHeight w:hRule="exact" w:val="604"/>
        </w:trPr>
        <w:tc>
          <w:tcPr>
            <w:tcW w:w="9641" w:type="dxa"/>
            <w:gridSpan w:val="10"/>
            <w:tcBorders>
              <w:left w:val="nil"/>
              <w:right w:val="nil"/>
            </w:tcBorders>
            <w:shd w:val="clear" w:color="auto" w:fill="auto"/>
            <w:noWrap/>
            <w:vAlign w:val="bottom"/>
          </w:tcPr>
          <w:p w14:paraId="0F3A320A" w14:textId="1298A49D" w:rsidR="00240F3F" w:rsidRDefault="000218D0" w:rsidP="005831B2">
            <w:pPr>
              <w:pStyle w:val="Heading4"/>
              <w:rPr>
                <w:lang w:bidi="ar-SA"/>
              </w:rPr>
            </w:pPr>
            <w:bookmarkStart w:id="102" w:name="_Toc433373696"/>
            <w:r>
              <w:rPr>
                <w:lang w:bidi="ar-SA"/>
              </w:rPr>
              <w:lastRenderedPageBreak/>
              <w:t>Table 8</w:t>
            </w:r>
            <w:r w:rsidR="00240F3F" w:rsidRPr="008A2782">
              <w:rPr>
                <w:lang w:bidi="ar-SA"/>
              </w:rPr>
              <w:t>. Local Income Tax Revenue</w:t>
            </w:r>
            <w:bookmarkEnd w:id="102"/>
          </w:p>
        </w:tc>
      </w:tr>
      <w:tr w:rsidR="00240F3F" w:rsidRPr="009D5939" w14:paraId="325201F7" w14:textId="77777777" w:rsidTr="00455BF8">
        <w:trPr>
          <w:gridAfter w:val="1"/>
          <w:wAfter w:w="64" w:type="dxa"/>
          <w:trHeight w:hRule="exact" w:val="271"/>
        </w:trPr>
        <w:tc>
          <w:tcPr>
            <w:tcW w:w="1800" w:type="dxa"/>
            <w:tcBorders>
              <w:top w:val="single" w:sz="4" w:space="0" w:color="auto"/>
              <w:left w:val="nil"/>
              <w:right w:val="nil"/>
            </w:tcBorders>
            <w:shd w:val="clear" w:color="auto" w:fill="auto"/>
            <w:noWrap/>
            <w:vAlign w:val="bottom"/>
          </w:tcPr>
          <w:p w14:paraId="46DF3064" w14:textId="77777777" w:rsidR="00240F3F" w:rsidRPr="008A2782" w:rsidRDefault="00240F3F" w:rsidP="00D422A0">
            <w:pPr>
              <w:spacing w:after="0" w:line="240" w:lineRule="auto"/>
              <w:jc w:val="center"/>
              <w:rPr>
                <w:color w:val="000000"/>
                <w:sz w:val="22"/>
                <w:szCs w:val="22"/>
                <w:lang w:bidi="ar-SA"/>
              </w:rPr>
            </w:pPr>
          </w:p>
        </w:tc>
        <w:tc>
          <w:tcPr>
            <w:tcW w:w="1960" w:type="dxa"/>
            <w:gridSpan w:val="2"/>
            <w:tcBorders>
              <w:top w:val="single" w:sz="4" w:space="0" w:color="auto"/>
              <w:left w:val="nil"/>
              <w:right w:val="nil"/>
            </w:tcBorders>
            <w:shd w:val="clear" w:color="auto" w:fill="auto"/>
            <w:noWrap/>
            <w:vAlign w:val="bottom"/>
          </w:tcPr>
          <w:p w14:paraId="7B5053CD" w14:textId="58453350" w:rsidR="00240F3F" w:rsidRPr="008A2782" w:rsidRDefault="003A0E22" w:rsidP="003A0E22">
            <w:pPr>
              <w:spacing w:after="0" w:line="240" w:lineRule="auto"/>
              <w:jc w:val="center"/>
              <w:rPr>
                <w:color w:val="000000"/>
                <w:sz w:val="22"/>
                <w:szCs w:val="22"/>
                <w:lang w:bidi="ar-SA"/>
              </w:rPr>
            </w:pPr>
            <w:r>
              <w:rPr>
                <w:color w:val="000000"/>
                <w:sz w:val="22"/>
                <w:szCs w:val="22"/>
                <w:lang w:bidi="ar-SA"/>
              </w:rPr>
              <w:t>[</w:t>
            </w:r>
            <w:r w:rsidR="00240F3F">
              <w:rPr>
                <w:color w:val="000000"/>
                <w:sz w:val="22"/>
                <w:szCs w:val="22"/>
                <w:lang w:bidi="ar-SA"/>
              </w:rPr>
              <w:t>1</w:t>
            </w:r>
            <w:r>
              <w:rPr>
                <w:color w:val="000000"/>
                <w:sz w:val="22"/>
                <w:szCs w:val="22"/>
                <w:lang w:bidi="ar-SA"/>
              </w:rPr>
              <w:t>]</w:t>
            </w:r>
          </w:p>
        </w:tc>
        <w:tc>
          <w:tcPr>
            <w:tcW w:w="2071" w:type="dxa"/>
            <w:gridSpan w:val="2"/>
            <w:tcBorders>
              <w:top w:val="single" w:sz="4" w:space="0" w:color="auto"/>
              <w:left w:val="nil"/>
              <w:right w:val="nil"/>
            </w:tcBorders>
            <w:shd w:val="clear" w:color="auto" w:fill="auto"/>
            <w:noWrap/>
            <w:vAlign w:val="bottom"/>
          </w:tcPr>
          <w:p w14:paraId="53ABD9C1" w14:textId="1872425E" w:rsidR="00240F3F" w:rsidRPr="008A2782" w:rsidRDefault="003A0E22" w:rsidP="00D422A0">
            <w:pPr>
              <w:spacing w:after="0" w:line="240" w:lineRule="auto"/>
              <w:jc w:val="center"/>
              <w:rPr>
                <w:color w:val="000000"/>
                <w:sz w:val="22"/>
                <w:szCs w:val="22"/>
                <w:lang w:bidi="ar-SA"/>
              </w:rPr>
            </w:pPr>
            <w:r>
              <w:rPr>
                <w:color w:val="000000"/>
                <w:sz w:val="22"/>
                <w:szCs w:val="22"/>
                <w:lang w:bidi="ar-SA"/>
              </w:rPr>
              <w:t>[2]</w:t>
            </w:r>
          </w:p>
        </w:tc>
        <w:tc>
          <w:tcPr>
            <w:tcW w:w="1777" w:type="dxa"/>
            <w:gridSpan w:val="2"/>
            <w:tcBorders>
              <w:top w:val="single" w:sz="4" w:space="0" w:color="auto"/>
              <w:left w:val="nil"/>
              <w:right w:val="nil"/>
            </w:tcBorders>
            <w:shd w:val="clear" w:color="auto" w:fill="auto"/>
            <w:noWrap/>
            <w:vAlign w:val="bottom"/>
          </w:tcPr>
          <w:p w14:paraId="02CDABBE" w14:textId="002F12A2" w:rsidR="00240F3F" w:rsidRPr="008A2782" w:rsidRDefault="003A0E22" w:rsidP="00D422A0">
            <w:pPr>
              <w:spacing w:after="0" w:line="240" w:lineRule="auto"/>
              <w:jc w:val="center"/>
              <w:rPr>
                <w:color w:val="000000"/>
                <w:sz w:val="22"/>
                <w:szCs w:val="22"/>
                <w:lang w:bidi="ar-SA"/>
              </w:rPr>
            </w:pPr>
            <w:r>
              <w:rPr>
                <w:color w:val="000000"/>
                <w:sz w:val="22"/>
                <w:szCs w:val="22"/>
                <w:lang w:bidi="ar-SA"/>
              </w:rPr>
              <w:t>[3]</w:t>
            </w:r>
          </w:p>
        </w:tc>
        <w:tc>
          <w:tcPr>
            <w:tcW w:w="2033" w:type="dxa"/>
            <w:gridSpan w:val="3"/>
            <w:tcBorders>
              <w:top w:val="single" w:sz="4" w:space="0" w:color="auto"/>
              <w:left w:val="nil"/>
              <w:right w:val="nil"/>
            </w:tcBorders>
            <w:shd w:val="clear" w:color="auto" w:fill="auto"/>
            <w:noWrap/>
            <w:vAlign w:val="bottom"/>
          </w:tcPr>
          <w:p w14:paraId="27423758" w14:textId="66CC111C" w:rsidR="00240F3F" w:rsidRPr="008A2782" w:rsidRDefault="003A0E22" w:rsidP="00D422A0">
            <w:pPr>
              <w:spacing w:after="0" w:line="240" w:lineRule="auto"/>
              <w:jc w:val="center"/>
              <w:rPr>
                <w:color w:val="000000"/>
                <w:sz w:val="22"/>
                <w:szCs w:val="22"/>
                <w:lang w:bidi="ar-SA"/>
              </w:rPr>
            </w:pPr>
            <w:r>
              <w:rPr>
                <w:color w:val="000000"/>
                <w:sz w:val="22"/>
                <w:szCs w:val="22"/>
                <w:lang w:bidi="ar-SA"/>
              </w:rPr>
              <w:t>[4]</w:t>
            </w:r>
          </w:p>
        </w:tc>
      </w:tr>
      <w:tr w:rsidR="00240F3F" w:rsidRPr="009D5939" w14:paraId="3AD666DE" w14:textId="77777777" w:rsidTr="00455BF8">
        <w:trPr>
          <w:gridAfter w:val="1"/>
          <w:wAfter w:w="64" w:type="dxa"/>
          <w:trHeight w:hRule="exact" w:val="531"/>
        </w:trPr>
        <w:tc>
          <w:tcPr>
            <w:tcW w:w="1800" w:type="dxa"/>
            <w:tcBorders>
              <w:left w:val="nil"/>
              <w:right w:val="nil"/>
            </w:tcBorders>
            <w:shd w:val="clear" w:color="auto" w:fill="auto"/>
            <w:noWrap/>
            <w:vAlign w:val="bottom"/>
          </w:tcPr>
          <w:p w14:paraId="0F2226CB" w14:textId="77777777" w:rsidR="00240F3F" w:rsidRPr="008A2782" w:rsidRDefault="00240F3F" w:rsidP="00D422A0">
            <w:pPr>
              <w:spacing w:after="0" w:line="240" w:lineRule="auto"/>
              <w:jc w:val="center"/>
              <w:rPr>
                <w:color w:val="000000"/>
                <w:sz w:val="22"/>
                <w:szCs w:val="22"/>
                <w:lang w:bidi="ar-SA"/>
              </w:rPr>
            </w:pPr>
          </w:p>
        </w:tc>
        <w:tc>
          <w:tcPr>
            <w:tcW w:w="1960" w:type="dxa"/>
            <w:gridSpan w:val="2"/>
            <w:tcBorders>
              <w:left w:val="nil"/>
              <w:bottom w:val="single" w:sz="4" w:space="0" w:color="auto"/>
              <w:right w:val="nil"/>
            </w:tcBorders>
            <w:shd w:val="clear" w:color="auto" w:fill="auto"/>
            <w:noWrap/>
            <w:vAlign w:val="bottom"/>
          </w:tcPr>
          <w:p w14:paraId="2C36E6DB" w14:textId="343FE242" w:rsidR="00240F3F" w:rsidRPr="008A2782" w:rsidRDefault="00240F3F" w:rsidP="00D422A0">
            <w:pPr>
              <w:spacing w:after="0" w:line="240" w:lineRule="auto"/>
              <w:jc w:val="center"/>
              <w:rPr>
                <w:color w:val="000000"/>
                <w:sz w:val="22"/>
                <w:szCs w:val="22"/>
                <w:lang w:bidi="ar-SA"/>
              </w:rPr>
            </w:pPr>
            <w:r w:rsidRPr="008A2782">
              <w:rPr>
                <w:color w:val="000000"/>
                <w:sz w:val="22"/>
                <w:szCs w:val="22"/>
                <w:lang w:bidi="ar-SA"/>
              </w:rPr>
              <w:t>AGI</w:t>
            </w:r>
            <w:r w:rsidR="003A0E22">
              <w:rPr>
                <w:color w:val="000000"/>
                <w:sz w:val="22"/>
                <w:szCs w:val="22"/>
                <w:lang w:bidi="ar-SA"/>
              </w:rPr>
              <w:t xml:space="preserve"> Tax</w:t>
            </w:r>
          </w:p>
        </w:tc>
        <w:tc>
          <w:tcPr>
            <w:tcW w:w="2071" w:type="dxa"/>
            <w:gridSpan w:val="2"/>
            <w:tcBorders>
              <w:left w:val="nil"/>
              <w:bottom w:val="single" w:sz="4" w:space="0" w:color="auto"/>
              <w:right w:val="nil"/>
            </w:tcBorders>
            <w:shd w:val="clear" w:color="auto" w:fill="auto"/>
            <w:noWrap/>
            <w:vAlign w:val="bottom"/>
          </w:tcPr>
          <w:p w14:paraId="5143205F" w14:textId="1918D9FF" w:rsidR="00240F3F" w:rsidRPr="008A2782" w:rsidRDefault="00240F3F" w:rsidP="004D3334">
            <w:pPr>
              <w:spacing w:after="0" w:line="240" w:lineRule="auto"/>
              <w:jc w:val="center"/>
              <w:rPr>
                <w:color w:val="000000"/>
                <w:sz w:val="22"/>
                <w:szCs w:val="22"/>
                <w:lang w:bidi="ar-SA"/>
              </w:rPr>
            </w:pPr>
            <w:r w:rsidRPr="008A2782">
              <w:rPr>
                <w:color w:val="000000"/>
                <w:sz w:val="22"/>
                <w:szCs w:val="22"/>
                <w:lang w:bidi="ar-SA"/>
              </w:rPr>
              <w:t xml:space="preserve">Income </w:t>
            </w:r>
            <w:r w:rsidR="004D3334">
              <w:rPr>
                <w:color w:val="000000"/>
                <w:sz w:val="22"/>
                <w:szCs w:val="22"/>
                <w:lang w:bidi="ar-SA"/>
              </w:rPr>
              <w:t>Surtax</w:t>
            </w:r>
          </w:p>
        </w:tc>
        <w:tc>
          <w:tcPr>
            <w:tcW w:w="1777" w:type="dxa"/>
            <w:gridSpan w:val="2"/>
            <w:tcBorders>
              <w:left w:val="nil"/>
              <w:bottom w:val="single" w:sz="4" w:space="0" w:color="auto"/>
              <w:right w:val="nil"/>
            </w:tcBorders>
            <w:shd w:val="clear" w:color="auto" w:fill="auto"/>
            <w:noWrap/>
            <w:vAlign w:val="bottom"/>
          </w:tcPr>
          <w:p w14:paraId="173DBAED" w14:textId="3A884546" w:rsidR="00240F3F" w:rsidRPr="008A2782" w:rsidRDefault="003A0E22" w:rsidP="00D422A0">
            <w:pPr>
              <w:spacing w:after="0" w:line="240" w:lineRule="auto"/>
              <w:jc w:val="center"/>
              <w:rPr>
                <w:color w:val="000000"/>
                <w:sz w:val="22"/>
                <w:szCs w:val="22"/>
                <w:lang w:bidi="ar-SA"/>
              </w:rPr>
            </w:pPr>
            <w:r>
              <w:rPr>
                <w:color w:val="000000"/>
                <w:sz w:val="22"/>
                <w:szCs w:val="22"/>
                <w:lang w:bidi="ar-SA"/>
              </w:rPr>
              <w:t>Payroll Tax</w:t>
            </w:r>
          </w:p>
        </w:tc>
        <w:tc>
          <w:tcPr>
            <w:tcW w:w="2033" w:type="dxa"/>
            <w:gridSpan w:val="3"/>
            <w:tcBorders>
              <w:left w:val="nil"/>
              <w:bottom w:val="single" w:sz="4" w:space="0" w:color="auto"/>
              <w:right w:val="nil"/>
            </w:tcBorders>
            <w:shd w:val="clear" w:color="auto" w:fill="auto"/>
            <w:noWrap/>
            <w:vAlign w:val="bottom"/>
          </w:tcPr>
          <w:p w14:paraId="3638C47B" w14:textId="601EFF0B" w:rsidR="00240F3F" w:rsidRPr="008A2782" w:rsidRDefault="00240F3F" w:rsidP="003A0E22">
            <w:pPr>
              <w:spacing w:after="0" w:line="240" w:lineRule="auto"/>
              <w:jc w:val="center"/>
              <w:rPr>
                <w:color w:val="000000"/>
                <w:sz w:val="22"/>
                <w:szCs w:val="22"/>
                <w:lang w:bidi="ar-SA"/>
              </w:rPr>
            </w:pPr>
            <w:r w:rsidRPr="008A2782">
              <w:rPr>
                <w:color w:val="000000"/>
                <w:sz w:val="22"/>
                <w:szCs w:val="22"/>
                <w:lang w:bidi="ar-SA"/>
              </w:rPr>
              <w:t xml:space="preserve">Split </w:t>
            </w:r>
            <w:r w:rsidR="003A0E22" w:rsidRPr="008A2782">
              <w:rPr>
                <w:color w:val="000000"/>
                <w:sz w:val="22"/>
                <w:szCs w:val="22"/>
                <w:lang w:bidi="ar-SA"/>
              </w:rPr>
              <w:t xml:space="preserve">Earnings </w:t>
            </w:r>
            <w:r w:rsidR="003A0E22">
              <w:rPr>
                <w:color w:val="000000"/>
                <w:sz w:val="22"/>
                <w:szCs w:val="22"/>
                <w:lang w:bidi="ar-SA"/>
              </w:rPr>
              <w:t>Tax</w:t>
            </w:r>
          </w:p>
        </w:tc>
      </w:tr>
      <w:tr w:rsidR="00240F3F" w:rsidRPr="009D5939" w14:paraId="0F68151A" w14:textId="77777777" w:rsidTr="00455BF8">
        <w:trPr>
          <w:gridAfter w:val="1"/>
          <w:wAfter w:w="64" w:type="dxa"/>
          <w:trHeight w:hRule="exact" w:val="541"/>
        </w:trPr>
        <w:tc>
          <w:tcPr>
            <w:tcW w:w="1800" w:type="dxa"/>
            <w:tcBorders>
              <w:left w:val="nil"/>
              <w:bottom w:val="single" w:sz="4" w:space="0" w:color="auto"/>
              <w:right w:val="nil"/>
            </w:tcBorders>
            <w:shd w:val="clear" w:color="auto" w:fill="auto"/>
            <w:noWrap/>
            <w:vAlign w:val="bottom"/>
            <w:hideMark/>
          </w:tcPr>
          <w:p w14:paraId="4E3537BA" w14:textId="77777777" w:rsidR="00240F3F" w:rsidRPr="008A2782" w:rsidRDefault="00240F3F" w:rsidP="00D422A0">
            <w:pPr>
              <w:spacing w:after="0" w:line="240" w:lineRule="auto"/>
              <w:jc w:val="center"/>
              <w:rPr>
                <w:color w:val="000000"/>
                <w:sz w:val="22"/>
                <w:szCs w:val="22"/>
                <w:lang w:bidi="ar-SA"/>
              </w:rPr>
            </w:pPr>
          </w:p>
        </w:tc>
        <w:tc>
          <w:tcPr>
            <w:tcW w:w="986" w:type="dxa"/>
            <w:tcBorders>
              <w:top w:val="nil"/>
              <w:left w:val="nil"/>
              <w:bottom w:val="single" w:sz="4" w:space="0" w:color="auto"/>
              <w:right w:val="nil"/>
            </w:tcBorders>
            <w:shd w:val="clear" w:color="auto" w:fill="auto"/>
            <w:noWrap/>
            <w:vAlign w:val="bottom"/>
          </w:tcPr>
          <w:p w14:paraId="6AA7B5AE" w14:textId="77777777" w:rsidR="00240F3F" w:rsidRPr="008A2782" w:rsidRDefault="00240F3F" w:rsidP="00D422A0">
            <w:pPr>
              <w:spacing w:after="0" w:line="240" w:lineRule="auto"/>
              <w:jc w:val="center"/>
              <w:rPr>
                <w:color w:val="000000"/>
                <w:sz w:val="22"/>
                <w:szCs w:val="22"/>
                <w:lang w:bidi="ar-SA"/>
              </w:rPr>
            </w:pPr>
            <w:r w:rsidRPr="008A2782">
              <w:rPr>
                <w:color w:val="000000"/>
                <w:sz w:val="22"/>
                <w:szCs w:val="22"/>
                <w:lang w:bidi="ar-SA"/>
              </w:rPr>
              <w:t>Total ($1,000)</w:t>
            </w:r>
          </w:p>
        </w:tc>
        <w:tc>
          <w:tcPr>
            <w:tcW w:w="974" w:type="dxa"/>
            <w:tcBorders>
              <w:top w:val="nil"/>
              <w:left w:val="nil"/>
              <w:bottom w:val="single" w:sz="4" w:space="0" w:color="auto"/>
              <w:right w:val="nil"/>
            </w:tcBorders>
            <w:shd w:val="clear" w:color="auto" w:fill="auto"/>
            <w:noWrap/>
            <w:vAlign w:val="bottom"/>
          </w:tcPr>
          <w:p w14:paraId="3EF1CF9E" w14:textId="77777777" w:rsidR="00240F3F" w:rsidRPr="008A2782" w:rsidRDefault="00240F3F" w:rsidP="00D422A0">
            <w:pPr>
              <w:spacing w:after="0" w:line="240" w:lineRule="auto"/>
              <w:jc w:val="center"/>
              <w:rPr>
                <w:color w:val="000000"/>
                <w:sz w:val="22"/>
                <w:szCs w:val="22"/>
                <w:lang w:bidi="ar-SA"/>
              </w:rPr>
            </w:pPr>
            <w:r w:rsidRPr="008A2782">
              <w:rPr>
                <w:color w:val="000000"/>
                <w:sz w:val="22"/>
                <w:szCs w:val="22"/>
                <w:lang w:bidi="ar-SA"/>
              </w:rPr>
              <w:t>Per Capita</w:t>
            </w:r>
          </w:p>
        </w:tc>
        <w:tc>
          <w:tcPr>
            <w:tcW w:w="1280" w:type="dxa"/>
            <w:tcBorders>
              <w:top w:val="nil"/>
              <w:left w:val="nil"/>
              <w:bottom w:val="single" w:sz="4" w:space="0" w:color="auto"/>
              <w:right w:val="nil"/>
            </w:tcBorders>
            <w:shd w:val="clear" w:color="auto" w:fill="auto"/>
            <w:noWrap/>
            <w:vAlign w:val="bottom"/>
          </w:tcPr>
          <w:p w14:paraId="5DB6C074" w14:textId="77777777" w:rsidR="00240F3F" w:rsidRPr="008A2782" w:rsidRDefault="00240F3F" w:rsidP="00D422A0">
            <w:pPr>
              <w:spacing w:after="0" w:line="240" w:lineRule="auto"/>
              <w:jc w:val="center"/>
              <w:rPr>
                <w:color w:val="000000"/>
                <w:sz w:val="22"/>
                <w:szCs w:val="22"/>
                <w:lang w:bidi="ar-SA"/>
              </w:rPr>
            </w:pPr>
            <w:r w:rsidRPr="008A2782">
              <w:rPr>
                <w:color w:val="000000"/>
                <w:sz w:val="22"/>
                <w:szCs w:val="22"/>
                <w:lang w:bidi="ar-SA"/>
              </w:rPr>
              <w:t>Total ($1,000)</w:t>
            </w:r>
          </w:p>
        </w:tc>
        <w:tc>
          <w:tcPr>
            <w:tcW w:w="791" w:type="dxa"/>
            <w:tcBorders>
              <w:top w:val="nil"/>
              <w:left w:val="nil"/>
              <w:bottom w:val="single" w:sz="4" w:space="0" w:color="auto"/>
              <w:right w:val="nil"/>
            </w:tcBorders>
            <w:shd w:val="clear" w:color="auto" w:fill="auto"/>
            <w:noWrap/>
            <w:vAlign w:val="bottom"/>
          </w:tcPr>
          <w:p w14:paraId="47021D19" w14:textId="77777777" w:rsidR="00240F3F" w:rsidRPr="008A2782" w:rsidRDefault="00240F3F" w:rsidP="00D422A0">
            <w:pPr>
              <w:spacing w:after="0" w:line="240" w:lineRule="auto"/>
              <w:jc w:val="center"/>
              <w:rPr>
                <w:color w:val="000000"/>
                <w:sz w:val="22"/>
                <w:szCs w:val="22"/>
                <w:lang w:bidi="ar-SA"/>
              </w:rPr>
            </w:pPr>
            <w:r w:rsidRPr="008A2782">
              <w:rPr>
                <w:color w:val="000000"/>
                <w:sz w:val="22"/>
                <w:szCs w:val="22"/>
                <w:lang w:bidi="ar-SA"/>
              </w:rPr>
              <w:t>Per Capita</w:t>
            </w:r>
          </w:p>
        </w:tc>
        <w:tc>
          <w:tcPr>
            <w:tcW w:w="986" w:type="dxa"/>
            <w:tcBorders>
              <w:top w:val="nil"/>
              <w:left w:val="nil"/>
              <w:bottom w:val="single" w:sz="4" w:space="0" w:color="auto"/>
              <w:right w:val="nil"/>
            </w:tcBorders>
            <w:shd w:val="clear" w:color="auto" w:fill="auto"/>
            <w:noWrap/>
            <w:vAlign w:val="bottom"/>
          </w:tcPr>
          <w:p w14:paraId="372324B2" w14:textId="77777777" w:rsidR="00240F3F" w:rsidRPr="008A2782" w:rsidRDefault="00240F3F" w:rsidP="00D422A0">
            <w:pPr>
              <w:spacing w:after="0" w:line="240" w:lineRule="auto"/>
              <w:jc w:val="center"/>
              <w:rPr>
                <w:color w:val="000000"/>
                <w:sz w:val="22"/>
                <w:szCs w:val="22"/>
                <w:lang w:bidi="ar-SA"/>
              </w:rPr>
            </w:pPr>
            <w:r w:rsidRPr="008A2782">
              <w:rPr>
                <w:color w:val="000000"/>
                <w:sz w:val="22"/>
                <w:szCs w:val="22"/>
                <w:lang w:bidi="ar-SA"/>
              </w:rPr>
              <w:t>Total ($1,000)</w:t>
            </w:r>
          </w:p>
        </w:tc>
        <w:tc>
          <w:tcPr>
            <w:tcW w:w="791" w:type="dxa"/>
            <w:tcBorders>
              <w:top w:val="nil"/>
              <w:left w:val="nil"/>
              <w:bottom w:val="single" w:sz="4" w:space="0" w:color="auto"/>
              <w:right w:val="nil"/>
            </w:tcBorders>
            <w:shd w:val="clear" w:color="auto" w:fill="auto"/>
            <w:noWrap/>
            <w:vAlign w:val="bottom"/>
          </w:tcPr>
          <w:p w14:paraId="5A43879F" w14:textId="77777777" w:rsidR="00240F3F" w:rsidRPr="008A2782" w:rsidRDefault="00240F3F" w:rsidP="00D422A0">
            <w:pPr>
              <w:spacing w:after="0" w:line="240" w:lineRule="auto"/>
              <w:jc w:val="center"/>
              <w:rPr>
                <w:color w:val="000000"/>
                <w:sz w:val="22"/>
                <w:szCs w:val="22"/>
                <w:lang w:bidi="ar-SA"/>
              </w:rPr>
            </w:pPr>
            <w:r w:rsidRPr="008A2782">
              <w:rPr>
                <w:color w:val="000000"/>
                <w:sz w:val="22"/>
                <w:szCs w:val="22"/>
                <w:lang w:bidi="ar-SA"/>
              </w:rPr>
              <w:t>Per Capita</w:t>
            </w:r>
          </w:p>
        </w:tc>
        <w:tc>
          <w:tcPr>
            <w:tcW w:w="1121" w:type="dxa"/>
            <w:tcBorders>
              <w:top w:val="nil"/>
              <w:left w:val="nil"/>
              <w:bottom w:val="single" w:sz="4" w:space="0" w:color="auto"/>
              <w:right w:val="nil"/>
            </w:tcBorders>
            <w:shd w:val="clear" w:color="auto" w:fill="auto"/>
            <w:noWrap/>
            <w:vAlign w:val="bottom"/>
          </w:tcPr>
          <w:p w14:paraId="6BB6B91F" w14:textId="77777777" w:rsidR="00240F3F" w:rsidRPr="008A2782" w:rsidRDefault="00240F3F" w:rsidP="00D422A0">
            <w:pPr>
              <w:spacing w:after="0" w:line="240" w:lineRule="auto"/>
              <w:jc w:val="center"/>
              <w:rPr>
                <w:color w:val="000000"/>
                <w:sz w:val="22"/>
                <w:szCs w:val="22"/>
                <w:lang w:bidi="ar-SA"/>
              </w:rPr>
            </w:pPr>
            <w:r w:rsidRPr="008A2782">
              <w:rPr>
                <w:color w:val="000000"/>
                <w:sz w:val="22"/>
                <w:szCs w:val="22"/>
                <w:lang w:bidi="ar-SA"/>
              </w:rPr>
              <w:t>Total ($1,000)</w:t>
            </w:r>
          </w:p>
        </w:tc>
        <w:tc>
          <w:tcPr>
            <w:tcW w:w="912" w:type="dxa"/>
            <w:gridSpan w:val="2"/>
            <w:tcBorders>
              <w:top w:val="nil"/>
              <w:left w:val="nil"/>
              <w:bottom w:val="single" w:sz="4" w:space="0" w:color="auto"/>
              <w:right w:val="nil"/>
            </w:tcBorders>
            <w:shd w:val="clear" w:color="auto" w:fill="auto"/>
            <w:noWrap/>
            <w:vAlign w:val="bottom"/>
          </w:tcPr>
          <w:p w14:paraId="5BE8DCB6" w14:textId="77777777" w:rsidR="00240F3F" w:rsidRPr="008A2782" w:rsidRDefault="00240F3F" w:rsidP="00D422A0">
            <w:pPr>
              <w:spacing w:after="0" w:line="240" w:lineRule="auto"/>
              <w:jc w:val="center"/>
              <w:rPr>
                <w:color w:val="000000"/>
                <w:sz w:val="22"/>
                <w:szCs w:val="22"/>
                <w:lang w:bidi="ar-SA"/>
              </w:rPr>
            </w:pPr>
            <w:r w:rsidRPr="008A2782">
              <w:rPr>
                <w:color w:val="000000"/>
                <w:sz w:val="22"/>
                <w:szCs w:val="22"/>
                <w:lang w:bidi="ar-SA"/>
              </w:rPr>
              <w:t>Per Capita</w:t>
            </w:r>
          </w:p>
        </w:tc>
      </w:tr>
      <w:tr w:rsidR="00240F3F" w:rsidRPr="009D5939" w14:paraId="2F3C685A" w14:textId="77777777" w:rsidTr="00455BF8">
        <w:trPr>
          <w:gridAfter w:val="1"/>
          <w:wAfter w:w="64" w:type="dxa"/>
          <w:trHeight w:hRule="exact" w:val="253"/>
        </w:trPr>
        <w:tc>
          <w:tcPr>
            <w:tcW w:w="1800" w:type="dxa"/>
            <w:tcBorders>
              <w:top w:val="single" w:sz="4" w:space="0" w:color="auto"/>
              <w:left w:val="nil"/>
              <w:bottom w:val="nil"/>
              <w:right w:val="nil"/>
            </w:tcBorders>
            <w:shd w:val="clear" w:color="auto" w:fill="auto"/>
            <w:noWrap/>
            <w:vAlign w:val="bottom"/>
            <w:hideMark/>
          </w:tcPr>
          <w:p w14:paraId="26FE37E6" w14:textId="77777777" w:rsidR="00240F3F" w:rsidRPr="008A2782" w:rsidRDefault="00240F3F" w:rsidP="00D422A0">
            <w:pPr>
              <w:spacing w:after="0" w:line="240" w:lineRule="auto"/>
              <w:rPr>
                <w:b/>
                <w:bCs/>
                <w:color w:val="000000"/>
                <w:sz w:val="22"/>
                <w:szCs w:val="22"/>
                <w:lang w:bidi="ar-SA"/>
              </w:rPr>
            </w:pPr>
            <w:r w:rsidRPr="008A2782">
              <w:rPr>
                <w:b/>
                <w:bCs/>
                <w:color w:val="000000"/>
                <w:sz w:val="22"/>
                <w:szCs w:val="22"/>
                <w:lang w:bidi="ar-SA"/>
              </w:rPr>
              <w:t xml:space="preserve">   Large Cities</w:t>
            </w:r>
          </w:p>
        </w:tc>
        <w:tc>
          <w:tcPr>
            <w:tcW w:w="986" w:type="dxa"/>
            <w:tcBorders>
              <w:top w:val="single" w:sz="4" w:space="0" w:color="auto"/>
              <w:left w:val="nil"/>
              <w:bottom w:val="nil"/>
              <w:right w:val="nil"/>
            </w:tcBorders>
            <w:shd w:val="clear" w:color="auto" w:fill="auto"/>
            <w:noWrap/>
            <w:vAlign w:val="bottom"/>
            <w:hideMark/>
          </w:tcPr>
          <w:p w14:paraId="01B347E7" w14:textId="77777777" w:rsidR="00240F3F" w:rsidRPr="008A2782" w:rsidRDefault="00240F3F" w:rsidP="00D422A0">
            <w:pPr>
              <w:spacing w:after="0" w:line="240" w:lineRule="auto"/>
              <w:rPr>
                <w:sz w:val="22"/>
                <w:szCs w:val="22"/>
                <w:lang w:bidi="ar-SA"/>
              </w:rPr>
            </w:pPr>
          </w:p>
        </w:tc>
        <w:tc>
          <w:tcPr>
            <w:tcW w:w="974" w:type="dxa"/>
            <w:tcBorders>
              <w:top w:val="single" w:sz="4" w:space="0" w:color="auto"/>
              <w:left w:val="nil"/>
              <w:bottom w:val="nil"/>
              <w:right w:val="nil"/>
            </w:tcBorders>
            <w:shd w:val="clear" w:color="auto" w:fill="auto"/>
            <w:noWrap/>
            <w:vAlign w:val="bottom"/>
            <w:hideMark/>
          </w:tcPr>
          <w:p w14:paraId="55DA181F" w14:textId="77777777" w:rsidR="00240F3F" w:rsidRPr="008A2782" w:rsidRDefault="00240F3F" w:rsidP="00D422A0">
            <w:pPr>
              <w:spacing w:after="0" w:line="240" w:lineRule="auto"/>
              <w:rPr>
                <w:sz w:val="22"/>
                <w:szCs w:val="22"/>
                <w:lang w:bidi="ar-SA"/>
              </w:rPr>
            </w:pPr>
          </w:p>
        </w:tc>
        <w:tc>
          <w:tcPr>
            <w:tcW w:w="1280" w:type="dxa"/>
            <w:tcBorders>
              <w:top w:val="single" w:sz="4" w:space="0" w:color="auto"/>
              <w:left w:val="nil"/>
              <w:bottom w:val="nil"/>
              <w:right w:val="nil"/>
            </w:tcBorders>
            <w:shd w:val="clear" w:color="auto" w:fill="auto"/>
            <w:noWrap/>
            <w:vAlign w:val="bottom"/>
            <w:hideMark/>
          </w:tcPr>
          <w:p w14:paraId="2ADC47BD" w14:textId="77777777" w:rsidR="00240F3F" w:rsidRPr="008A2782" w:rsidRDefault="00240F3F" w:rsidP="00D422A0">
            <w:pPr>
              <w:spacing w:after="0" w:line="240" w:lineRule="auto"/>
              <w:rPr>
                <w:sz w:val="22"/>
                <w:szCs w:val="22"/>
                <w:lang w:bidi="ar-SA"/>
              </w:rPr>
            </w:pPr>
          </w:p>
        </w:tc>
        <w:tc>
          <w:tcPr>
            <w:tcW w:w="791" w:type="dxa"/>
            <w:tcBorders>
              <w:top w:val="single" w:sz="4" w:space="0" w:color="auto"/>
              <w:left w:val="nil"/>
              <w:bottom w:val="nil"/>
              <w:right w:val="nil"/>
            </w:tcBorders>
            <w:shd w:val="clear" w:color="auto" w:fill="auto"/>
            <w:noWrap/>
            <w:vAlign w:val="bottom"/>
            <w:hideMark/>
          </w:tcPr>
          <w:p w14:paraId="5FB8EC68" w14:textId="77777777" w:rsidR="00240F3F" w:rsidRPr="008A2782" w:rsidRDefault="00240F3F" w:rsidP="00D422A0">
            <w:pPr>
              <w:spacing w:after="0" w:line="240" w:lineRule="auto"/>
              <w:rPr>
                <w:sz w:val="22"/>
                <w:szCs w:val="22"/>
                <w:lang w:bidi="ar-SA"/>
              </w:rPr>
            </w:pPr>
          </w:p>
        </w:tc>
        <w:tc>
          <w:tcPr>
            <w:tcW w:w="986" w:type="dxa"/>
            <w:tcBorders>
              <w:top w:val="single" w:sz="4" w:space="0" w:color="auto"/>
              <w:left w:val="nil"/>
              <w:bottom w:val="nil"/>
              <w:right w:val="nil"/>
            </w:tcBorders>
            <w:shd w:val="clear" w:color="auto" w:fill="auto"/>
            <w:noWrap/>
            <w:vAlign w:val="bottom"/>
            <w:hideMark/>
          </w:tcPr>
          <w:p w14:paraId="54524E50" w14:textId="77777777" w:rsidR="00240F3F" w:rsidRPr="008A2782" w:rsidRDefault="00240F3F" w:rsidP="00D422A0">
            <w:pPr>
              <w:spacing w:after="0" w:line="240" w:lineRule="auto"/>
              <w:rPr>
                <w:sz w:val="22"/>
                <w:szCs w:val="22"/>
                <w:lang w:bidi="ar-SA"/>
              </w:rPr>
            </w:pPr>
          </w:p>
        </w:tc>
        <w:tc>
          <w:tcPr>
            <w:tcW w:w="791" w:type="dxa"/>
            <w:tcBorders>
              <w:top w:val="single" w:sz="4" w:space="0" w:color="auto"/>
              <w:left w:val="nil"/>
              <w:bottom w:val="nil"/>
              <w:right w:val="nil"/>
            </w:tcBorders>
            <w:shd w:val="clear" w:color="auto" w:fill="auto"/>
            <w:noWrap/>
            <w:vAlign w:val="bottom"/>
            <w:hideMark/>
          </w:tcPr>
          <w:p w14:paraId="7493288E" w14:textId="77777777" w:rsidR="00240F3F" w:rsidRPr="008A2782" w:rsidRDefault="00240F3F" w:rsidP="00D422A0">
            <w:pPr>
              <w:spacing w:after="0" w:line="240" w:lineRule="auto"/>
              <w:rPr>
                <w:sz w:val="22"/>
                <w:szCs w:val="22"/>
                <w:lang w:bidi="ar-SA"/>
              </w:rPr>
            </w:pPr>
          </w:p>
        </w:tc>
        <w:tc>
          <w:tcPr>
            <w:tcW w:w="1121" w:type="dxa"/>
            <w:tcBorders>
              <w:top w:val="single" w:sz="4" w:space="0" w:color="auto"/>
              <w:left w:val="nil"/>
              <w:bottom w:val="nil"/>
              <w:right w:val="nil"/>
            </w:tcBorders>
            <w:shd w:val="clear" w:color="auto" w:fill="auto"/>
            <w:noWrap/>
            <w:vAlign w:val="bottom"/>
            <w:hideMark/>
          </w:tcPr>
          <w:p w14:paraId="4C87B317" w14:textId="77777777" w:rsidR="00240F3F" w:rsidRPr="008A2782" w:rsidRDefault="00240F3F" w:rsidP="00D422A0">
            <w:pPr>
              <w:spacing w:after="0" w:line="240" w:lineRule="auto"/>
              <w:rPr>
                <w:sz w:val="22"/>
                <w:szCs w:val="22"/>
                <w:lang w:bidi="ar-SA"/>
              </w:rPr>
            </w:pPr>
          </w:p>
        </w:tc>
        <w:tc>
          <w:tcPr>
            <w:tcW w:w="912" w:type="dxa"/>
            <w:gridSpan w:val="2"/>
            <w:tcBorders>
              <w:top w:val="single" w:sz="4" w:space="0" w:color="auto"/>
              <w:left w:val="nil"/>
              <w:bottom w:val="nil"/>
              <w:right w:val="nil"/>
            </w:tcBorders>
            <w:shd w:val="clear" w:color="auto" w:fill="auto"/>
            <w:noWrap/>
            <w:vAlign w:val="bottom"/>
            <w:hideMark/>
          </w:tcPr>
          <w:p w14:paraId="0CEE5B97" w14:textId="77777777" w:rsidR="00240F3F" w:rsidRPr="008A2782" w:rsidRDefault="00240F3F" w:rsidP="00D422A0">
            <w:pPr>
              <w:spacing w:after="0" w:line="240" w:lineRule="auto"/>
              <w:rPr>
                <w:sz w:val="22"/>
                <w:szCs w:val="22"/>
                <w:lang w:bidi="ar-SA"/>
              </w:rPr>
            </w:pPr>
          </w:p>
        </w:tc>
      </w:tr>
      <w:tr w:rsidR="00240F3F" w:rsidRPr="009D5939" w14:paraId="0E9A031D" w14:textId="77777777" w:rsidTr="00455BF8">
        <w:trPr>
          <w:trHeight w:hRule="exact" w:val="274"/>
        </w:trPr>
        <w:tc>
          <w:tcPr>
            <w:tcW w:w="1800" w:type="dxa"/>
            <w:tcBorders>
              <w:top w:val="nil"/>
              <w:left w:val="nil"/>
              <w:bottom w:val="nil"/>
              <w:right w:val="nil"/>
            </w:tcBorders>
            <w:shd w:val="clear" w:color="auto" w:fill="auto"/>
            <w:noWrap/>
            <w:vAlign w:val="bottom"/>
            <w:hideMark/>
          </w:tcPr>
          <w:p w14:paraId="3B7C1CE3"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Bridgeport</w:t>
            </w:r>
          </w:p>
        </w:tc>
        <w:tc>
          <w:tcPr>
            <w:tcW w:w="986" w:type="dxa"/>
            <w:tcBorders>
              <w:top w:val="nil"/>
              <w:left w:val="nil"/>
              <w:bottom w:val="nil"/>
              <w:right w:val="nil"/>
            </w:tcBorders>
            <w:shd w:val="clear" w:color="auto" w:fill="auto"/>
            <w:noWrap/>
            <w:vAlign w:val="bottom"/>
          </w:tcPr>
          <w:p w14:paraId="236D024A"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15,660.4</w:t>
            </w:r>
          </w:p>
        </w:tc>
        <w:tc>
          <w:tcPr>
            <w:tcW w:w="974" w:type="dxa"/>
            <w:tcBorders>
              <w:top w:val="nil"/>
              <w:left w:val="nil"/>
              <w:bottom w:val="nil"/>
              <w:right w:val="nil"/>
            </w:tcBorders>
            <w:shd w:val="clear" w:color="auto" w:fill="auto"/>
            <w:noWrap/>
            <w:vAlign w:val="bottom"/>
          </w:tcPr>
          <w:p w14:paraId="27FD91D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108</w:t>
            </w:r>
          </w:p>
        </w:tc>
        <w:tc>
          <w:tcPr>
            <w:tcW w:w="1280" w:type="dxa"/>
            <w:tcBorders>
              <w:top w:val="nil"/>
              <w:left w:val="nil"/>
              <w:bottom w:val="nil"/>
              <w:right w:val="nil"/>
            </w:tcBorders>
            <w:shd w:val="clear" w:color="auto" w:fill="auto"/>
            <w:noWrap/>
            <w:vAlign w:val="bottom"/>
          </w:tcPr>
          <w:p w14:paraId="45D0F7D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9,720.7</w:t>
            </w:r>
          </w:p>
        </w:tc>
        <w:tc>
          <w:tcPr>
            <w:tcW w:w="791" w:type="dxa"/>
            <w:tcBorders>
              <w:top w:val="nil"/>
              <w:left w:val="nil"/>
              <w:bottom w:val="nil"/>
              <w:right w:val="nil"/>
            </w:tcBorders>
            <w:shd w:val="clear" w:color="auto" w:fill="auto"/>
            <w:noWrap/>
            <w:vAlign w:val="bottom"/>
          </w:tcPr>
          <w:p w14:paraId="7CBFD96D"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67</w:t>
            </w:r>
          </w:p>
        </w:tc>
        <w:tc>
          <w:tcPr>
            <w:tcW w:w="986" w:type="dxa"/>
            <w:tcBorders>
              <w:top w:val="nil"/>
              <w:left w:val="nil"/>
              <w:bottom w:val="nil"/>
              <w:right w:val="nil"/>
            </w:tcBorders>
            <w:shd w:val="clear" w:color="auto" w:fill="auto"/>
            <w:noWrap/>
            <w:vAlign w:val="bottom"/>
          </w:tcPr>
          <w:p w14:paraId="670515E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24,131.7</w:t>
            </w:r>
          </w:p>
        </w:tc>
        <w:tc>
          <w:tcPr>
            <w:tcW w:w="791" w:type="dxa"/>
            <w:tcBorders>
              <w:top w:val="nil"/>
              <w:left w:val="nil"/>
              <w:bottom w:val="nil"/>
              <w:right w:val="nil"/>
            </w:tcBorders>
            <w:shd w:val="clear" w:color="auto" w:fill="auto"/>
            <w:noWrap/>
            <w:vAlign w:val="bottom"/>
          </w:tcPr>
          <w:p w14:paraId="4925D03A"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166</w:t>
            </w:r>
          </w:p>
        </w:tc>
        <w:tc>
          <w:tcPr>
            <w:tcW w:w="1441" w:type="dxa"/>
            <w:gridSpan w:val="2"/>
            <w:tcBorders>
              <w:top w:val="nil"/>
              <w:left w:val="nil"/>
              <w:bottom w:val="nil"/>
              <w:right w:val="nil"/>
            </w:tcBorders>
            <w:shd w:val="clear" w:color="auto" w:fill="auto"/>
            <w:noWrap/>
            <w:vAlign w:val="bottom"/>
          </w:tcPr>
          <w:p w14:paraId="4AB2195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22,127.3</w:t>
            </w:r>
          </w:p>
        </w:tc>
        <w:tc>
          <w:tcPr>
            <w:tcW w:w="656" w:type="dxa"/>
            <w:gridSpan w:val="2"/>
            <w:tcBorders>
              <w:top w:val="nil"/>
              <w:left w:val="nil"/>
              <w:bottom w:val="nil"/>
              <w:right w:val="nil"/>
            </w:tcBorders>
            <w:shd w:val="clear" w:color="auto" w:fill="auto"/>
            <w:noWrap/>
            <w:vAlign w:val="bottom"/>
          </w:tcPr>
          <w:p w14:paraId="2D82D10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152</w:t>
            </w:r>
          </w:p>
        </w:tc>
      </w:tr>
      <w:tr w:rsidR="00240F3F" w:rsidRPr="009D5939" w14:paraId="78557CF1" w14:textId="77777777" w:rsidTr="00455BF8">
        <w:trPr>
          <w:trHeight w:hRule="exact" w:val="274"/>
        </w:trPr>
        <w:tc>
          <w:tcPr>
            <w:tcW w:w="1800" w:type="dxa"/>
            <w:tcBorders>
              <w:top w:val="nil"/>
              <w:left w:val="nil"/>
              <w:bottom w:val="nil"/>
              <w:right w:val="nil"/>
            </w:tcBorders>
            <w:shd w:val="clear" w:color="auto" w:fill="auto"/>
            <w:noWrap/>
            <w:vAlign w:val="bottom"/>
            <w:hideMark/>
          </w:tcPr>
          <w:p w14:paraId="457635E5"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Hartford</w:t>
            </w:r>
          </w:p>
        </w:tc>
        <w:tc>
          <w:tcPr>
            <w:tcW w:w="986" w:type="dxa"/>
            <w:tcBorders>
              <w:top w:val="nil"/>
              <w:left w:val="nil"/>
              <w:bottom w:val="nil"/>
              <w:right w:val="nil"/>
            </w:tcBorders>
            <w:shd w:val="clear" w:color="auto" w:fill="auto"/>
            <w:noWrap/>
            <w:vAlign w:val="bottom"/>
          </w:tcPr>
          <w:p w14:paraId="62FE5B2B"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12,094.0</w:t>
            </w:r>
          </w:p>
        </w:tc>
        <w:tc>
          <w:tcPr>
            <w:tcW w:w="974" w:type="dxa"/>
            <w:tcBorders>
              <w:top w:val="nil"/>
              <w:left w:val="nil"/>
              <w:bottom w:val="nil"/>
              <w:right w:val="nil"/>
            </w:tcBorders>
            <w:shd w:val="clear" w:color="auto" w:fill="auto"/>
            <w:noWrap/>
            <w:vAlign w:val="bottom"/>
          </w:tcPr>
          <w:p w14:paraId="52FC7DAD"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97</w:t>
            </w:r>
          </w:p>
        </w:tc>
        <w:tc>
          <w:tcPr>
            <w:tcW w:w="1280" w:type="dxa"/>
            <w:tcBorders>
              <w:top w:val="nil"/>
              <w:left w:val="nil"/>
              <w:bottom w:val="nil"/>
              <w:right w:val="nil"/>
            </w:tcBorders>
            <w:shd w:val="clear" w:color="auto" w:fill="auto"/>
            <w:noWrap/>
            <w:vAlign w:val="bottom"/>
          </w:tcPr>
          <w:p w14:paraId="3B6E35C2"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7,727.6</w:t>
            </w:r>
          </w:p>
        </w:tc>
        <w:tc>
          <w:tcPr>
            <w:tcW w:w="791" w:type="dxa"/>
            <w:tcBorders>
              <w:top w:val="nil"/>
              <w:left w:val="nil"/>
              <w:bottom w:val="nil"/>
              <w:right w:val="nil"/>
            </w:tcBorders>
            <w:shd w:val="clear" w:color="auto" w:fill="auto"/>
            <w:noWrap/>
            <w:vAlign w:val="bottom"/>
          </w:tcPr>
          <w:p w14:paraId="0E111A23"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62</w:t>
            </w:r>
          </w:p>
        </w:tc>
        <w:tc>
          <w:tcPr>
            <w:tcW w:w="986" w:type="dxa"/>
            <w:tcBorders>
              <w:top w:val="nil"/>
              <w:left w:val="nil"/>
              <w:bottom w:val="nil"/>
              <w:right w:val="nil"/>
            </w:tcBorders>
            <w:shd w:val="clear" w:color="auto" w:fill="auto"/>
            <w:noWrap/>
            <w:vAlign w:val="bottom"/>
          </w:tcPr>
          <w:p w14:paraId="41246F3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95,987.7</w:t>
            </w:r>
          </w:p>
        </w:tc>
        <w:tc>
          <w:tcPr>
            <w:tcW w:w="791" w:type="dxa"/>
            <w:tcBorders>
              <w:top w:val="nil"/>
              <w:left w:val="nil"/>
              <w:bottom w:val="nil"/>
              <w:right w:val="nil"/>
            </w:tcBorders>
            <w:shd w:val="clear" w:color="auto" w:fill="auto"/>
            <w:noWrap/>
            <w:vAlign w:val="bottom"/>
          </w:tcPr>
          <w:p w14:paraId="2DCB0A7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767</w:t>
            </w:r>
          </w:p>
        </w:tc>
        <w:tc>
          <w:tcPr>
            <w:tcW w:w="1441" w:type="dxa"/>
            <w:gridSpan w:val="2"/>
            <w:tcBorders>
              <w:top w:val="nil"/>
              <w:left w:val="nil"/>
              <w:bottom w:val="nil"/>
              <w:right w:val="nil"/>
            </w:tcBorders>
            <w:shd w:val="clear" w:color="auto" w:fill="auto"/>
            <w:noWrap/>
            <w:vAlign w:val="bottom"/>
          </w:tcPr>
          <w:p w14:paraId="615D324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56,998.3</w:t>
            </w:r>
          </w:p>
        </w:tc>
        <w:tc>
          <w:tcPr>
            <w:tcW w:w="656" w:type="dxa"/>
            <w:gridSpan w:val="2"/>
            <w:tcBorders>
              <w:top w:val="nil"/>
              <w:left w:val="nil"/>
              <w:bottom w:val="nil"/>
              <w:right w:val="nil"/>
            </w:tcBorders>
            <w:shd w:val="clear" w:color="auto" w:fill="auto"/>
            <w:noWrap/>
            <w:vAlign w:val="bottom"/>
          </w:tcPr>
          <w:p w14:paraId="4F5E865D"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456</w:t>
            </w:r>
          </w:p>
        </w:tc>
      </w:tr>
      <w:tr w:rsidR="00240F3F" w:rsidRPr="009D5939" w14:paraId="4FD10FB0" w14:textId="77777777" w:rsidTr="00455BF8">
        <w:trPr>
          <w:trHeight w:hRule="exact" w:val="274"/>
        </w:trPr>
        <w:tc>
          <w:tcPr>
            <w:tcW w:w="1800" w:type="dxa"/>
            <w:tcBorders>
              <w:top w:val="nil"/>
              <w:left w:val="nil"/>
              <w:bottom w:val="nil"/>
              <w:right w:val="nil"/>
            </w:tcBorders>
            <w:shd w:val="clear" w:color="auto" w:fill="auto"/>
            <w:noWrap/>
            <w:vAlign w:val="bottom"/>
            <w:hideMark/>
          </w:tcPr>
          <w:p w14:paraId="02A71D9E"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New Haven</w:t>
            </w:r>
          </w:p>
        </w:tc>
        <w:tc>
          <w:tcPr>
            <w:tcW w:w="986" w:type="dxa"/>
            <w:tcBorders>
              <w:top w:val="nil"/>
              <w:left w:val="nil"/>
              <w:bottom w:val="nil"/>
              <w:right w:val="nil"/>
            </w:tcBorders>
            <w:shd w:val="clear" w:color="auto" w:fill="auto"/>
            <w:noWrap/>
            <w:vAlign w:val="bottom"/>
          </w:tcPr>
          <w:p w14:paraId="6027F7CF"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16,840.0</w:t>
            </w:r>
          </w:p>
        </w:tc>
        <w:tc>
          <w:tcPr>
            <w:tcW w:w="974" w:type="dxa"/>
            <w:tcBorders>
              <w:top w:val="nil"/>
              <w:left w:val="nil"/>
              <w:bottom w:val="nil"/>
              <w:right w:val="nil"/>
            </w:tcBorders>
            <w:shd w:val="clear" w:color="auto" w:fill="auto"/>
            <w:noWrap/>
            <w:vAlign w:val="bottom"/>
          </w:tcPr>
          <w:p w14:paraId="785AAFF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129</w:t>
            </w:r>
          </w:p>
        </w:tc>
        <w:tc>
          <w:tcPr>
            <w:tcW w:w="1280" w:type="dxa"/>
            <w:tcBorders>
              <w:top w:val="nil"/>
              <w:left w:val="nil"/>
              <w:bottom w:val="nil"/>
              <w:right w:val="nil"/>
            </w:tcBorders>
            <w:shd w:val="clear" w:color="auto" w:fill="auto"/>
            <w:noWrap/>
            <w:vAlign w:val="bottom"/>
          </w:tcPr>
          <w:p w14:paraId="4A1E946A"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14,237.6</w:t>
            </w:r>
          </w:p>
        </w:tc>
        <w:tc>
          <w:tcPr>
            <w:tcW w:w="791" w:type="dxa"/>
            <w:tcBorders>
              <w:top w:val="nil"/>
              <w:left w:val="nil"/>
              <w:bottom w:val="nil"/>
              <w:right w:val="nil"/>
            </w:tcBorders>
            <w:shd w:val="clear" w:color="auto" w:fill="auto"/>
            <w:noWrap/>
            <w:vAlign w:val="bottom"/>
          </w:tcPr>
          <w:p w14:paraId="12308B24"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109</w:t>
            </w:r>
          </w:p>
        </w:tc>
        <w:tc>
          <w:tcPr>
            <w:tcW w:w="986" w:type="dxa"/>
            <w:tcBorders>
              <w:top w:val="nil"/>
              <w:left w:val="nil"/>
              <w:bottom w:val="nil"/>
              <w:right w:val="nil"/>
            </w:tcBorders>
            <w:shd w:val="clear" w:color="auto" w:fill="auto"/>
            <w:noWrap/>
            <w:vAlign w:val="bottom"/>
          </w:tcPr>
          <w:p w14:paraId="6B56956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54,987.4</w:t>
            </w:r>
          </w:p>
        </w:tc>
        <w:tc>
          <w:tcPr>
            <w:tcW w:w="791" w:type="dxa"/>
            <w:tcBorders>
              <w:top w:val="nil"/>
              <w:left w:val="nil"/>
              <w:bottom w:val="nil"/>
              <w:right w:val="nil"/>
            </w:tcBorders>
            <w:shd w:val="clear" w:color="auto" w:fill="auto"/>
            <w:noWrap/>
            <w:vAlign w:val="bottom"/>
          </w:tcPr>
          <w:p w14:paraId="73AD980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422</w:t>
            </w:r>
          </w:p>
        </w:tc>
        <w:tc>
          <w:tcPr>
            <w:tcW w:w="1441" w:type="dxa"/>
            <w:gridSpan w:val="2"/>
            <w:tcBorders>
              <w:top w:val="nil"/>
              <w:left w:val="nil"/>
              <w:bottom w:val="nil"/>
              <w:right w:val="nil"/>
            </w:tcBorders>
            <w:shd w:val="clear" w:color="auto" w:fill="auto"/>
            <w:noWrap/>
            <w:vAlign w:val="bottom"/>
          </w:tcPr>
          <w:p w14:paraId="65AD629C"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38,151.5</w:t>
            </w:r>
          </w:p>
        </w:tc>
        <w:tc>
          <w:tcPr>
            <w:tcW w:w="656" w:type="dxa"/>
            <w:gridSpan w:val="2"/>
            <w:tcBorders>
              <w:top w:val="nil"/>
              <w:left w:val="nil"/>
              <w:bottom w:val="nil"/>
              <w:right w:val="nil"/>
            </w:tcBorders>
            <w:shd w:val="clear" w:color="auto" w:fill="auto"/>
            <w:noWrap/>
            <w:vAlign w:val="bottom"/>
          </w:tcPr>
          <w:p w14:paraId="47ACEB70"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293</w:t>
            </w:r>
          </w:p>
        </w:tc>
      </w:tr>
      <w:tr w:rsidR="00240F3F" w:rsidRPr="009D5939" w14:paraId="7FACECD8" w14:textId="77777777" w:rsidTr="00455BF8">
        <w:trPr>
          <w:trHeight w:hRule="exact" w:val="274"/>
        </w:trPr>
        <w:tc>
          <w:tcPr>
            <w:tcW w:w="1800" w:type="dxa"/>
            <w:tcBorders>
              <w:top w:val="nil"/>
              <w:left w:val="nil"/>
              <w:bottom w:val="nil"/>
              <w:right w:val="nil"/>
            </w:tcBorders>
            <w:shd w:val="clear" w:color="auto" w:fill="auto"/>
            <w:noWrap/>
            <w:vAlign w:val="bottom"/>
            <w:hideMark/>
          </w:tcPr>
          <w:p w14:paraId="2253B146"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Stamford</w:t>
            </w:r>
          </w:p>
        </w:tc>
        <w:tc>
          <w:tcPr>
            <w:tcW w:w="986" w:type="dxa"/>
            <w:tcBorders>
              <w:top w:val="nil"/>
              <w:left w:val="nil"/>
              <w:bottom w:val="nil"/>
              <w:right w:val="nil"/>
            </w:tcBorders>
            <w:shd w:val="clear" w:color="auto" w:fill="auto"/>
            <w:noWrap/>
            <w:vAlign w:val="bottom"/>
          </w:tcPr>
          <w:p w14:paraId="7FC49834"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54,097.8</w:t>
            </w:r>
          </w:p>
        </w:tc>
        <w:tc>
          <w:tcPr>
            <w:tcW w:w="974" w:type="dxa"/>
            <w:tcBorders>
              <w:top w:val="nil"/>
              <w:left w:val="nil"/>
              <w:bottom w:val="nil"/>
              <w:right w:val="nil"/>
            </w:tcBorders>
            <w:shd w:val="clear" w:color="auto" w:fill="auto"/>
            <w:noWrap/>
            <w:vAlign w:val="bottom"/>
          </w:tcPr>
          <w:p w14:paraId="340FF190"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436</w:t>
            </w:r>
          </w:p>
        </w:tc>
        <w:tc>
          <w:tcPr>
            <w:tcW w:w="1280" w:type="dxa"/>
            <w:tcBorders>
              <w:top w:val="nil"/>
              <w:left w:val="nil"/>
              <w:bottom w:val="nil"/>
              <w:right w:val="nil"/>
            </w:tcBorders>
            <w:shd w:val="clear" w:color="auto" w:fill="auto"/>
            <w:noWrap/>
            <w:vAlign w:val="bottom"/>
          </w:tcPr>
          <w:p w14:paraId="62B2DFBA"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53,598.5</w:t>
            </w:r>
          </w:p>
        </w:tc>
        <w:tc>
          <w:tcPr>
            <w:tcW w:w="791" w:type="dxa"/>
            <w:tcBorders>
              <w:top w:val="nil"/>
              <w:left w:val="nil"/>
              <w:bottom w:val="nil"/>
              <w:right w:val="nil"/>
            </w:tcBorders>
            <w:shd w:val="clear" w:color="auto" w:fill="auto"/>
            <w:noWrap/>
            <w:vAlign w:val="bottom"/>
          </w:tcPr>
          <w:p w14:paraId="033DC82D"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432</w:t>
            </w:r>
          </w:p>
        </w:tc>
        <w:tc>
          <w:tcPr>
            <w:tcW w:w="986" w:type="dxa"/>
            <w:tcBorders>
              <w:top w:val="nil"/>
              <w:left w:val="nil"/>
              <w:bottom w:val="nil"/>
              <w:right w:val="nil"/>
            </w:tcBorders>
            <w:shd w:val="clear" w:color="auto" w:fill="auto"/>
            <w:noWrap/>
            <w:vAlign w:val="bottom"/>
          </w:tcPr>
          <w:p w14:paraId="74352582"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94,076.1</w:t>
            </w:r>
          </w:p>
        </w:tc>
        <w:tc>
          <w:tcPr>
            <w:tcW w:w="791" w:type="dxa"/>
            <w:tcBorders>
              <w:top w:val="nil"/>
              <w:left w:val="nil"/>
              <w:bottom w:val="nil"/>
              <w:right w:val="nil"/>
            </w:tcBorders>
            <w:shd w:val="clear" w:color="auto" w:fill="auto"/>
            <w:noWrap/>
            <w:vAlign w:val="bottom"/>
          </w:tcPr>
          <w:p w14:paraId="35ECF12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759</w:t>
            </w:r>
          </w:p>
        </w:tc>
        <w:tc>
          <w:tcPr>
            <w:tcW w:w="1441" w:type="dxa"/>
            <w:gridSpan w:val="2"/>
            <w:tcBorders>
              <w:top w:val="nil"/>
              <w:left w:val="nil"/>
              <w:bottom w:val="nil"/>
              <w:right w:val="nil"/>
            </w:tcBorders>
            <w:shd w:val="clear" w:color="auto" w:fill="auto"/>
            <w:noWrap/>
            <w:vAlign w:val="bottom"/>
          </w:tcPr>
          <w:p w14:paraId="5DEC3890"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72,560.1</w:t>
            </w:r>
          </w:p>
        </w:tc>
        <w:tc>
          <w:tcPr>
            <w:tcW w:w="656" w:type="dxa"/>
            <w:gridSpan w:val="2"/>
            <w:tcBorders>
              <w:top w:val="nil"/>
              <w:left w:val="nil"/>
              <w:bottom w:val="nil"/>
              <w:right w:val="nil"/>
            </w:tcBorders>
            <w:shd w:val="clear" w:color="auto" w:fill="auto"/>
            <w:noWrap/>
            <w:vAlign w:val="bottom"/>
          </w:tcPr>
          <w:p w14:paraId="4A42CC8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585</w:t>
            </w:r>
          </w:p>
        </w:tc>
      </w:tr>
      <w:tr w:rsidR="00240F3F" w:rsidRPr="009D5939" w14:paraId="5ADCF78D" w14:textId="77777777" w:rsidTr="00455BF8">
        <w:trPr>
          <w:trHeight w:hRule="exact" w:val="274"/>
        </w:trPr>
        <w:tc>
          <w:tcPr>
            <w:tcW w:w="1800" w:type="dxa"/>
            <w:tcBorders>
              <w:top w:val="nil"/>
              <w:left w:val="nil"/>
              <w:bottom w:val="nil"/>
              <w:right w:val="nil"/>
            </w:tcBorders>
            <w:shd w:val="clear" w:color="auto" w:fill="auto"/>
            <w:noWrap/>
            <w:vAlign w:val="bottom"/>
            <w:hideMark/>
          </w:tcPr>
          <w:p w14:paraId="28071534" w14:textId="77777777" w:rsidR="00240F3F" w:rsidRPr="008A2782" w:rsidRDefault="00240F3F" w:rsidP="00D422A0">
            <w:pPr>
              <w:spacing w:after="0" w:line="240" w:lineRule="auto"/>
              <w:rPr>
                <w:b/>
                <w:bCs/>
                <w:color w:val="000000"/>
                <w:sz w:val="22"/>
                <w:szCs w:val="22"/>
                <w:lang w:bidi="ar-SA"/>
              </w:rPr>
            </w:pPr>
            <w:r w:rsidRPr="008A2782">
              <w:rPr>
                <w:b/>
                <w:bCs/>
                <w:color w:val="000000"/>
                <w:sz w:val="22"/>
                <w:szCs w:val="22"/>
                <w:lang w:bidi="ar-SA"/>
              </w:rPr>
              <w:t xml:space="preserve">   Small Cities</w:t>
            </w:r>
          </w:p>
        </w:tc>
        <w:tc>
          <w:tcPr>
            <w:tcW w:w="986" w:type="dxa"/>
            <w:tcBorders>
              <w:top w:val="nil"/>
              <w:left w:val="nil"/>
              <w:bottom w:val="nil"/>
              <w:right w:val="nil"/>
            </w:tcBorders>
            <w:shd w:val="clear" w:color="auto" w:fill="auto"/>
            <w:noWrap/>
            <w:vAlign w:val="bottom"/>
          </w:tcPr>
          <w:p w14:paraId="32C533BF" w14:textId="77777777" w:rsidR="00240F3F" w:rsidRPr="008A2782" w:rsidRDefault="00240F3F" w:rsidP="00D422A0">
            <w:pPr>
              <w:spacing w:after="0" w:line="240" w:lineRule="auto"/>
              <w:rPr>
                <w:sz w:val="22"/>
                <w:szCs w:val="22"/>
                <w:lang w:bidi="ar-SA"/>
              </w:rPr>
            </w:pPr>
          </w:p>
        </w:tc>
        <w:tc>
          <w:tcPr>
            <w:tcW w:w="974" w:type="dxa"/>
            <w:tcBorders>
              <w:top w:val="nil"/>
              <w:left w:val="nil"/>
              <w:bottom w:val="nil"/>
              <w:right w:val="nil"/>
            </w:tcBorders>
            <w:shd w:val="clear" w:color="auto" w:fill="auto"/>
            <w:noWrap/>
            <w:vAlign w:val="bottom"/>
          </w:tcPr>
          <w:p w14:paraId="525F07A5" w14:textId="77777777" w:rsidR="00240F3F" w:rsidRPr="008A2782" w:rsidRDefault="00240F3F" w:rsidP="00D422A0">
            <w:pPr>
              <w:spacing w:after="0" w:line="240" w:lineRule="auto"/>
              <w:rPr>
                <w:sz w:val="22"/>
                <w:szCs w:val="22"/>
                <w:lang w:bidi="ar-SA"/>
              </w:rPr>
            </w:pPr>
          </w:p>
        </w:tc>
        <w:tc>
          <w:tcPr>
            <w:tcW w:w="1280" w:type="dxa"/>
            <w:tcBorders>
              <w:top w:val="nil"/>
              <w:left w:val="nil"/>
              <w:bottom w:val="nil"/>
              <w:right w:val="nil"/>
            </w:tcBorders>
            <w:shd w:val="clear" w:color="auto" w:fill="auto"/>
            <w:noWrap/>
            <w:vAlign w:val="bottom"/>
          </w:tcPr>
          <w:p w14:paraId="22B515F1" w14:textId="77777777" w:rsidR="00240F3F" w:rsidRPr="008A2782" w:rsidRDefault="00240F3F" w:rsidP="00D422A0">
            <w:pPr>
              <w:spacing w:after="0" w:line="240" w:lineRule="auto"/>
              <w:rPr>
                <w:sz w:val="22"/>
                <w:szCs w:val="22"/>
                <w:lang w:bidi="ar-SA"/>
              </w:rPr>
            </w:pPr>
          </w:p>
        </w:tc>
        <w:tc>
          <w:tcPr>
            <w:tcW w:w="791" w:type="dxa"/>
            <w:tcBorders>
              <w:top w:val="nil"/>
              <w:left w:val="nil"/>
              <w:bottom w:val="nil"/>
              <w:right w:val="nil"/>
            </w:tcBorders>
            <w:shd w:val="clear" w:color="auto" w:fill="auto"/>
            <w:noWrap/>
            <w:vAlign w:val="bottom"/>
          </w:tcPr>
          <w:p w14:paraId="18177F97" w14:textId="77777777" w:rsidR="00240F3F" w:rsidRPr="008A2782" w:rsidRDefault="00240F3F" w:rsidP="00D422A0">
            <w:pPr>
              <w:spacing w:after="0" w:line="240" w:lineRule="auto"/>
              <w:rPr>
                <w:sz w:val="22"/>
                <w:szCs w:val="22"/>
                <w:lang w:bidi="ar-SA"/>
              </w:rPr>
            </w:pPr>
          </w:p>
        </w:tc>
        <w:tc>
          <w:tcPr>
            <w:tcW w:w="986" w:type="dxa"/>
            <w:tcBorders>
              <w:top w:val="nil"/>
              <w:left w:val="nil"/>
              <w:bottom w:val="nil"/>
              <w:right w:val="nil"/>
            </w:tcBorders>
            <w:shd w:val="clear" w:color="auto" w:fill="auto"/>
            <w:noWrap/>
            <w:vAlign w:val="bottom"/>
          </w:tcPr>
          <w:p w14:paraId="588690CE" w14:textId="77777777" w:rsidR="00240F3F" w:rsidRPr="008A2782" w:rsidRDefault="00240F3F" w:rsidP="00D422A0">
            <w:pPr>
              <w:spacing w:after="0" w:line="240" w:lineRule="auto"/>
              <w:rPr>
                <w:sz w:val="22"/>
                <w:szCs w:val="22"/>
                <w:lang w:bidi="ar-SA"/>
              </w:rPr>
            </w:pPr>
          </w:p>
        </w:tc>
        <w:tc>
          <w:tcPr>
            <w:tcW w:w="791" w:type="dxa"/>
            <w:tcBorders>
              <w:top w:val="nil"/>
              <w:left w:val="nil"/>
              <w:bottom w:val="nil"/>
              <w:right w:val="nil"/>
            </w:tcBorders>
            <w:shd w:val="clear" w:color="auto" w:fill="auto"/>
            <w:noWrap/>
            <w:vAlign w:val="bottom"/>
          </w:tcPr>
          <w:p w14:paraId="3D6E1D95" w14:textId="77777777" w:rsidR="00240F3F" w:rsidRPr="008A2782" w:rsidRDefault="00240F3F" w:rsidP="00D422A0">
            <w:pPr>
              <w:spacing w:after="0" w:line="240" w:lineRule="auto"/>
              <w:rPr>
                <w:sz w:val="22"/>
                <w:szCs w:val="22"/>
                <w:lang w:bidi="ar-SA"/>
              </w:rPr>
            </w:pPr>
          </w:p>
        </w:tc>
        <w:tc>
          <w:tcPr>
            <w:tcW w:w="1441" w:type="dxa"/>
            <w:gridSpan w:val="2"/>
            <w:tcBorders>
              <w:top w:val="nil"/>
              <w:left w:val="nil"/>
              <w:bottom w:val="nil"/>
              <w:right w:val="nil"/>
            </w:tcBorders>
            <w:shd w:val="clear" w:color="auto" w:fill="auto"/>
            <w:noWrap/>
            <w:vAlign w:val="bottom"/>
          </w:tcPr>
          <w:p w14:paraId="4471A270" w14:textId="77777777" w:rsidR="00240F3F" w:rsidRPr="008A2782" w:rsidRDefault="00240F3F" w:rsidP="00D422A0">
            <w:pPr>
              <w:spacing w:after="0" w:line="240" w:lineRule="auto"/>
              <w:rPr>
                <w:sz w:val="22"/>
                <w:szCs w:val="22"/>
                <w:lang w:bidi="ar-SA"/>
              </w:rPr>
            </w:pPr>
          </w:p>
        </w:tc>
        <w:tc>
          <w:tcPr>
            <w:tcW w:w="656" w:type="dxa"/>
            <w:gridSpan w:val="2"/>
            <w:tcBorders>
              <w:top w:val="nil"/>
              <w:left w:val="nil"/>
              <w:bottom w:val="nil"/>
              <w:right w:val="nil"/>
            </w:tcBorders>
            <w:shd w:val="clear" w:color="auto" w:fill="auto"/>
            <w:noWrap/>
            <w:vAlign w:val="bottom"/>
          </w:tcPr>
          <w:p w14:paraId="56717D33" w14:textId="77777777" w:rsidR="00240F3F" w:rsidRPr="008A2782" w:rsidRDefault="00240F3F" w:rsidP="00D422A0">
            <w:pPr>
              <w:spacing w:after="0" w:line="240" w:lineRule="auto"/>
              <w:rPr>
                <w:sz w:val="22"/>
                <w:szCs w:val="22"/>
                <w:lang w:bidi="ar-SA"/>
              </w:rPr>
            </w:pPr>
          </w:p>
        </w:tc>
      </w:tr>
      <w:tr w:rsidR="00240F3F" w:rsidRPr="009D5939" w14:paraId="67923DCF" w14:textId="77777777" w:rsidTr="00455BF8">
        <w:trPr>
          <w:trHeight w:hRule="exact" w:val="274"/>
        </w:trPr>
        <w:tc>
          <w:tcPr>
            <w:tcW w:w="1800" w:type="dxa"/>
            <w:tcBorders>
              <w:top w:val="nil"/>
              <w:left w:val="nil"/>
              <w:bottom w:val="nil"/>
              <w:right w:val="nil"/>
            </w:tcBorders>
            <w:shd w:val="clear" w:color="auto" w:fill="auto"/>
            <w:noWrap/>
            <w:vAlign w:val="bottom"/>
            <w:hideMark/>
          </w:tcPr>
          <w:p w14:paraId="6A11B6E2"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Manchester</w:t>
            </w:r>
          </w:p>
        </w:tc>
        <w:tc>
          <w:tcPr>
            <w:tcW w:w="986" w:type="dxa"/>
            <w:tcBorders>
              <w:top w:val="nil"/>
              <w:left w:val="nil"/>
              <w:bottom w:val="nil"/>
              <w:right w:val="nil"/>
            </w:tcBorders>
            <w:shd w:val="clear" w:color="auto" w:fill="auto"/>
            <w:noWrap/>
            <w:vAlign w:val="bottom"/>
          </w:tcPr>
          <w:p w14:paraId="44A1F410"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12,198.8</w:t>
            </w:r>
          </w:p>
        </w:tc>
        <w:tc>
          <w:tcPr>
            <w:tcW w:w="974" w:type="dxa"/>
            <w:tcBorders>
              <w:top w:val="nil"/>
              <w:left w:val="nil"/>
              <w:bottom w:val="nil"/>
              <w:right w:val="nil"/>
            </w:tcBorders>
            <w:shd w:val="clear" w:color="auto" w:fill="auto"/>
            <w:noWrap/>
            <w:vAlign w:val="bottom"/>
          </w:tcPr>
          <w:p w14:paraId="141CDC3D"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210</w:t>
            </w:r>
          </w:p>
        </w:tc>
        <w:tc>
          <w:tcPr>
            <w:tcW w:w="1280" w:type="dxa"/>
            <w:tcBorders>
              <w:top w:val="nil"/>
              <w:left w:val="nil"/>
              <w:bottom w:val="nil"/>
              <w:right w:val="nil"/>
            </w:tcBorders>
            <w:shd w:val="clear" w:color="auto" w:fill="auto"/>
            <w:noWrap/>
            <w:vAlign w:val="bottom"/>
          </w:tcPr>
          <w:p w14:paraId="3239BC2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11,187.5</w:t>
            </w:r>
          </w:p>
        </w:tc>
        <w:tc>
          <w:tcPr>
            <w:tcW w:w="791" w:type="dxa"/>
            <w:tcBorders>
              <w:top w:val="nil"/>
              <w:left w:val="nil"/>
              <w:bottom w:val="nil"/>
              <w:right w:val="nil"/>
            </w:tcBorders>
            <w:shd w:val="clear" w:color="auto" w:fill="auto"/>
            <w:noWrap/>
            <w:vAlign w:val="bottom"/>
          </w:tcPr>
          <w:p w14:paraId="6BF3A2D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192</w:t>
            </w:r>
          </w:p>
        </w:tc>
        <w:tc>
          <w:tcPr>
            <w:tcW w:w="986" w:type="dxa"/>
            <w:tcBorders>
              <w:top w:val="nil"/>
              <w:left w:val="nil"/>
              <w:bottom w:val="nil"/>
              <w:right w:val="nil"/>
            </w:tcBorders>
            <w:shd w:val="clear" w:color="auto" w:fill="auto"/>
            <w:noWrap/>
            <w:vAlign w:val="bottom"/>
          </w:tcPr>
          <w:p w14:paraId="7CBA21C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12,541.5</w:t>
            </w:r>
          </w:p>
        </w:tc>
        <w:tc>
          <w:tcPr>
            <w:tcW w:w="791" w:type="dxa"/>
            <w:tcBorders>
              <w:top w:val="nil"/>
              <w:left w:val="nil"/>
              <w:bottom w:val="nil"/>
              <w:right w:val="nil"/>
            </w:tcBorders>
            <w:shd w:val="clear" w:color="auto" w:fill="auto"/>
            <w:noWrap/>
            <w:vAlign w:val="bottom"/>
          </w:tcPr>
          <w:p w14:paraId="0BAF119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216</w:t>
            </w:r>
          </w:p>
        </w:tc>
        <w:tc>
          <w:tcPr>
            <w:tcW w:w="1441" w:type="dxa"/>
            <w:gridSpan w:val="2"/>
            <w:tcBorders>
              <w:top w:val="nil"/>
              <w:left w:val="nil"/>
              <w:bottom w:val="nil"/>
              <w:right w:val="nil"/>
            </w:tcBorders>
            <w:shd w:val="clear" w:color="auto" w:fill="auto"/>
            <w:noWrap/>
            <w:vAlign w:val="bottom"/>
          </w:tcPr>
          <w:p w14:paraId="56425AD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14,293.4</w:t>
            </w:r>
          </w:p>
        </w:tc>
        <w:tc>
          <w:tcPr>
            <w:tcW w:w="656" w:type="dxa"/>
            <w:gridSpan w:val="2"/>
            <w:tcBorders>
              <w:top w:val="nil"/>
              <w:left w:val="nil"/>
              <w:bottom w:val="nil"/>
              <w:right w:val="nil"/>
            </w:tcBorders>
            <w:shd w:val="clear" w:color="auto" w:fill="auto"/>
            <w:noWrap/>
            <w:vAlign w:val="bottom"/>
          </w:tcPr>
          <w:p w14:paraId="4AA2EE0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246</w:t>
            </w:r>
          </w:p>
        </w:tc>
      </w:tr>
      <w:tr w:rsidR="00240F3F" w:rsidRPr="009D5939" w14:paraId="08B32F19" w14:textId="77777777" w:rsidTr="00455BF8">
        <w:trPr>
          <w:trHeight w:hRule="exact" w:val="274"/>
        </w:trPr>
        <w:tc>
          <w:tcPr>
            <w:tcW w:w="1800" w:type="dxa"/>
            <w:tcBorders>
              <w:top w:val="nil"/>
              <w:left w:val="nil"/>
              <w:bottom w:val="nil"/>
              <w:right w:val="nil"/>
            </w:tcBorders>
            <w:shd w:val="clear" w:color="auto" w:fill="auto"/>
            <w:noWrap/>
            <w:vAlign w:val="bottom"/>
            <w:hideMark/>
          </w:tcPr>
          <w:p w14:paraId="705A2209"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Meriden</w:t>
            </w:r>
          </w:p>
        </w:tc>
        <w:tc>
          <w:tcPr>
            <w:tcW w:w="986" w:type="dxa"/>
            <w:tcBorders>
              <w:top w:val="nil"/>
              <w:left w:val="nil"/>
              <w:bottom w:val="nil"/>
              <w:right w:val="nil"/>
            </w:tcBorders>
            <w:shd w:val="clear" w:color="auto" w:fill="auto"/>
            <w:noWrap/>
            <w:vAlign w:val="bottom"/>
          </w:tcPr>
          <w:p w14:paraId="4CD8AC6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9,952.9</w:t>
            </w:r>
          </w:p>
        </w:tc>
        <w:tc>
          <w:tcPr>
            <w:tcW w:w="974" w:type="dxa"/>
            <w:tcBorders>
              <w:top w:val="nil"/>
              <w:left w:val="nil"/>
              <w:bottom w:val="nil"/>
              <w:right w:val="nil"/>
            </w:tcBorders>
            <w:shd w:val="clear" w:color="auto" w:fill="auto"/>
            <w:noWrap/>
            <w:vAlign w:val="bottom"/>
          </w:tcPr>
          <w:p w14:paraId="2F5BC6DD"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164</w:t>
            </w:r>
          </w:p>
        </w:tc>
        <w:tc>
          <w:tcPr>
            <w:tcW w:w="1280" w:type="dxa"/>
            <w:tcBorders>
              <w:top w:val="nil"/>
              <w:left w:val="nil"/>
              <w:bottom w:val="nil"/>
              <w:right w:val="nil"/>
            </w:tcBorders>
            <w:shd w:val="clear" w:color="auto" w:fill="auto"/>
            <w:noWrap/>
            <w:vAlign w:val="bottom"/>
          </w:tcPr>
          <w:p w14:paraId="6EE8CA0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8,238.6</w:t>
            </w:r>
          </w:p>
        </w:tc>
        <w:tc>
          <w:tcPr>
            <w:tcW w:w="791" w:type="dxa"/>
            <w:tcBorders>
              <w:top w:val="nil"/>
              <w:left w:val="nil"/>
              <w:bottom w:val="nil"/>
              <w:right w:val="nil"/>
            </w:tcBorders>
            <w:shd w:val="clear" w:color="auto" w:fill="auto"/>
            <w:noWrap/>
            <w:vAlign w:val="bottom"/>
          </w:tcPr>
          <w:p w14:paraId="739B3BCB"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136</w:t>
            </w:r>
          </w:p>
        </w:tc>
        <w:tc>
          <w:tcPr>
            <w:tcW w:w="986" w:type="dxa"/>
            <w:tcBorders>
              <w:top w:val="nil"/>
              <w:left w:val="nil"/>
              <w:bottom w:val="nil"/>
              <w:right w:val="nil"/>
            </w:tcBorders>
            <w:shd w:val="clear" w:color="auto" w:fill="auto"/>
            <w:noWrap/>
            <w:vAlign w:val="bottom"/>
          </w:tcPr>
          <w:p w14:paraId="2551BF14"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11,032.2</w:t>
            </w:r>
          </w:p>
        </w:tc>
        <w:tc>
          <w:tcPr>
            <w:tcW w:w="791" w:type="dxa"/>
            <w:tcBorders>
              <w:top w:val="nil"/>
              <w:left w:val="nil"/>
              <w:bottom w:val="nil"/>
              <w:right w:val="nil"/>
            </w:tcBorders>
            <w:shd w:val="clear" w:color="auto" w:fill="auto"/>
            <w:noWrap/>
            <w:vAlign w:val="bottom"/>
          </w:tcPr>
          <w:p w14:paraId="4C1C1E22"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182</w:t>
            </w:r>
          </w:p>
        </w:tc>
        <w:tc>
          <w:tcPr>
            <w:tcW w:w="1441" w:type="dxa"/>
            <w:gridSpan w:val="2"/>
            <w:tcBorders>
              <w:top w:val="nil"/>
              <w:left w:val="nil"/>
              <w:bottom w:val="nil"/>
              <w:right w:val="nil"/>
            </w:tcBorders>
            <w:shd w:val="clear" w:color="auto" w:fill="auto"/>
            <w:noWrap/>
            <w:vAlign w:val="bottom"/>
          </w:tcPr>
          <w:p w14:paraId="6DBCDD3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11,936.1</w:t>
            </w:r>
          </w:p>
        </w:tc>
        <w:tc>
          <w:tcPr>
            <w:tcW w:w="656" w:type="dxa"/>
            <w:gridSpan w:val="2"/>
            <w:tcBorders>
              <w:top w:val="nil"/>
              <w:left w:val="nil"/>
              <w:bottom w:val="nil"/>
              <w:right w:val="nil"/>
            </w:tcBorders>
            <w:shd w:val="clear" w:color="auto" w:fill="auto"/>
            <w:noWrap/>
            <w:vAlign w:val="bottom"/>
          </w:tcPr>
          <w:p w14:paraId="017F38D0"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197</w:t>
            </w:r>
          </w:p>
        </w:tc>
      </w:tr>
      <w:tr w:rsidR="00240F3F" w:rsidRPr="009D5939" w14:paraId="5BF8CE83" w14:textId="77777777" w:rsidTr="00455BF8">
        <w:trPr>
          <w:trHeight w:hRule="exact" w:val="274"/>
        </w:trPr>
        <w:tc>
          <w:tcPr>
            <w:tcW w:w="1800" w:type="dxa"/>
            <w:tcBorders>
              <w:top w:val="nil"/>
              <w:left w:val="nil"/>
              <w:bottom w:val="nil"/>
              <w:right w:val="nil"/>
            </w:tcBorders>
            <w:shd w:val="clear" w:color="auto" w:fill="auto"/>
            <w:noWrap/>
            <w:vAlign w:val="bottom"/>
            <w:hideMark/>
          </w:tcPr>
          <w:p w14:paraId="5D229A03"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New London</w:t>
            </w:r>
          </w:p>
        </w:tc>
        <w:tc>
          <w:tcPr>
            <w:tcW w:w="986" w:type="dxa"/>
            <w:tcBorders>
              <w:top w:val="nil"/>
              <w:left w:val="nil"/>
              <w:bottom w:val="nil"/>
              <w:right w:val="nil"/>
            </w:tcBorders>
            <w:shd w:val="clear" w:color="auto" w:fill="auto"/>
            <w:noWrap/>
            <w:vAlign w:val="bottom"/>
          </w:tcPr>
          <w:p w14:paraId="137B58D2"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3,181.3</w:t>
            </w:r>
          </w:p>
        </w:tc>
        <w:tc>
          <w:tcPr>
            <w:tcW w:w="974" w:type="dxa"/>
            <w:tcBorders>
              <w:top w:val="nil"/>
              <w:left w:val="nil"/>
              <w:bottom w:val="nil"/>
              <w:right w:val="nil"/>
            </w:tcBorders>
            <w:shd w:val="clear" w:color="auto" w:fill="auto"/>
            <w:noWrap/>
            <w:vAlign w:val="bottom"/>
          </w:tcPr>
          <w:p w14:paraId="7E0B257C"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115</w:t>
            </w:r>
          </w:p>
        </w:tc>
        <w:tc>
          <w:tcPr>
            <w:tcW w:w="1280" w:type="dxa"/>
            <w:tcBorders>
              <w:top w:val="nil"/>
              <w:left w:val="nil"/>
              <w:bottom w:val="nil"/>
              <w:right w:val="nil"/>
            </w:tcBorders>
            <w:shd w:val="clear" w:color="auto" w:fill="auto"/>
            <w:noWrap/>
            <w:vAlign w:val="bottom"/>
          </w:tcPr>
          <w:p w14:paraId="0CAA04E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2,338.9</w:t>
            </w:r>
          </w:p>
        </w:tc>
        <w:tc>
          <w:tcPr>
            <w:tcW w:w="791" w:type="dxa"/>
            <w:tcBorders>
              <w:top w:val="nil"/>
              <w:left w:val="nil"/>
              <w:bottom w:val="nil"/>
              <w:right w:val="nil"/>
            </w:tcBorders>
            <w:shd w:val="clear" w:color="auto" w:fill="auto"/>
            <w:noWrap/>
            <w:vAlign w:val="bottom"/>
          </w:tcPr>
          <w:p w14:paraId="718AD952"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85</w:t>
            </w:r>
          </w:p>
        </w:tc>
        <w:tc>
          <w:tcPr>
            <w:tcW w:w="986" w:type="dxa"/>
            <w:tcBorders>
              <w:top w:val="nil"/>
              <w:left w:val="nil"/>
              <w:bottom w:val="nil"/>
              <w:right w:val="nil"/>
            </w:tcBorders>
            <w:shd w:val="clear" w:color="auto" w:fill="auto"/>
            <w:noWrap/>
            <w:vAlign w:val="bottom"/>
          </w:tcPr>
          <w:p w14:paraId="76C022F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7,796.2</w:t>
            </w:r>
          </w:p>
        </w:tc>
        <w:tc>
          <w:tcPr>
            <w:tcW w:w="791" w:type="dxa"/>
            <w:tcBorders>
              <w:top w:val="nil"/>
              <w:left w:val="nil"/>
              <w:bottom w:val="nil"/>
              <w:right w:val="nil"/>
            </w:tcBorders>
            <w:shd w:val="clear" w:color="auto" w:fill="auto"/>
            <w:noWrap/>
            <w:vAlign w:val="bottom"/>
          </w:tcPr>
          <w:p w14:paraId="440A211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283</w:t>
            </w:r>
          </w:p>
        </w:tc>
        <w:tc>
          <w:tcPr>
            <w:tcW w:w="1441" w:type="dxa"/>
            <w:gridSpan w:val="2"/>
            <w:tcBorders>
              <w:top w:val="nil"/>
              <w:left w:val="nil"/>
              <w:bottom w:val="nil"/>
              <w:right w:val="nil"/>
            </w:tcBorders>
            <w:shd w:val="clear" w:color="auto" w:fill="auto"/>
            <w:noWrap/>
            <w:vAlign w:val="bottom"/>
          </w:tcPr>
          <w:p w14:paraId="53A4549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6,115.5</w:t>
            </w:r>
          </w:p>
        </w:tc>
        <w:tc>
          <w:tcPr>
            <w:tcW w:w="656" w:type="dxa"/>
            <w:gridSpan w:val="2"/>
            <w:tcBorders>
              <w:top w:val="nil"/>
              <w:left w:val="nil"/>
              <w:bottom w:val="nil"/>
              <w:right w:val="nil"/>
            </w:tcBorders>
            <w:shd w:val="clear" w:color="auto" w:fill="auto"/>
            <w:noWrap/>
            <w:vAlign w:val="bottom"/>
          </w:tcPr>
          <w:p w14:paraId="624DC12D"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222</w:t>
            </w:r>
          </w:p>
        </w:tc>
      </w:tr>
      <w:tr w:rsidR="00240F3F" w:rsidRPr="009D5939" w14:paraId="1AFD5C87" w14:textId="77777777" w:rsidTr="00455BF8">
        <w:trPr>
          <w:trHeight w:hRule="exact" w:val="274"/>
        </w:trPr>
        <w:tc>
          <w:tcPr>
            <w:tcW w:w="1800" w:type="dxa"/>
            <w:tcBorders>
              <w:top w:val="nil"/>
              <w:left w:val="nil"/>
              <w:bottom w:val="nil"/>
              <w:right w:val="nil"/>
            </w:tcBorders>
            <w:shd w:val="clear" w:color="auto" w:fill="auto"/>
            <w:noWrap/>
            <w:vAlign w:val="bottom"/>
            <w:hideMark/>
          </w:tcPr>
          <w:p w14:paraId="73175865"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Torrington</w:t>
            </w:r>
          </w:p>
        </w:tc>
        <w:tc>
          <w:tcPr>
            <w:tcW w:w="986" w:type="dxa"/>
            <w:tcBorders>
              <w:top w:val="nil"/>
              <w:left w:val="nil"/>
              <w:bottom w:val="nil"/>
              <w:right w:val="nil"/>
            </w:tcBorders>
            <w:shd w:val="clear" w:color="auto" w:fill="auto"/>
            <w:noWrap/>
            <w:vAlign w:val="bottom"/>
          </w:tcPr>
          <w:p w14:paraId="61A70E9B"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6,142.4</w:t>
            </w:r>
          </w:p>
        </w:tc>
        <w:tc>
          <w:tcPr>
            <w:tcW w:w="974" w:type="dxa"/>
            <w:tcBorders>
              <w:top w:val="nil"/>
              <w:left w:val="nil"/>
              <w:bottom w:val="nil"/>
              <w:right w:val="nil"/>
            </w:tcBorders>
            <w:shd w:val="clear" w:color="auto" w:fill="auto"/>
            <w:noWrap/>
            <w:vAlign w:val="bottom"/>
          </w:tcPr>
          <w:p w14:paraId="60E82A2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170</w:t>
            </w:r>
          </w:p>
        </w:tc>
        <w:tc>
          <w:tcPr>
            <w:tcW w:w="1280" w:type="dxa"/>
            <w:tcBorders>
              <w:top w:val="nil"/>
              <w:left w:val="nil"/>
              <w:bottom w:val="nil"/>
              <w:right w:val="nil"/>
            </w:tcBorders>
            <w:shd w:val="clear" w:color="auto" w:fill="auto"/>
            <w:noWrap/>
            <w:vAlign w:val="bottom"/>
          </w:tcPr>
          <w:p w14:paraId="45A5C57A"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5,099.0</w:t>
            </w:r>
          </w:p>
        </w:tc>
        <w:tc>
          <w:tcPr>
            <w:tcW w:w="791" w:type="dxa"/>
            <w:tcBorders>
              <w:top w:val="nil"/>
              <w:left w:val="nil"/>
              <w:bottom w:val="nil"/>
              <w:right w:val="nil"/>
            </w:tcBorders>
            <w:shd w:val="clear" w:color="auto" w:fill="auto"/>
            <w:noWrap/>
            <w:vAlign w:val="bottom"/>
          </w:tcPr>
          <w:p w14:paraId="0395B2B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141</w:t>
            </w:r>
          </w:p>
        </w:tc>
        <w:tc>
          <w:tcPr>
            <w:tcW w:w="986" w:type="dxa"/>
            <w:tcBorders>
              <w:top w:val="nil"/>
              <w:left w:val="nil"/>
              <w:bottom w:val="nil"/>
              <w:right w:val="nil"/>
            </w:tcBorders>
            <w:shd w:val="clear" w:color="auto" w:fill="auto"/>
            <w:noWrap/>
            <w:vAlign w:val="bottom"/>
          </w:tcPr>
          <w:p w14:paraId="20F5BE58"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7,470.8</w:t>
            </w:r>
          </w:p>
        </w:tc>
        <w:tc>
          <w:tcPr>
            <w:tcW w:w="791" w:type="dxa"/>
            <w:tcBorders>
              <w:top w:val="nil"/>
              <w:left w:val="nil"/>
              <w:bottom w:val="nil"/>
              <w:right w:val="nil"/>
            </w:tcBorders>
            <w:shd w:val="clear" w:color="auto" w:fill="auto"/>
            <w:noWrap/>
            <w:vAlign w:val="bottom"/>
          </w:tcPr>
          <w:p w14:paraId="0E9401B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207</w:t>
            </w:r>
          </w:p>
        </w:tc>
        <w:tc>
          <w:tcPr>
            <w:tcW w:w="1441" w:type="dxa"/>
            <w:gridSpan w:val="2"/>
            <w:tcBorders>
              <w:top w:val="nil"/>
              <w:left w:val="nil"/>
              <w:bottom w:val="nil"/>
              <w:right w:val="nil"/>
            </w:tcBorders>
            <w:shd w:val="clear" w:color="auto" w:fill="auto"/>
            <w:noWrap/>
            <w:vAlign w:val="bottom"/>
          </w:tcPr>
          <w:p w14:paraId="5F12E22F"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7,728.3</w:t>
            </w:r>
          </w:p>
        </w:tc>
        <w:tc>
          <w:tcPr>
            <w:tcW w:w="656" w:type="dxa"/>
            <w:gridSpan w:val="2"/>
            <w:tcBorders>
              <w:top w:val="nil"/>
              <w:left w:val="nil"/>
              <w:bottom w:val="nil"/>
              <w:right w:val="nil"/>
            </w:tcBorders>
            <w:shd w:val="clear" w:color="auto" w:fill="auto"/>
            <w:noWrap/>
            <w:vAlign w:val="bottom"/>
          </w:tcPr>
          <w:p w14:paraId="727C05F4"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214</w:t>
            </w:r>
          </w:p>
        </w:tc>
      </w:tr>
      <w:tr w:rsidR="00240F3F" w:rsidRPr="009D5939" w14:paraId="152D7115" w14:textId="77777777" w:rsidTr="00455BF8">
        <w:trPr>
          <w:trHeight w:hRule="exact" w:val="274"/>
        </w:trPr>
        <w:tc>
          <w:tcPr>
            <w:tcW w:w="1800" w:type="dxa"/>
            <w:tcBorders>
              <w:top w:val="nil"/>
              <w:left w:val="nil"/>
              <w:bottom w:val="nil"/>
              <w:right w:val="nil"/>
            </w:tcBorders>
            <w:shd w:val="clear" w:color="auto" w:fill="auto"/>
            <w:noWrap/>
            <w:vAlign w:val="bottom"/>
            <w:hideMark/>
          </w:tcPr>
          <w:p w14:paraId="04D35654" w14:textId="77777777" w:rsidR="00240F3F" w:rsidRPr="008A2782" w:rsidRDefault="00240F3F" w:rsidP="00D422A0">
            <w:pPr>
              <w:spacing w:after="0" w:line="240" w:lineRule="auto"/>
              <w:rPr>
                <w:b/>
                <w:bCs/>
                <w:color w:val="000000"/>
                <w:sz w:val="22"/>
                <w:szCs w:val="22"/>
                <w:lang w:bidi="ar-SA"/>
              </w:rPr>
            </w:pPr>
            <w:r w:rsidRPr="008A2782">
              <w:rPr>
                <w:b/>
                <w:bCs/>
                <w:color w:val="000000"/>
                <w:sz w:val="22"/>
                <w:szCs w:val="22"/>
                <w:lang w:bidi="ar-SA"/>
              </w:rPr>
              <w:t xml:space="preserve">   Rich Suburbs</w:t>
            </w:r>
          </w:p>
        </w:tc>
        <w:tc>
          <w:tcPr>
            <w:tcW w:w="986" w:type="dxa"/>
            <w:tcBorders>
              <w:top w:val="nil"/>
              <w:left w:val="nil"/>
              <w:bottom w:val="nil"/>
              <w:right w:val="nil"/>
            </w:tcBorders>
            <w:shd w:val="clear" w:color="auto" w:fill="auto"/>
            <w:noWrap/>
            <w:vAlign w:val="bottom"/>
          </w:tcPr>
          <w:p w14:paraId="3AA3793B" w14:textId="77777777" w:rsidR="00240F3F" w:rsidRPr="008A2782" w:rsidRDefault="00240F3F" w:rsidP="00D422A0">
            <w:pPr>
              <w:spacing w:after="0" w:line="240" w:lineRule="auto"/>
              <w:rPr>
                <w:sz w:val="22"/>
                <w:szCs w:val="22"/>
                <w:lang w:bidi="ar-SA"/>
              </w:rPr>
            </w:pPr>
          </w:p>
        </w:tc>
        <w:tc>
          <w:tcPr>
            <w:tcW w:w="974" w:type="dxa"/>
            <w:tcBorders>
              <w:top w:val="nil"/>
              <w:left w:val="nil"/>
              <w:bottom w:val="nil"/>
              <w:right w:val="nil"/>
            </w:tcBorders>
            <w:shd w:val="clear" w:color="auto" w:fill="auto"/>
            <w:noWrap/>
            <w:vAlign w:val="bottom"/>
          </w:tcPr>
          <w:p w14:paraId="2C6EA66D" w14:textId="77777777" w:rsidR="00240F3F" w:rsidRPr="008A2782" w:rsidRDefault="00240F3F" w:rsidP="00D422A0">
            <w:pPr>
              <w:spacing w:after="0" w:line="240" w:lineRule="auto"/>
              <w:rPr>
                <w:sz w:val="22"/>
                <w:szCs w:val="22"/>
                <w:lang w:bidi="ar-SA"/>
              </w:rPr>
            </w:pPr>
          </w:p>
        </w:tc>
        <w:tc>
          <w:tcPr>
            <w:tcW w:w="1280" w:type="dxa"/>
            <w:tcBorders>
              <w:top w:val="nil"/>
              <w:left w:val="nil"/>
              <w:bottom w:val="nil"/>
              <w:right w:val="nil"/>
            </w:tcBorders>
            <w:shd w:val="clear" w:color="auto" w:fill="auto"/>
            <w:noWrap/>
            <w:vAlign w:val="bottom"/>
          </w:tcPr>
          <w:p w14:paraId="2BF35CD8" w14:textId="77777777" w:rsidR="00240F3F" w:rsidRPr="008A2782" w:rsidRDefault="00240F3F" w:rsidP="00D422A0">
            <w:pPr>
              <w:spacing w:after="0" w:line="240" w:lineRule="auto"/>
              <w:rPr>
                <w:sz w:val="22"/>
                <w:szCs w:val="22"/>
                <w:lang w:bidi="ar-SA"/>
              </w:rPr>
            </w:pPr>
          </w:p>
        </w:tc>
        <w:tc>
          <w:tcPr>
            <w:tcW w:w="791" w:type="dxa"/>
            <w:tcBorders>
              <w:top w:val="nil"/>
              <w:left w:val="nil"/>
              <w:bottom w:val="nil"/>
              <w:right w:val="nil"/>
            </w:tcBorders>
            <w:shd w:val="clear" w:color="auto" w:fill="auto"/>
            <w:noWrap/>
            <w:vAlign w:val="bottom"/>
          </w:tcPr>
          <w:p w14:paraId="323D9B9E" w14:textId="77777777" w:rsidR="00240F3F" w:rsidRPr="008A2782" w:rsidRDefault="00240F3F" w:rsidP="00D422A0">
            <w:pPr>
              <w:spacing w:after="0" w:line="240" w:lineRule="auto"/>
              <w:rPr>
                <w:sz w:val="22"/>
                <w:szCs w:val="22"/>
                <w:lang w:bidi="ar-SA"/>
              </w:rPr>
            </w:pPr>
          </w:p>
        </w:tc>
        <w:tc>
          <w:tcPr>
            <w:tcW w:w="986" w:type="dxa"/>
            <w:tcBorders>
              <w:top w:val="nil"/>
              <w:left w:val="nil"/>
              <w:bottom w:val="nil"/>
              <w:right w:val="nil"/>
            </w:tcBorders>
            <w:shd w:val="clear" w:color="auto" w:fill="auto"/>
            <w:noWrap/>
            <w:vAlign w:val="bottom"/>
          </w:tcPr>
          <w:p w14:paraId="0087CB61" w14:textId="77777777" w:rsidR="00240F3F" w:rsidRPr="008A2782" w:rsidRDefault="00240F3F" w:rsidP="00D422A0">
            <w:pPr>
              <w:spacing w:after="0" w:line="240" w:lineRule="auto"/>
              <w:rPr>
                <w:sz w:val="22"/>
                <w:szCs w:val="22"/>
                <w:lang w:bidi="ar-SA"/>
              </w:rPr>
            </w:pPr>
          </w:p>
        </w:tc>
        <w:tc>
          <w:tcPr>
            <w:tcW w:w="791" w:type="dxa"/>
            <w:tcBorders>
              <w:top w:val="nil"/>
              <w:left w:val="nil"/>
              <w:bottom w:val="nil"/>
              <w:right w:val="nil"/>
            </w:tcBorders>
            <w:shd w:val="clear" w:color="auto" w:fill="auto"/>
            <w:noWrap/>
            <w:vAlign w:val="bottom"/>
          </w:tcPr>
          <w:p w14:paraId="7491E695" w14:textId="77777777" w:rsidR="00240F3F" w:rsidRPr="008A2782" w:rsidRDefault="00240F3F" w:rsidP="00D422A0">
            <w:pPr>
              <w:spacing w:after="0" w:line="240" w:lineRule="auto"/>
              <w:rPr>
                <w:sz w:val="22"/>
                <w:szCs w:val="22"/>
                <w:lang w:bidi="ar-SA"/>
              </w:rPr>
            </w:pPr>
          </w:p>
        </w:tc>
        <w:tc>
          <w:tcPr>
            <w:tcW w:w="1441" w:type="dxa"/>
            <w:gridSpan w:val="2"/>
            <w:tcBorders>
              <w:top w:val="nil"/>
              <w:left w:val="nil"/>
              <w:bottom w:val="nil"/>
              <w:right w:val="nil"/>
            </w:tcBorders>
            <w:shd w:val="clear" w:color="auto" w:fill="auto"/>
            <w:noWrap/>
            <w:vAlign w:val="bottom"/>
          </w:tcPr>
          <w:p w14:paraId="1C47D1A0" w14:textId="77777777" w:rsidR="00240F3F" w:rsidRPr="008A2782" w:rsidRDefault="00240F3F" w:rsidP="00D422A0">
            <w:pPr>
              <w:spacing w:after="0" w:line="240" w:lineRule="auto"/>
              <w:rPr>
                <w:sz w:val="22"/>
                <w:szCs w:val="22"/>
                <w:lang w:bidi="ar-SA"/>
              </w:rPr>
            </w:pPr>
          </w:p>
        </w:tc>
        <w:tc>
          <w:tcPr>
            <w:tcW w:w="656" w:type="dxa"/>
            <w:gridSpan w:val="2"/>
            <w:tcBorders>
              <w:top w:val="nil"/>
              <w:left w:val="nil"/>
              <w:bottom w:val="nil"/>
              <w:right w:val="nil"/>
            </w:tcBorders>
            <w:shd w:val="clear" w:color="auto" w:fill="auto"/>
            <w:noWrap/>
            <w:vAlign w:val="bottom"/>
          </w:tcPr>
          <w:p w14:paraId="0A41B0EF" w14:textId="77777777" w:rsidR="00240F3F" w:rsidRPr="008A2782" w:rsidRDefault="00240F3F" w:rsidP="00D422A0">
            <w:pPr>
              <w:spacing w:after="0" w:line="240" w:lineRule="auto"/>
              <w:rPr>
                <w:sz w:val="22"/>
                <w:szCs w:val="22"/>
                <w:lang w:bidi="ar-SA"/>
              </w:rPr>
            </w:pPr>
          </w:p>
        </w:tc>
      </w:tr>
      <w:tr w:rsidR="00240F3F" w:rsidRPr="009D5939" w14:paraId="3B68D965" w14:textId="77777777" w:rsidTr="00455BF8">
        <w:trPr>
          <w:trHeight w:hRule="exact" w:val="274"/>
        </w:trPr>
        <w:tc>
          <w:tcPr>
            <w:tcW w:w="1800" w:type="dxa"/>
            <w:tcBorders>
              <w:top w:val="nil"/>
              <w:left w:val="nil"/>
              <w:bottom w:val="nil"/>
              <w:right w:val="nil"/>
            </w:tcBorders>
            <w:shd w:val="clear" w:color="auto" w:fill="auto"/>
            <w:noWrap/>
            <w:vAlign w:val="bottom"/>
            <w:hideMark/>
          </w:tcPr>
          <w:p w14:paraId="0B57E536"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Glastonbury</w:t>
            </w:r>
          </w:p>
        </w:tc>
        <w:tc>
          <w:tcPr>
            <w:tcW w:w="986" w:type="dxa"/>
            <w:tcBorders>
              <w:top w:val="nil"/>
              <w:left w:val="nil"/>
              <w:bottom w:val="nil"/>
              <w:right w:val="nil"/>
            </w:tcBorders>
            <w:shd w:val="clear" w:color="auto" w:fill="auto"/>
            <w:noWrap/>
            <w:vAlign w:val="bottom"/>
          </w:tcPr>
          <w:p w14:paraId="4600ED08"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15,559.9</w:t>
            </w:r>
          </w:p>
        </w:tc>
        <w:tc>
          <w:tcPr>
            <w:tcW w:w="974" w:type="dxa"/>
            <w:tcBorders>
              <w:top w:val="nil"/>
              <w:left w:val="nil"/>
              <w:bottom w:val="nil"/>
              <w:right w:val="nil"/>
            </w:tcBorders>
            <w:shd w:val="clear" w:color="auto" w:fill="auto"/>
            <w:noWrap/>
            <w:vAlign w:val="bottom"/>
          </w:tcPr>
          <w:p w14:paraId="2C923063"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450</w:t>
            </w:r>
          </w:p>
        </w:tc>
        <w:tc>
          <w:tcPr>
            <w:tcW w:w="1280" w:type="dxa"/>
            <w:tcBorders>
              <w:top w:val="nil"/>
              <w:left w:val="nil"/>
              <w:bottom w:val="nil"/>
              <w:right w:val="nil"/>
            </w:tcBorders>
            <w:shd w:val="clear" w:color="auto" w:fill="auto"/>
            <w:noWrap/>
            <w:vAlign w:val="bottom"/>
          </w:tcPr>
          <w:p w14:paraId="7F570FB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18,768.0</w:t>
            </w:r>
          </w:p>
        </w:tc>
        <w:tc>
          <w:tcPr>
            <w:tcW w:w="791" w:type="dxa"/>
            <w:tcBorders>
              <w:top w:val="nil"/>
              <w:left w:val="nil"/>
              <w:bottom w:val="nil"/>
              <w:right w:val="nil"/>
            </w:tcBorders>
            <w:shd w:val="clear" w:color="auto" w:fill="auto"/>
            <w:noWrap/>
            <w:vAlign w:val="bottom"/>
          </w:tcPr>
          <w:p w14:paraId="4A01EF50"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543</w:t>
            </w:r>
          </w:p>
        </w:tc>
        <w:tc>
          <w:tcPr>
            <w:tcW w:w="986" w:type="dxa"/>
            <w:tcBorders>
              <w:top w:val="nil"/>
              <w:left w:val="nil"/>
              <w:bottom w:val="nil"/>
              <w:right w:val="nil"/>
            </w:tcBorders>
            <w:shd w:val="clear" w:color="auto" w:fill="auto"/>
            <w:noWrap/>
            <w:vAlign w:val="bottom"/>
          </w:tcPr>
          <w:p w14:paraId="4746AD33"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10,278.9</w:t>
            </w:r>
          </w:p>
        </w:tc>
        <w:tc>
          <w:tcPr>
            <w:tcW w:w="791" w:type="dxa"/>
            <w:tcBorders>
              <w:top w:val="nil"/>
              <w:left w:val="nil"/>
              <w:bottom w:val="nil"/>
              <w:right w:val="nil"/>
            </w:tcBorders>
            <w:shd w:val="clear" w:color="auto" w:fill="auto"/>
            <w:noWrap/>
            <w:vAlign w:val="bottom"/>
          </w:tcPr>
          <w:p w14:paraId="7D6F4EE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297</w:t>
            </w:r>
          </w:p>
        </w:tc>
        <w:tc>
          <w:tcPr>
            <w:tcW w:w="1441" w:type="dxa"/>
            <w:gridSpan w:val="2"/>
            <w:tcBorders>
              <w:top w:val="nil"/>
              <w:left w:val="nil"/>
              <w:bottom w:val="nil"/>
              <w:right w:val="nil"/>
            </w:tcBorders>
            <w:shd w:val="clear" w:color="auto" w:fill="auto"/>
            <w:noWrap/>
            <w:vAlign w:val="bottom"/>
          </w:tcPr>
          <w:p w14:paraId="3232B16F"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13,965.3</w:t>
            </w:r>
          </w:p>
        </w:tc>
        <w:tc>
          <w:tcPr>
            <w:tcW w:w="656" w:type="dxa"/>
            <w:gridSpan w:val="2"/>
            <w:tcBorders>
              <w:top w:val="nil"/>
              <w:left w:val="nil"/>
              <w:bottom w:val="nil"/>
              <w:right w:val="nil"/>
            </w:tcBorders>
            <w:shd w:val="clear" w:color="auto" w:fill="auto"/>
            <w:noWrap/>
            <w:vAlign w:val="bottom"/>
          </w:tcPr>
          <w:p w14:paraId="5DCDCE1B"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404</w:t>
            </w:r>
          </w:p>
        </w:tc>
      </w:tr>
      <w:tr w:rsidR="00240F3F" w:rsidRPr="009D5939" w14:paraId="03E7DB5D" w14:textId="77777777" w:rsidTr="00455BF8">
        <w:trPr>
          <w:trHeight w:hRule="exact" w:val="274"/>
        </w:trPr>
        <w:tc>
          <w:tcPr>
            <w:tcW w:w="1800" w:type="dxa"/>
            <w:tcBorders>
              <w:top w:val="nil"/>
              <w:left w:val="nil"/>
              <w:bottom w:val="nil"/>
              <w:right w:val="nil"/>
            </w:tcBorders>
            <w:shd w:val="clear" w:color="auto" w:fill="auto"/>
            <w:noWrap/>
            <w:vAlign w:val="bottom"/>
            <w:hideMark/>
          </w:tcPr>
          <w:p w14:paraId="4068CDA2"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Guilford</w:t>
            </w:r>
          </w:p>
        </w:tc>
        <w:tc>
          <w:tcPr>
            <w:tcW w:w="986" w:type="dxa"/>
            <w:tcBorders>
              <w:top w:val="nil"/>
              <w:left w:val="nil"/>
              <w:bottom w:val="nil"/>
              <w:right w:val="nil"/>
            </w:tcBorders>
            <w:shd w:val="clear" w:color="auto" w:fill="auto"/>
            <w:noWrap/>
            <w:vAlign w:val="bottom"/>
          </w:tcPr>
          <w:p w14:paraId="0FA5A6C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9,401.6</w:t>
            </w:r>
          </w:p>
        </w:tc>
        <w:tc>
          <w:tcPr>
            <w:tcW w:w="974" w:type="dxa"/>
            <w:tcBorders>
              <w:top w:val="nil"/>
              <w:left w:val="nil"/>
              <w:bottom w:val="nil"/>
              <w:right w:val="nil"/>
            </w:tcBorders>
            <w:shd w:val="clear" w:color="auto" w:fill="auto"/>
            <w:noWrap/>
            <w:vAlign w:val="bottom"/>
          </w:tcPr>
          <w:p w14:paraId="60FCF65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420</w:t>
            </w:r>
          </w:p>
        </w:tc>
        <w:tc>
          <w:tcPr>
            <w:tcW w:w="1280" w:type="dxa"/>
            <w:tcBorders>
              <w:top w:val="nil"/>
              <w:left w:val="nil"/>
              <w:bottom w:val="nil"/>
              <w:right w:val="nil"/>
            </w:tcBorders>
            <w:shd w:val="clear" w:color="auto" w:fill="auto"/>
            <w:noWrap/>
            <w:vAlign w:val="bottom"/>
          </w:tcPr>
          <w:p w14:paraId="638348B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11,316.2</w:t>
            </w:r>
          </w:p>
        </w:tc>
        <w:tc>
          <w:tcPr>
            <w:tcW w:w="791" w:type="dxa"/>
            <w:tcBorders>
              <w:top w:val="nil"/>
              <w:left w:val="nil"/>
              <w:bottom w:val="nil"/>
              <w:right w:val="nil"/>
            </w:tcBorders>
            <w:shd w:val="clear" w:color="auto" w:fill="auto"/>
            <w:noWrap/>
            <w:vAlign w:val="bottom"/>
          </w:tcPr>
          <w:p w14:paraId="3E89578B"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506</w:t>
            </w:r>
          </w:p>
        </w:tc>
        <w:tc>
          <w:tcPr>
            <w:tcW w:w="986" w:type="dxa"/>
            <w:tcBorders>
              <w:top w:val="nil"/>
              <w:left w:val="nil"/>
              <w:bottom w:val="nil"/>
              <w:right w:val="nil"/>
            </w:tcBorders>
            <w:shd w:val="clear" w:color="auto" w:fill="auto"/>
            <w:noWrap/>
            <w:vAlign w:val="bottom"/>
          </w:tcPr>
          <w:p w14:paraId="35F038C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4,091.0</w:t>
            </w:r>
          </w:p>
        </w:tc>
        <w:tc>
          <w:tcPr>
            <w:tcW w:w="791" w:type="dxa"/>
            <w:tcBorders>
              <w:top w:val="nil"/>
              <w:left w:val="nil"/>
              <w:bottom w:val="nil"/>
              <w:right w:val="nil"/>
            </w:tcBorders>
            <w:shd w:val="clear" w:color="auto" w:fill="auto"/>
            <w:noWrap/>
            <w:vAlign w:val="bottom"/>
          </w:tcPr>
          <w:p w14:paraId="5BBEF67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183</w:t>
            </w:r>
          </w:p>
        </w:tc>
        <w:tc>
          <w:tcPr>
            <w:tcW w:w="1441" w:type="dxa"/>
            <w:gridSpan w:val="2"/>
            <w:tcBorders>
              <w:top w:val="nil"/>
              <w:left w:val="nil"/>
              <w:bottom w:val="nil"/>
              <w:right w:val="nil"/>
            </w:tcBorders>
            <w:shd w:val="clear" w:color="auto" w:fill="auto"/>
            <w:noWrap/>
            <w:vAlign w:val="bottom"/>
          </w:tcPr>
          <w:p w14:paraId="4803358F"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6,488.0</w:t>
            </w:r>
          </w:p>
        </w:tc>
        <w:tc>
          <w:tcPr>
            <w:tcW w:w="656" w:type="dxa"/>
            <w:gridSpan w:val="2"/>
            <w:tcBorders>
              <w:top w:val="nil"/>
              <w:left w:val="nil"/>
              <w:bottom w:val="nil"/>
              <w:right w:val="nil"/>
            </w:tcBorders>
            <w:shd w:val="clear" w:color="auto" w:fill="auto"/>
            <w:noWrap/>
            <w:vAlign w:val="bottom"/>
          </w:tcPr>
          <w:p w14:paraId="3E2A9D78"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290</w:t>
            </w:r>
          </w:p>
        </w:tc>
      </w:tr>
      <w:tr w:rsidR="00240F3F" w:rsidRPr="009D5939" w14:paraId="3930797B" w14:textId="77777777" w:rsidTr="00455BF8">
        <w:trPr>
          <w:trHeight w:hRule="exact" w:val="274"/>
        </w:trPr>
        <w:tc>
          <w:tcPr>
            <w:tcW w:w="1800" w:type="dxa"/>
            <w:tcBorders>
              <w:top w:val="nil"/>
              <w:left w:val="nil"/>
              <w:bottom w:val="nil"/>
              <w:right w:val="nil"/>
            </w:tcBorders>
            <w:shd w:val="clear" w:color="auto" w:fill="auto"/>
            <w:noWrap/>
            <w:vAlign w:val="bottom"/>
            <w:hideMark/>
          </w:tcPr>
          <w:p w14:paraId="70D73F4C"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Litchfield</w:t>
            </w:r>
          </w:p>
        </w:tc>
        <w:tc>
          <w:tcPr>
            <w:tcW w:w="986" w:type="dxa"/>
            <w:tcBorders>
              <w:top w:val="nil"/>
              <w:left w:val="nil"/>
              <w:bottom w:val="nil"/>
              <w:right w:val="nil"/>
            </w:tcBorders>
            <w:shd w:val="clear" w:color="auto" w:fill="auto"/>
            <w:noWrap/>
            <w:vAlign w:val="bottom"/>
          </w:tcPr>
          <w:p w14:paraId="0CA42F83"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2,537.2</w:t>
            </w:r>
          </w:p>
        </w:tc>
        <w:tc>
          <w:tcPr>
            <w:tcW w:w="974" w:type="dxa"/>
            <w:tcBorders>
              <w:top w:val="nil"/>
              <w:left w:val="nil"/>
              <w:bottom w:val="nil"/>
              <w:right w:val="nil"/>
            </w:tcBorders>
            <w:shd w:val="clear" w:color="auto" w:fill="auto"/>
            <w:noWrap/>
            <w:vAlign w:val="bottom"/>
          </w:tcPr>
          <w:p w14:paraId="11BF737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302</w:t>
            </w:r>
          </w:p>
        </w:tc>
        <w:tc>
          <w:tcPr>
            <w:tcW w:w="1280" w:type="dxa"/>
            <w:tcBorders>
              <w:top w:val="nil"/>
              <w:left w:val="nil"/>
              <w:bottom w:val="nil"/>
              <w:right w:val="nil"/>
            </w:tcBorders>
            <w:shd w:val="clear" w:color="auto" w:fill="auto"/>
            <w:noWrap/>
            <w:vAlign w:val="bottom"/>
          </w:tcPr>
          <w:p w14:paraId="78BD1230"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2,680.9</w:t>
            </w:r>
          </w:p>
        </w:tc>
        <w:tc>
          <w:tcPr>
            <w:tcW w:w="791" w:type="dxa"/>
            <w:tcBorders>
              <w:top w:val="nil"/>
              <w:left w:val="nil"/>
              <w:bottom w:val="nil"/>
              <w:right w:val="nil"/>
            </w:tcBorders>
            <w:shd w:val="clear" w:color="auto" w:fill="auto"/>
            <w:noWrap/>
            <w:vAlign w:val="bottom"/>
          </w:tcPr>
          <w:p w14:paraId="086FAE9B"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319</w:t>
            </w:r>
          </w:p>
        </w:tc>
        <w:tc>
          <w:tcPr>
            <w:tcW w:w="986" w:type="dxa"/>
            <w:tcBorders>
              <w:top w:val="nil"/>
              <w:left w:val="nil"/>
              <w:bottom w:val="nil"/>
              <w:right w:val="nil"/>
            </w:tcBorders>
            <w:shd w:val="clear" w:color="auto" w:fill="auto"/>
            <w:noWrap/>
            <w:vAlign w:val="bottom"/>
          </w:tcPr>
          <w:p w14:paraId="3F8A2AD4"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1,588.7</w:t>
            </w:r>
          </w:p>
        </w:tc>
        <w:tc>
          <w:tcPr>
            <w:tcW w:w="791" w:type="dxa"/>
            <w:tcBorders>
              <w:top w:val="nil"/>
              <w:left w:val="nil"/>
              <w:bottom w:val="nil"/>
              <w:right w:val="nil"/>
            </w:tcBorders>
            <w:shd w:val="clear" w:color="auto" w:fill="auto"/>
            <w:noWrap/>
            <w:vAlign w:val="bottom"/>
          </w:tcPr>
          <w:p w14:paraId="3299DB8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189</w:t>
            </w:r>
          </w:p>
        </w:tc>
        <w:tc>
          <w:tcPr>
            <w:tcW w:w="1441" w:type="dxa"/>
            <w:gridSpan w:val="2"/>
            <w:tcBorders>
              <w:top w:val="nil"/>
              <w:left w:val="nil"/>
              <w:bottom w:val="nil"/>
              <w:right w:val="nil"/>
            </w:tcBorders>
            <w:shd w:val="clear" w:color="auto" w:fill="auto"/>
            <w:noWrap/>
            <w:vAlign w:val="bottom"/>
          </w:tcPr>
          <w:p w14:paraId="5387EC6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2,067.4</w:t>
            </w:r>
          </w:p>
        </w:tc>
        <w:tc>
          <w:tcPr>
            <w:tcW w:w="656" w:type="dxa"/>
            <w:gridSpan w:val="2"/>
            <w:tcBorders>
              <w:top w:val="nil"/>
              <w:left w:val="nil"/>
              <w:bottom w:val="nil"/>
              <w:right w:val="nil"/>
            </w:tcBorders>
            <w:shd w:val="clear" w:color="auto" w:fill="auto"/>
            <w:noWrap/>
            <w:vAlign w:val="bottom"/>
          </w:tcPr>
          <w:p w14:paraId="2085699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246</w:t>
            </w:r>
          </w:p>
        </w:tc>
      </w:tr>
      <w:tr w:rsidR="00240F3F" w:rsidRPr="009D5939" w14:paraId="708F6FB6" w14:textId="77777777" w:rsidTr="00455BF8">
        <w:trPr>
          <w:trHeight w:hRule="exact" w:val="274"/>
        </w:trPr>
        <w:tc>
          <w:tcPr>
            <w:tcW w:w="1800" w:type="dxa"/>
            <w:tcBorders>
              <w:top w:val="nil"/>
              <w:left w:val="nil"/>
              <w:bottom w:val="nil"/>
              <w:right w:val="nil"/>
            </w:tcBorders>
            <w:shd w:val="clear" w:color="auto" w:fill="auto"/>
            <w:noWrap/>
            <w:vAlign w:val="bottom"/>
            <w:hideMark/>
          </w:tcPr>
          <w:p w14:paraId="13B1434C"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New Canaan</w:t>
            </w:r>
          </w:p>
        </w:tc>
        <w:tc>
          <w:tcPr>
            <w:tcW w:w="986" w:type="dxa"/>
            <w:tcBorders>
              <w:top w:val="nil"/>
              <w:left w:val="nil"/>
              <w:bottom w:val="nil"/>
              <w:right w:val="nil"/>
            </w:tcBorders>
            <w:shd w:val="clear" w:color="auto" w:fill="auto"/>
            <w:noWrap/>
            <w:vAlign w:val="bottom"/>
          </w:tcPr>
          <w:p w14:paraId="126F656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34,492.7</w:t>
            </w:r>
          </w:p>
        </w:tc>
        <w:tc>
          <w:tcPr>
            <w:tcW w:w="974" w:type="dxa"/>
            <w:tcBorders>
              <w:top w:val="nil"/>
              <w:left w:val="nil"/>
              <w:bottom w:val="nil"/>
              <w:right w:val="nil"/>
            </w:tcBorders>
            <w:shd w:val="clear" w:color="auto" w:fill="auto"/>
            <w:noWrap/>
            <w:vAlign w:val="bottom"/>
          </w:tcPr>
          <w:p w14:paraId="5691A2AA"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1730</w:t>
            </w:r>
          </w:p>
        </w:tc>
        <w:tc>
          <w:tcPr>
            <w:tcW w:w="1280" w:type="dxa"/>
            <w:tcBorders>
              <w:top w:val="nil"/>
              <w:left w:val="nil"/>
              <w:bottom w:val="nil"/>
              <w:right w:val="nil"/>
            </w:tcBorders>
            <w:shd w:val="clear" w:color="auto" w:fill="auto"/>
            <w:noWrap/>
            <w:vAlign w:val="bottom"/>
          </w:tcPr>
          <w:p w14:paraId="2C1A3ED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36,224.2</w:t>
            </w:r>
          </w:p>
        </w:tc>
        <w:tc>
          <w:tcPr>
            <w:tcW w:w="791" w:type="dxa"/>
            <w:tcBorders>
              <w:top w:val="nil"/>
              <w:left w:val="nil"/>
              <w:bottom w:val="nil"/>
              <w:right w:val="nil"/>
            </w:tcBorders>
            <w:shd w:val="clear" w:color="auto" w:fill="auto"/>
            <w:noWrap/>
            <w:vAlign w:val="bottom"/>
          </w:tcPr>
          <w:p w14:paraId="05E93A83"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1817</w:t>
            </w:r>
          </w:p>
        </w:tc>
        <w:tc>
          <w:tcPr>
            <w:tcW w:w="986" w:type="dxa"/>
            <w:tcBorders>
              <w:top w:val="nil"/>
              <w:left w:val="nil"/>
              <w:bottom w:val="nil"/>
              <w:right w:val="nil"/>
            </w:tcBorders>
            <w:shd w:val="clear" w:color="auto" w:fill="auto"/>
            <w:noWrap/>
            <w:vAlign w:val="bottom"/>
          </w:tcPr>
          <w:p w14:paraId="5F7671DB"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4,736.8</w:t>
            </w:r>
          </w:p>
        </w:tc>
        <w:tc>
          <w:tcPr>
            <w:tcW w:w="791" w:type="dxa"/>
            <w:tcBorders>
              <w:top w:val="nil"/>
              <w:left w:val="nil"/>
              <w:bottom w:val="nil"/>
              <w:right w:val="nil"/>
            </w:tcBorders>
            <w:shd w:val="clear" w:color="auto" w:fill="auto"/>
            <w:noWrap/>
            <w:vAlign w:val="bottom"/>
          </w:tcPr>
          <w:p w14:paraId="5DFAB63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238</w:t>
            </w:r>
          </w:p>
        </w:tc>
        <w:tc>
          <w:tcPr>
            <w:tcW w:w="1441" w:type="dxa"/>
            <w:gridSpan w:val="2"/>
            <w:tcBorders>
              <w:top w:val="nil"/>
              <w:left w:val="nil"/>
              <w:bottom w:val="nil"/>
              <w:right w:val="nil"/>
            </w:tcBorders>
            <w:shd w:val="clear" w:color="auto" w:fill="auto"/>
            <w:noWrap/>
            <w:vAlign w:val="bottom"/>
          </w:tcPr>
          <w:p w14:paraId="762D967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9,204.6</w:t>
            </w:r>
          </w:p>
        </w:tc>
        <w:tc>
          <w:tcPr>
            <w:tcW w:w="656" w:type="dxa"/>
            <w:gridSpan w:val="2"/>
            <w:tcBorders>
              <w:top w:val="nil"/>
              <w:left w:val="nil"/>
              <w:bottom w:val="nil"/>
              <w:right w:val="nil"/>
            </w:tcBorders>
            <w:shd w:val="clear" w:color="auto" w:fill="auto"/>
            <w:noWrap/>
            <w:vAlign w:val="bottom"/>
          </w:tcPr>
          <w:p w14:paraId="4DF2A42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462</w:t>
            </w:r>
          </w:p>
        </w:tc>
      </w:tr>
      <w:tr w:rsidR="00240F3F" w:rsidRPr="009D5939" w14:paraId="388A358F" w14:textId="77777777" w:rsidTr="00455BF8">
        <w:trPr>
          <w:trHeight w:hRule="exact" w:val="274"/>
        </w:trPr>
        <w:tc>
          <w:tcPr>
            <w:tcW w:w="1800" w:type="dxa"/>
            <w:tcBorders>
              <w:top w:val="nil"/>
              <w:left w:val="nil"/>
              <w:bottom w:val="nil"/>
              <w:right w:val="nil"/>
            </w:tcBorders>
            <w:shd w:val="clear" w:color="auto" w:fill="auto"/>
            <w:noWrap/>
            <w:vAlign w:val="bottom"/>
            <w:hideMark/>
          </w:tcPr>
          <w:p w14:paraId="49BD7E45" w14:textId="77777777" w:rsidR="00240F3F" w:rsidRPr="008A2782" w:rsidRDefault="00240F3F" w:rsidP="00D422A0">
            <w:pPr>
              <w:spacing w:after="0" w:line="240" w:lineRule="auto"/>
              <w:rPr>
                <w:b/>
                <w:bCs/>
                <w:color w:val="000000"/>
                <w:sz w:val="22"/>
                <w:szCs w:val="22"/>
                <w:lang w:bidi="ar-SA"/>
              </w:rPr>
            </w:pPr>
            <w:r w:rsidRPr="008A2782">
              <w:rPr>
                <w:b/>
                <w:bCs/>
                <w:color w:val="000000"/>
                <w:sz w:val="22"/>
                <w:szCs w:val="22"/>
                <w:lang w:bidi="ar-SA"/>
              </w:rPr>
              <w:t xml:space="preserve">   Mixed Base</w:t>
            </w:r>
          </w:p>
        </w:tc>
        <w:tc>
          <w:tcPr>
            <w:tcW w:w="986" w:type="dxa"/>
            <w:tcBorders>
              <w:top w:val="nil"/>
              <w:left w:val="nil"/>
              <w:bottom w:val="nil"/>
              <w:right w:val="nil"/>
            </w:tcBorders>
            <w:shd w:val="clear" w:color="auto" w:fill="auto"/>
            <w:noWrap/>
            <w:vAlign w:val="bottom"/>
          </w:tcPr>
          <w:p w14:paraId="05A1FF4D" w14:textId="77777777" w:rsidR="00240F3F" w:rsidRPr="008A2782" w:rsidRDefault="00240F3F" w:rsidP="00D422A0">
            <w:pPr>
              <w:spacing w:after="0" w:line="240" w:lineRule="auto"/>
              <w:rPr>
                <w:sz w:val="22"/>
                <w:szCs w:val="22"/>
                <w:lang w:bidi="ar-SA"/>
              </w:rPr>
            </w:pPr>
          </w:p>
        </w:tc>
        <w:tc>
          <w:tcPr>
            <w:tcW w:w="974" w:type="dxa"/>
            <w:tcBorders>
              <w:top w:val="nil"/>
              <w:left w:val="nil"/>
              <w:bottom w:val="nil"/>
              <w:right w:val="nil"/>
            </w:tcBorders>
            <w:shd w:val="clear" w:color="auto" w:fill="auto"/>
            <w:noWrap/>
            <w:vAlign w:val="bottom"/>
          </w:tcPr>
          <w:p w14:paraId="32CBE578" w14:textId="77777777" w:rsidR="00240F3F" w:rsidRPr="008A2782" w:rsidRDefault="00240F3F" w:rsidP="00D422A0">
            <w:pPr>
              <w:spacing w:after="0" w:line="240" w:lineRule="auto"/>
              <w:rPr>
                <w:sz w:val="22"/>
                <w:szCs w:val="22"/>
                <w:lang w:bidi="ar-SA"/>
              </w:rPr>
            </w:pPr>
          </w:p>
        </w:tc>
        <w:tc>
          <w:tcPr>
            <w:tcW w:w="1280" w:type="dxa"/>
            <w:tcBorders>
              <w:top w:val="nil"/>
              <w:left w:val="nil"/>
              <w:bottom w:val="nil"/>
              <w:right w:val="nil"/>
            </w:tcBorders>
            <w:shd w:val="clear" w:color="auto" w:fill="auto"/>
            <w:noWrap/>
            <w:vAlign w:val="bottom"/>
          </w:tcPr>
          <w:p w14:paraId="532F04C9" w14:textId="77777777" w:rsidR="00240F3F" w:rsidRPr="008A2782" w:rsidRDefault="00240F3F" w:rsidP="00D422A0">
            <w:pPr>
              <w:spacing w:after="0" w:line="240" w:lineRule="auto"/>
              <w:rPr>
                <w:sz w:val="22"/>
                <w:szCs w:val="22"/>
                <w:lang w:bidi="ar-SA"/>
              </w:rPr>
            </w:pPr>
          </w:p>
        </w:tc>
        <w:tc>
          <w:tcPr>
            <w:tcW w:w="791" w:type="dxa"/>
            <w:tcBorders>
              <w:top w:val="nil"/>
              <w:left w:val="nil"/>
              <w:bottom w:val="nil"/>
              <w:right w:val="nil"/>
            </w:tcBorders>
            <w:shd w:val="clear" w:color="auto" w:fill="auto"/>
            <w:noWrap/>
            <w:vAlign w:val="bottom"/>
          </w:tcPr>
          <w:p w14:paraId="4DD764D7" w14:textId="77777777" w:rsidR="00240F3F" w:rsidRPr="008A2782" w:rsidRDefault="00240F3F" w:rsidP="00D422A0">
            <w:pPr>
              <w:spacing w:after="0" w:line="240" w:lineRule="auto"/>
              <w:rPr>
                <w:sz w:val="22"/>
                <w:szCs w:val="22"/>
                <w:lang w:bidi="ar-SA"/>
              </w:rPr>
            </w:pPr>
          </w:p>
        </w:tc>
        <w:tc>
          <w:tcPr>
            <w:tcW w:w="986" w:type="dxa"/>
            <w:tcBorders>
              <w:top w:val="nil"/>
              <w:left w:val="nil"/>
              <w:bottom w:val="nil"/>
              <w:right w:val="nil"/>
            </w:tcBorders>
            <w:shd w:val="clear" w:color="auto" w:fill="auto"/>
            <w:noWrap/>
            <w:vAlign w:val="bottom"/>
          </w:tcPr>
          <w:p w14:paraId="5B44736E" w14:textId="77777777" w:rsidR="00240F3F" w:rsidRPr="008A2782" w:rsidRDefault="00240F3F" w:rsidP="00D422A0">
            <w:pPr>
              <w:spacing w:after="0" w:line="240" w:lineRule="auto"/>
              <w:rPr>
                <w:sz w:val="22"/>
                <w:szCs w:val="22"/>
                <w:lang w:bidi="ar-SA"/>
              </w:rPr>
            </w:pPr>
          </w:p>
        </w:tc>
        <w:tc>
          <w:tcPr>
            <w:tcW w:w="791" w:type="dxa"/>
            <w:tcBorders>
              <w:top w:val="nil"/>
              <w:left w:val="nil"/>
              <w:bottom w:val="nil"/>
              <w:right w:val="nil"/>
            </w:tcBorders>
            <w:shd w:val="clear" w:color="auto" w:fill="auto"/>
            <w:noWrap/>
            <w:vAlign w:val="bottom"/>
          </w:tcPr>
          <w:p w14:paraId="6C0D2F4E" w14:textId="77777777" w:rsidR="00240F3F" w:rsidRPr="008A2782" w:rsidRDefault="00240F3F" w:rsidP="00D422A0">
            <w:pPr>
              <w:spacing w:after="0" w:line="240" w:lineRule="auto"/>
              <w:rPr>
                <w:sz w:val="22"/>
                <w:szCs w:val="22"/>
                <w:lang w:bidi="ar-SA"/>
              </w:rPr>
            </w:pPr>
          </w:p>
        </w:tc>
        <w:tc>
          <w:tcPr>
            <w:tcW w:w="1441" w:type="dxa"/>
            <w:gridSpan w:val="2"/>
            <w:tcBorders>
              <w:top w:val="nil"/>
              <w:left w:val="nil"/>
              <w:bottom w:val="nil"/>
              <w:right w:val="nil"/>
            </w:tcBorders>
            <w:shd w:val="clear" w:color="auto" w:fill="auto"/>
            <w:noWrap/>
            <w:vAlign w:val="bottom"/>
          </w:tcPr>
          <w:p w14:paraId="50DCB633" w14:textId="77777777" w:rsidR="00240F3F" w:rsidRPr="008A2782" w:rsidRDefault="00240F3F" w:rsidP="00D422A0">
            <w:pPr>
              <w:spacing w:after="0" w:line="240" w:lineRule="auto"/>
              <w:rPr>
                <w:sz w:val="22"/>
                <w:szCs w:val="22"/>
                <w:lang w:bidi="ar-SA"/>
              </w:rPr>
            </w:pPr>
          </w:p>
        </w:tc>
        <w:tc>
          <w:tcPr>
            <w:tcW w:w="656" w:type="dxa"/>
            <w:gridSpan w:val="2"/>
            <w:tcBorders>
              <w:top w:val="nil"/>
              <w:left w:val="nil"/>
              <w:bottom w:val="nil"/>
              <w:right w:val="nil"/>
            </w:tcBorders>
            <w:shd w:val="clear" w:color="auto" w:fill="auto"/>
            <w:noWrap/>
            <w:vAlign w:val="bottom"/>
          </w:tcPr>
          <w:p w14:paraId="3E46ADE6" w14:textId="77777777" w:rsidR="00240F3F" w:rsidRPr="008A2782" w:rsidRDefault="00240F3F" w:rsidP="00D422A0">
            <w:pPr>
              <w:spacing w:after="0" w:line="240" w:lineRule="auto"/>
              <w:rPr>
                <w:sz w:val="22"/>
                <w:szCs w:val="22"/>
                <w:lang w:bidi="ar-SA"/>
              </w:rPr>
            </w:pPr>
          </w:p>
        </w:tc>
      </w:tr>
      <w:tr w:rsidR="00240F3F" w:rsidRPr="009D5939" w14:paraId="63675B2D" w14:textId="77777777" w:rsidTr="00455BF8">
        <w:trPr>
          <w:trHeight w:hRule="exact" w:val="274"/>
        </w:trPr>
        <w:tc>
          <w:tcPr>
            <w:tcW w:w="1800" w:type="dxa"/>
            <w:tcBorders>
              <w:top w:val="nil"/>
              <w:left w:val="nil"/>
              <w:bottom w:val="nil"/>
              <w:right w:val="nil"/>
            </w:tcBorders>
            <w:shd w:val="clear" w:color="auto" w:fill="auto"/>
            <w:noWrap/>
            <w:vAlign w:val="bottom"/>
            <w:hideMark/>
          </w:tcPr>
          <w:p w14:paraId="29358318"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Hamden</w:t>
            </w:r>
          </w:p>
        </w:tc>
        <w:tc>
          <w:tcPr>
            <w:tcW w:w="986" w:type="dxa"/>
            <w:tcBorders>
              <w:top w:val="nil"/>
              <w:left w:val="nil"/>
              <w:bottom w:val="nil"/>
              <w:right w:val="nil"/>
            </w:tcBorders>
            <w:shd w:val="clear" w:color="auto" w:fill="auto"/>
            <w:noWrap/>
            <w:vAlign w:val="bottom"/>
          </w:tcPr>
          <w:p w14:paraId="04F308E3"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12,949.6</w:t>
            </w:r>
          </w:p>
        </w:tc>
        <w:tc>
          <w:tcPr>
            <w:tcW w:w="974" w:type="dxa"/>
            <w:tcBorders>
              <w:top w:val="nil"/>
              <w:left w:val="nil"/>
              <w:bottom w:val="nil"/>
              <w:right w:val="nil"/>
            </w:tcBorders>
            <w:shd w:val="clear" w:color="auto" w:fill="auto"/>
            <w:noWrap/>
            <w:vAlign w:val="bottom"/>
          </w:tcPr>
          <w:p w14:paraId="7AA8A5C8"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211</w:t>
            </w:r>
          </w:p>
        </w:tc>
        <w:tc>
          <w:tcPr>
            <w:tcW w:w="1280" w:type="dxa"/>
            <w:tcBorders>
              <w:top w:val="nil"/>
              <w:left w:val="nil"/>
              <w:bottom w:val="nil"/>
              <w:right w:val="nil"/>
            </w:tcBorders>
            <w:shd w:val="clear" w:color="auto" w:fill="auto"/>
            <w:noWrap/>
            <w:vAlign w:val="bottom"/>
          </w:tcPr>
          <w:p w14:paraId="32ECE823"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12,809.9</w:t>
            </w:r>
          </w:p>
        </w:tc>
        <w:tc>
          <w:tcPr>
            <w:tcW w:w="791" w:type="dxa"/>
            <w:tcBorders>
              <w:top w:val="nil"/>
              <w:left w:val="nil"/>
              <w:bottom w:val="nil"/>
              <w:right w:val="nil"/>
            </w:tcBorders>
            <w:shd w:val="clear" w:color="auto" w:fill="auto"/>
            <w:noWrap/>
            <w:vAlign w:val="bottom"/>
          </w:tcPr>
          <w:p w14:paraId="4592519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208</w:t>
            </w:r>
          </w:p>
        </w:tc>
        <w:tc>
          <w:tcPr>
            <w:tcW w:w="986" w:type="dxa"/>
            <w:tcBorders>
              <w:top w:val="nil"/>
              <w:left w:val="nil"/>
              <w:bottom w:val="nil"/>
              <w:right w:val="nil"/>
            </w:tcBorders>
            <w:shd w:val="clear" w:color="auto" w:fill="auto"/>
            <w:noWrap/>
            <w:vAlign w:val="bottom"/>
          </w:tcPr>
          <w:p w14:paraId="19501320"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9,719.9</w:t>
            </w:r>
          </w:p>
        </w:tc>
        <w:tc>
          <w:tcPr>
            <w:tcW w:w="791" w:type="dxa"/>
            <w:tcBorders>
              <w:top w:val="nil"/>
              <w:left w:val="nil"/>
              <w:bottom w:val="nil"/>
              <w:right w:val="nil"/>
            </w:tcBorders>
            <w:shd w:val="clear" w:color="auto" w:fill="auto"/>
            <w:noWrap/>
            <w:vAlign w:val="bottom"/>
          </w:tcPr>
          <w:p w14:paraId="2FFA783C"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158</w:t>
            </w:r>
          </w:p>
        </w:tc>
        <w:tc>
          <w:tcPr>
            <w:tcW w:w="1441" w:type="dxa"/>
            <w:gridSpan w:val="2"/>
            <w:tcBorders>
              <w:top w:val="nil"/>
              <w:left w:val="nil"/>
              <w:bottom w:val="nil"/>
              <w:right w:val="nil"/>
            </w:tcBorders>
            <w:shd w:val="clear" w:color="auto" w:fill="auto"/>
            <w:noWrap/>
            <w:vAlign w:val="bottom"/>
          </w:tcPr>
          <w:p w14:paraId="36E365D2"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12,729.6</w:t>
            </w:r>
          </w:p>
        </w:tc>
        <w:tc>
          <w:tcPr>
            <w:tcW w:w="656" w:type="dxa"/>
            <w:gridSpan w:val="2"/>
            <w:tcBorders>
              <w:top w:val="nil"/>
              <w:left w:val="nil"/>
              <w:bottom w:val="nil"/>
              <w:right w:val="nil"/>
            </w:tcBorders>
            <w:shd w:val="clear" w:color="auto" w:fill="auto"/>
            <w:noWrap/>
            <w:vAlign w:val="bottom"/>
          </w:tcPr>
          <w:p w14:paraId="4CC602D4"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207</w:t>
            </w:r>
          </w:p>
        </w:tc>
      </w:tr>
      <w:tr w:rsidR="00240F3F" w:rsidRPr="009D5939" w14:paraId="48B1548E" w14:textId="77777777" w:rsidTr="00455BF8">
        <w:trPr>
          <w:trHeight w:hRule="exact" w:val="274"/>
        </w:trPr>
        <w:tc>
          <w:tcPr>
            <w:tcW w:w="1800" w:type="dxa"/>
            <w:tcBorders>
              <w:top w:val="nil"/>
              <w:left w:val="nil"/>
              <w:bottom w:val="nil"/>
              <w:right w:val="nil"/>
            </w:tcBorders>
            <w:shd w:val="clear" w:color="auto" w:fill="auto"/>
            <w:noWrap/>
            <w:vAlign w:val="bottom"/>
            <w:hideMark/>
          </w:tcPr>
          <w:p w14:paraId="0F21B73A"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Middletown</w:t>
            </w:r>
          </w:p>
        </w:tc>
        <w:tc>
          <w:tcPr>
            <w:tcW w:w="986" w:type="dxa"/>
            <w:tcBorders>
              <w:top w:val="nil"/>
              <w:left w:val="nil"/>
              <w:bottom w:val="nil"/>
              <w:right w:val="nil"/>
            </w:tcBorders>
            <w:shd w:val="clear" w:color="auto" w:fill="auto"/>
            <w:noWrap/>
            <w:vAlign w:val="bottom"/>
          </w:tcPr>
          <w:p w14:paraId="1B7ED270"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9,648.5</w:t>
            </w:r>
          </w:p>
        </w:tc>
        <w:tc>
          <w:tcPr>
            <w:tcW w:w="974" w:type="dxa"/>
            <w:tcBorders>
              <w:top w:val="nil"/>
              <w:left w:val="nil"/>
              <w:bottom w:val="nil"/>
              <w:right w:val="nil"/>
            </w:tcBorders>
            <w:shd w:val="clear" w:color="auto" w:fill="auto"/>
            <w:noWrap/>
            <w:vAlign w:val="bottom"/>
          </w:tcPr>
          <w:p w14:paraId="6B5BC62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203</w:t>
            </w:r>
          </w:p>
        </w:tc>
        <w:tc>
          <w:tcPr>
            <w:tcW w:w="1280" w:type="dxa"/>
            <w:tcBorders>
              <w:top w:val="nil"/>
              <w:left w:val="nil"/>
              <w:bottom w:val="nil"/>
              <w:right w:val="nil"/>
            </w:tcBorders>
            <w:shd w:val="clear" w:color="auto" w:fill="auto"/>
            <w:noWrap/>
            <w:vAlign w:val="bottom"/>
          </w:tcPr>
          <w:p w14:paraId="3ACE0AE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9,300.5</w:t>
            </w:r>
          </w:p>
        </w:tc>
        <w:tc>
          <w:tcPr>
            <w:tcW w:w="791" w:type="dxa"/>
            <w:tcBorders>
              <w:top w:val="nil"/>
              <w:left w:val="nil"/>
              <w:bottom w:val="nil"/>
              <w:right w:val="nil"/>
            </w:tcBorders>
            <w:shd w:val="clear" w:color="auto" w:fill="auto"/>
            <w:noWrap/>
            <w:vAlign w:val="bottom"/>
          </w:tcPr>
          <w:p w14:paraId="0D86260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196</w:t>
            </w:r>
          </w:p>
        </w:tc>
        <w:tc>
          <w:tcPr>
            <w:tcW w:w="986" w:type="dxa"/>
            <w:tcBorders>
              <w:top w:val="nil"/>
              <w:left w:val="nil"/>
              <w:bottom w:val="nil"/>
              <w:right w:val="nil"/>
            </w:tcBorders>
            <w:shd w:val="clear" w:color="auto" w:fill="auto"/>
            <w:noWrap/>
            <w:vAlign w:val="bottom"/>
          </w:tcPr>
          <w:p w14:paraId="6E6CAA2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17,507.5</w:t>
            </w:r>
          </w:p>
        </w:tc>
        <w:tc>
          <w:tcPr>
            <w:tcW w:w="791" w:type="dxa"/>
            <w:tcBorders>
              <w:top w:val="nil"/>
              <w:left w:val="nil"/>
              <w:bottom w:val="nil"/>
              <w:right w:val="nil"/>
            </w:tcBorders>
            <w:shd w:val="clear" w:color="auto" w:fill="auto"/>
            <w:noWrap/>
            <w:vAlign w:val="bottom"/>
          </w:tcPr>
          <w:p w14:paraId="59C8D0C4"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368</w:t>
            </w:r>
          </w:p>
        </w:tc>
        <w:tc>
          <w:tcPr>
            <w:tcW w:w="1441" w:type="dxa"/>
            <w:gridSpan w:val="2"/>
            <w:tcBorders>
              <w:top w:val="nil"/>
              <w:left w:val="nil"/>
              <w:bottom w:val="nil"/>
              <w:right w:val="nil"/>
            </w:tcBorders>
            <w:shd w:val="clear" w:color="auto" w:fill="auto"/>
            <w:noWrap/>
            <w:vAlign w:val="bottom"/>
          </w:tcPr>
          <w:p w14:paraId="07FDE25F"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15,174.7</w:t>
            </w:r>
          </w:p>
        </w:tc>
        <w:tc>
          <w:tcPr>
            <w:tcW w:w="656" w:type="dxa"/>
            <w:gridSpan w:val="2"/>
            <w:tcBorders>
              <w:top w:val="nil"/>
              <w:left w:val="nil"/>
              <w:bottom w:val="nil"/>
              <w:right w:val="nil"/>
            </w:tcBorders>
            <w:shd w:val="clear" w:color="auto" w:fill="auto"/>
            <w:noWrap/>
            <w:vAlign w:val="bottom"/>
          </w:tcPr>
          <w:p w14:paraId="31E210F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319</w:t>
            </w:r>
          </w:p>
        </w:tc>
      </w:tr>
      <w:tr w:rsidR="00240F3F" w:rsidRPr="009D5939" w14:paraId="57AEE64B" w14:textId="77777777" w:rsidTr="00455BF8">
        <w:trPr>
          <w:trHeight w:hRule="exact" w:val="274"/>
        </w:trPr>
        <w:tc>
          <w:tcPr>
            <w:tcW w:w="1800" w:type="dxa"/>
            <w:tcBorders>
              <w:top w:val="nil"/>
              <w:left w:val="nil"/>
              <w:bottom w:val="nil"/>
              <w:right w:val="nil"/>
            </w:tcBorders>
            <w:shd w:val="clear" w:color="auto" w:fill="auto"/>
            <w:noWrap/>
            <w:vAlign w:val="bottom"/>
            <w:hideMark/>
          </w:tcPr>
          <w:p w14:paraId="5605A559"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Norwich</w:t>
            </w:r>
          </w:p>
        </w:tc>
        <w:tc>
          <w:tcPr>
            <w:tcW w:w="986" w:type="dxa"/>
            <w:tcBorders>
              <w:top w:val="nil"/>
              <w:left w:val="nil"/>
              <w:bottom w:val="nil"/>
              <w:right w:val="nil"/>
            </w:tcBorders>
            <w:shd w:val="clear" w:color="auto" w:fill="auto"/>
            <w:noWrap/>
            <w:vAlign w:val="bottom"/>
          </w:tcPr>
          <w:p w14:paraId="31A5386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5,770.4</w:t>
            </w:r>
          </w:p>
        </w:tc>
        <w:tc>
          <w:tcPr>
            <w:tcW w:w="974" w:type="dxa"/>
            <w:tcBorders>
              <w:top w:val="nil"/>
              <w:left w:val="nil"/>
              <w:bottom w:val="nil"/>
              <w:right w:val="nil"/>
            </w:tcBorders>
            <w:shd w:val="clear" w:color="auto" w:fill="auto"/>
            <w:noWrap/>
            <w:vAlign w:val="bottom"/>
          </w:tcPr>
          <w:p w14:paraId="2A717E9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143</w:t>
            </w:r>
          </w:p>
        </w:tc>
        <w:tc>
          <w:tcPr>
            <w:tcW w:w="1280" w:type="dxa"/>
            <w:tcBorders>
              <w:top w:val="nil"/>
              <w:left w:val="nil"/>
              <w:bottom w:val="nil"/>
              <w:right w:val="nil"/>
            </w:tcBorders>
            <w:shd w:val="clear" w:color="auto" w:fill="auto"/>
            <w:noWrap/>
            <w:vAlign w:val="bottom"/>
          </w:tcPr>
          <w:p w14:paraId="5F114E8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4,464.8</w:t>
            </w:r>
          </w:p>
        </w:tc>
        <w:tc>
          <w:tcPr>
            <w:tcW w:w="791" w:type="dxa"/>
            <w:tcBorders>
              <w:top w:val="nil"/>
              <w:left w:val="nil"/>
              <w:bottom w:val="nil"/>
              <w:right w:val="nil"/>
            </w:tcBorders>
            <w:shd w:val="clear" w:color="auto" w:fill="auto"/>
            <w:noWrap/>
            <w:vAlign w:val="bottom"/>
          </w:tcPr>
          <w:p w14:paraId="35FE605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110</w:t>
            </w:r>
          </w:p>
        </w:tc>
        <w:tc>
          <w:tcPr>
            <w:tcW w:w="986" w:type="dxa"/>
            <w:tcBorders>
              <w:top w:val="nil"/>
              <w:left w:val="nil"/>
              <w:bottom w:val="nil"/>
              <w:right w:val="nil"/>
            </w:tcBorders>
            <w:shd w:val="clear" w:color="auto" w:fill="auto"/>
            <w:noWrap/>
            <w:vAlign w:val="bottom"/>
          </w:tcPr>
          <w:p w14:paraId="7AC1E40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8,048.7</w:t>
            </w:r>
          </w:p>
        </w:tc>
        <w:tc>
          <w:tcPr>
            <w:tcW w:w="791" w:type="dxa"/>
            <w:tcBorders>
              <w:top w:val="nil"/>
              <w:left w:val="nil"/>
              <w:bottom w:val="nil"/>
              <w:right w:val="nil"/>
            </w:tcBorders>
            <w:shd w:val="clear" w:color="auto" w:fill="auto"/>
            <w:noWrap/>
            <w:vAlign w:val="bottom"/>
          </w:tcPr>
          <w:p w14:paraId="7B54FFBB"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199</w:t>
            </w:r>
          </w:p>
        </w:tc>
        <w:tc>
          <w:tcPr>
            <w:tcW w:w="1441" w:type="dxa"/>
            <w:gridSpan w:val="2"/>
            <w:tcBorders>
              <w:top w:val="nil"/>
              <w:left w:val="nil"/>
              <w:bottom w:val="nil"/>
              <w:right w:val="nil"/>
            </w:tcBorders>
            <w:shd w:val="clear" w:color="auto" w:fill="auto"/>
            <w:noWrap/>
            <w:vAlign w:val="bottom"/>
          </w:tcPr>
          <w:p w14:paraId="06E3B56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7,717.5</w:t>
            </w:r>
          </w:p>
        </w:tc>
        <w:tc>
          <w:tcPr>
            <w:tcW w:w="656" w:type="dxa"/>
            <w:gridSpan w:val="2"/>
            <w:tcBorders>
              <w:top w:val="nil"/>
              <w:left w:val="nil"/>
              <w:bottom w:val="nil"/>
              <w:right w:val="nil"/>
            </w:tcBorders>
            <w:shd w:val="clear" w:color="auto" w:fill="auto"/>
            <w:noWrap/>
            <w:vAlign w:val="bottom"/>
          </w:tcPr>
          <w:p w14:paraId="68B3E040"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191</w:t>
            </w:r>
          </w:p>
        </w:tc>
      </w:tr>
      <w:tr w:rsidR="00240F3F" w:rsidRPr="009D5939" w14:paraId="303B4716" w14:textId="77777777" w:rsidTr="00455BF8">
        <w:trPr>
          <w:trHeight w:hRule="exact" w:val="274"/>
        </w:trPr>
        <w:tc>
          <w:tcPr>
            <w:tcW w:w="1800" w:type="dxa"/>
            <w:tcBorders>
              <w:top w:val="nil"/>
              <w:left w:val="nil"/>
              <w:bottom w:val="nil"/>
              <w:right w:val="nil"/>
            </w:tcBorders>
            <w:shd w:val="clear" w:color="auto" w:fill="auto"/>
            <w:noWrap/>
            <w:vAlign w:val="bottom"/>
            <w:hideMark/>
          </w:tcPr>
          <w:p w14:paraId="6BC5AC6D"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Windsor</w:t>
            </w:r>
          </w:p>
        </w:tc>
        <w:tc>
          <w:tcPr>
            <w:tcW w:w="986" w:type="dxa"/>
            <w:tcBorders>
              <w:top w:val="nil"/>
              <w:left w:val="nil"/>
              <w:bottom w:val="nil"/>
              <w:right w:val="nil"/>
            </w:tcBorders>
            <w:shd w:val="clear" w:color="auto" w:fill="auto"/>
            <w:noWrap/>
            <w:vAlign w:val="bottom"/>
          </w:tcPr>
          <w:p w14:paraId="1974C1F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7,028.1</w:t>
            </w:r>
          </w:p>
        </w:tc>
        <w:tc>
          <w:tcPr>
            <w:tcW w:w="974" w:type="dxa"/>
            <w:tcBorders>
              <w:top w:val="nil"/>
              <w:left w:val="nil"/>
              <w:bottom w:val="nil"/>
              <w:right w:val="nil"/>
            </w:tcBorders>
            <w:shd w:val="clear" w:color="auto" w:fill="auto"/>
            <w:noWrap/>
            <w:vAlign w:val="bottom"/>
          </w:tcPr>
          <w:p w14:paraId="2F42F26F"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561</w:t>
            </w:r>
          </w:p>
        </w:tc>
        <w:tc>
          <w:tcPr>
            <w:tcW w:w="1280" w:type="dxa"/>
            <w:tcBorders>
              <w:top w:val="nil"/>
              <w:left w:val="nil"/>
              <w:bottom w:val="nil"/>
              <w:right w:val="nil"/>
            </w:tcBorders>
            <w:shd w:val="clear" w:color="auto" w:fill="auto"/>
            <w:noWrap/>
            <w:vAlign w:val="bottom"/>
          </w:tcPr>
          <w:p w14:paraId="365B58E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6,636.2</w:t>
            </w:r>
          </w:p>
        </w:tc>
        <w:tc>
          <w:tcPr>
            <w:tcW w:w="791" w:type="dxa"/>
            <w:tcBorders>
              <w:top w:val="nil"/>
              <w:left w:val="nil"/>
              <w:bottom w:val="nil"/>
              <w:right w:val="nil"/>
            </w:tcBorders>
            <w:shd w:val="clear" w:color="auto" w:fill="auto"/>
            <w:noWrap/>
            <w:vAlign w:val="bottom"/>
          </w:tcPr>
          <w:p w14:paraId="696E61D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530</w:t>
            </w:r>
          </w:p>
        </w:tc>
        <w:tc>
          <w:tcPr>
            <w:tcW w:w="986" w:type="dxa"/>
            <w:tcBorders>
              <w:top w:val="nil"/>
              <w:left w:val="nil"/>
              <w:bottom w:val="nil"/>
              <w:right w:val="nil"/>
            </w:tcBorders>
            <w:shd w:val="clear" w:color="auto" w:fill="auto"/>
            <w:noWrap/>
            <w:vAlign w:val="bottom"/>
          </w:tcPr>
          <w:p w14:paraId="4AAB8F34"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18,733.0</w:t>
            </w:r>
          </w:p>
        </w:tc>
        <w:tc>
          <w:tcPr>
            <w:tcW w:w="791" w:type="dxa"/>
            <w:tcBorders>
              <w:top w:val="nil"/>
              <w:left w:val="nil"/>
              <w:bottom w:val="nil"/>
              <w:right w:val="nil"/>
            </w:tcBorders>
            <w:shd w:val="clear" w:color="auto" w:fill="auto"/>
            <w:noWrap/>
            <w:vAlign w:val="bottom"/>
          </w:tcPr>
          <w:p w14:paraId="32A19688"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1495</w:t>
            </w:r>
          </w:p>
        </w:tc>
        <w:tc>
          <w:tcPr>
            <w:tcW w:w="1441" w:type="dxa"/>
            <w:gridSpan w:val="2"/>
            <w:tcBorders>
              <w:top w:val="nil"/>
              <w:left w:val="nil"/>
              <w:bottom w:val="nil"/>
              <w:right w:val="nil"/>
            </w:tcBorders>
            <w:shd w:val="clear" w:color="auto" w:fill="auto"/>
            <w:noWrap/>
            <w:vAlign w:val="bottom"/>
          </w:tcPr>
          <w:p w14:paraId="7C18B4AC"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14,245.1</w:t>
            </w:r>
          </w:p>
        </w:tc>
        <w:tc>
          <w:tcPr>
            <w:tcW w:w="656" w:type="dxa"/>
            <w:gridSpan w:val="2"/>
            <w:tcBorders>
              <w:top w:val="nil"/>
              <w:left w:val="nil"/>
              <w:bottom w:val="nil"/>
              <w:right w:val="nil"/>
            </w:tcBorders>
            <w:shd w:val="clear" w:color="auto" w:fill="auto"/>
            <w:noWrap/>
            <w:vAlign w:val="bottom"/>
          </w:tcPr>
          <w:p w14:paraId="5AD81F72"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1137</w:t>
            </w:r>
          </w:p>
        </w:tc>
      </w:tr>
      <w:tr w:rsidR="00240F3F" w:rsidRPr="009D5939" w14:paraId="7B1DAF47" w14:textId="77777777" w:rsidTr="00455BF8">
        <w:trPr>
          <w:trHeight w:hRule="exact" w:val="274"/>
        </w:trPr>
        <w:tc>
          <w:tcPr>
            <w:tcW w:w="1800" w:type="dxa"/>
            <w:tcBorders>
              <w:top w:val="nil"/>
              <w:left w:val="nil"/>
              <w:bottom w:val="nil"/>
              <w:right w:val="nil"/>
            </w:tcBorders>
            <w:shd w:val="clear" w:color="auto" w:fill="auto"/>
            <w:noWrap/>
            <w:vAlign w:val="bottom"/>
            <w:hideMark/>
          </w:tcPr>
          <w:p w14:paraId="6D22D555" w14:textId="77777777" w:rsidR="00240F3F" w:rsidRPr="008A2782" w:rsidRDefault="00240F3F" w:rsidP="00D422A0">
            <w:pPr>
              <w:spacing w:after="0" w:line="240" w:lineRule="auto"/>
              <w:rPr>
                <w:b/>
                <w:bCs/>
                <w:color w:val="000000"/>
                <w:sz w:val="22"/>
                <w:szCs w:val="22"/>
                <w:lang w:bidi="ar-SA"/>
              </w:rPr>
            </w:pPr>
            <w:r w:rsidRPr="008A2782">
              <w:rPr>
                <w:b/>
                <w:bCs/>
                <w:color w:val="000000"/>
                <w:sz w:val="22"/>
                <w:szCs w:val="22"/>
                <w:lang w:bidi="ar-SA"/>
              </w:rPr>
              <w:t xml:space="preserve">   Rural</w:t>
            </w:r>
          </w:p>
        </w:tc>
        <w:tc>
          <w:tcPr>
            <w:tcW w:w="986" w:type="dxa"/>
            <w:tcBorders>
              <w:top w:val="nil"/>
              <w:left w:val="nil"/>
              <w:bottom w:val="nil"/>
              <w:right w:val="nil"/>
            </w:tcBorders>
            <w:shd w:val="clear" w:color="auto" w:fill="auto"/>
            <w:noWrap/>
            <w:vAlign w:val="bottom"/>
          </w:tcPr>
          <w:p w14:paraId="6C5EFC83" w14:textId="77777777" w:rsidR="00240F3F" w:rsidRPr="008A2782" w:rsidRDefault="00240F3F" w:rsidP="00D422A0">
            <w:pPr>
              <w:spacing w:after="0" w:line="240" w:lineRule="auto"/>
              <w:rPr>
                <w:sz w:val="22"/>
                <w:szCs w:val="22"/>
                <w:lang w:bidi="ar-SA"/>
              </w:rPr>
            </w:pPr>
          </w:p>
        </w:tc>
        <w:tc>
          <w:tcPr>
            <w:tcW w:w="974" w:type="dxa"/>
            <w:tcBorders>
              <w:top w:val="nil"/>
              <w:left w:val="nil"/>
              <w:bottom w:val="nil"/>
              <w:right w:val="nil"/>
            </w:tcBorders>
            <w:shd w:val="clear" w:color="auto" w:fill="auto"/>
            <w:noWrap/>
            <w:vAlign w:val="bottom"/>
          </w:tcPr>
          <w:p w14:paraId="130A1751" w14:textId="77777777" w:rsidR="00240F3F" w:rsidRPr="008A2782" w:rsidRDefault="00240F3F" w:rsidP="00D422A0">
            <w:pPr>
              <w:spacing w:after="0" w:line="240" w:lineRule="auto"/>
              <w:rPr>
                <w:sz w:val="22"/>
                <w:szCs w:val="22"/>
                <w:lang w:bidi="ar-SA"/>
              </w:rPr>
            </w:pPr>
          </w:p>
        </w:tc>
        <w:tc>
          <w:tcPr>
            <w:tcW w:w="1280" w:type="dxa"/>
            <w:tcBorders>
              <w:top w:val="nil"/>
              <w:left w:val="nil"/>
              <w:bottom w:val="nil"/>
              <w:right w:val="nil"/>
            </w:tcBorders>
            <w:shd w:val="clear" w:color="auto" w:fill="auto"/>
            <w:noWrap/>
            <w:vAlign w:val="bottom"/>
          </w:tcPr>
          <w:p w14:paraId="052D3D4B" w14:textId="77777777" w:rsidR="00240F3F" w:rsidRPr="008A2782" w:rsidRDefault="00240F3F" w:rsidP="00D422A0">
            <w:pPr>
              <w:spacing w:after="0" w:line="240" w:lineRule="auto"/>
              <w:rPr>
                <w:sz w:val="22"/>
                <w:szCs w:val="22"/>
                <w:lang w:bidi="ar-SA"/>
              </w:rPr>
            </w:pPr>
          </w:p>
        </w:tc>
        <w:tc>
          <w:tcPr>
            <w:tcW w:w="791" w:type="dxa"/>
            <w:tcBorders>
              <w:top w:val="nil"/>
              <w:left w:val="nil"/>
              <w:bottom w:val="nil"/>
              <w:right w:val="nil"/>
            </w:tcBorders>
            <w:shd w:val="clear" w:color="auto" w:fill="auto"/>
            <w:noWrap/>
            <w:vAlign w:val="bottom"/>
          </w:tcPr>
          <w:p w14:paraId="339528EF" w14:textId="77777777" w:rsidR="00240F3F" w:rsidRPr="008A2782" w:rsidRDefault="00240F3F" w:rsidP="00D422A0">
            <w:pPr>
              <w:spacing w:after="0" w:line="240" w:lineRule="auto"/>
              <w:rPr>
                <w:sz w:val="22"/>
                <w:szCs w:val="22"/>
                <w:lang w:bidi="ar-SA"/>
              </w:rPr>
            </w:pPr>
          </w:p>
        </w:tc>
        <w:tc>
          <w:tcPr>
            <w:tcW w:w="986" w:type="dxa"/>
            <w:tcBorders>
              <w:top w:val="nil"/>
              <w:left w:val="nil"/>
              <w:bottom w:val="nil"/>
              <w:right w:val="nil"/>
            </w:tcBorders>
            <w:shd w:val="clear" w:color="auto" w:fill="auto"/>
            <w:noWrap/>
            <w:vAlign w:val="bottom"/>
          </w:tcPr>
          <w:p w14:paraId="7C50259F" w14:textId="77777777" w:rsidR="00240F3F" w:rsidRPr="008A2782" w:rsidRDefault="00240F3F" w:rsidP="00D422A0">
            <w:pPr>
              <w:spacing w:after="0" w:line="240" w:lineRule="auto"/>
              <w:rPr>
                <w:sz w:val="22"/>
                <w:szCs w:val="22"/>
                <w:lang w:bidi="ar-SA"/>
              </w:rPr>
            </w:pPr>
          </w:p>
        </w:tc>
        <w:tc>
          <w:tcPr>
            <w:tcW w:w="791" w:type="dxa"/>
            <w:tcBorders>
              <w:top w:val="nil"/>
              <w:left w:val="nil"/>
              <w:bottom w:val="nil"/>
              <w:right w:val="nil"/>
            </w:tcBorders>
            <w:shd w:val="clear" w:color="auto" w:fill="auto"/>
            <w:noWrap/>
            <w:vAlign w:val="bottom"/>
          </w:tcPr>
          <w:p w14:paraId="29C04BEF" w14:textId="77777777" w:rsidR="00240F3F" w:rsidRPr="008A2782" w:rsidRDefault="00240F3F" w:rsidP="00D422A0">
            <w:pPr>
              <w:spacing w:after="0" w:line="240" w:lineRule="auto"/>
              <w:rPr>
                <w:sz w:val="22"/>
                <w:szCs w:val="22"/>
                <w:lang w:bidi="ar-SA"/>
              </w:rPr>
            </w:pPr>
          </w:p>
        </w:tc>
        <w:tc>
          <w:tcPr>
            <w:tcW w:w="1441" w:type="dxa"/>
            <w:gridSpan w:val="2"/>
            <w:tcBorders>
              <w:top w:val="nil"/>
              <w:left w:val="nil"/>
              <w:bottom w:val="nil"/>
              <w:right w:val="nil"/>
            </w:tcBorders>
            <w:shd w:val="clear" w:color="auto" w:fill="auto"/>
            <w:noWrap/>
            <w:vAlign w:val="bottom"/>
          </w:tcPr>
          <w:p w14:paraId="512DDD60" w14:textId="77777777" w:rsidR="00240F3F" w:rsidRPr="008A2782" w:rsidRDefault="00240F3F" w:rsidP="00D422A0">
            <w:pPr>
              <w:spacing w:after="0" w:line="240" w:lineRule="auto"/>
              <w:rPr>
                <w:sz w:val="22"/>
                <w:szCs w:val="22"/>
                <w:lang w:bidi="ar-SA"/>
              </w:rPr>
            </w:pPr>
          </w:p>
        </w:tc>
        <w:tc>
          <w:tcPr>
            <w:tcW w:w="656" w:type="dxa"/>
            <w:gridSpan w:val="2"/>
            <w:tcBorders>
              <w:top w:val="nil"/>
              <w:left w:val="nil"/>
              <w:bottom w:val="nil"/>
              <w:right w:val="nil"/>
            </w:tcBorders>
            <w:shd w:val="clear" w:color="auto" w:fill="auto"/>
            <w:noWrap/>
            <w:vAlign w:val="bottom"/>
          </w:tcPr>
          <w:p w14:paraId="679285A3" w14:textId="77777777" w:rsidR="00240F3F" w:rsidRPr="008A2782" w:rsidRDefault="00240F3F" w:rsidP="00D422A0">
            <w:pPr>
              <w:spacing w:after="0" w:line="240" w:lineRule="auto"/>
              <w:rPr>
                <w:sz w:val="22"/>
                <w:szCs w:val="22"/>
                <w:lang w:bidi="ar-SA"/>
              </w:rPr>
            </w:pPr>
          </w:p>
        </w:tc>
      </w:tr>
      <w:tr w:rsidR="00240F3F" w:rsidRPr="009D5939" w14:paraId="12268E44" w14:textId="77777777" w:rsidTr="00455BF8">
        <w:trPr>
          <w:trHeight w:hRule="exact" w:val="274"/>
        </w:trPr>
        <w:tc>
          <w:tcPr>
            <w:tcW w:w="1800" w:type="dxa"/>
            <w:tcBorders>
              <w:top w:val="nil"/>
              <w:left w:val="nil"/>
              <w:bottom w:val="nil"/>
              <w:right w:val="nil"/>
            </w:tcBorders>
            <w:shd w:val="clear" w:color="auto" w:fill="auto"/>
            <w:noWrap/>
            <w:vAlign w:val="bottom"/>
            <w:hideMark/>
          </w:tcPr>
          <w:p w14:paraId="3CDA3AAB"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Bozrah</w:t>
            </w:r>
          </w:p>
        </w:tc>
        <w:tc>
          <w:tcPr>
            <w:tcW w:w="986" w:type="dxa"/>
            <w:tcBorders>
              <w:top w:val="nil"/>
              <w:left w:val="nil"/>
              <w:bottom w:val="nil"/>
              <w:right w:val="nil"/>
            </w:tcBorders>
            <w:shd w:val="clear" w:color="auto" w:fill="auto"/>
            <w:noWrap/>
            <w:vAlign w:val="bottom"/>
          </w:tcPr>
          <w:p w14:paraId="1B097FF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582.6</w:t>
            </w:r>
          </w:p>
        </w:tc>
        <w:tc>
          <w:tcPr>
            <w:tcW w:w="974" w:type="dxa"/>
            <w:tcBorders>
              <w:top w:val="nil"/>
              <w:left w:val="nil"/>
              <w:bottom w:val="nil"/>
              <w:right w:val="nil"/>
            </w:tcBorders>
            <w:shd w:val="clear" w:color="auto" w:fill="auto"/>
            <w:noWrap/>
            <w:vAlign w:val="bottom"/>
          </w:tcPr>
          <w:p w14:paraId="567F42BB"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223</w:t>
            </w:r>
          </w:p>
        </w:tc>
        <w:tc>
          <w:tcPr>
            <w:tcW w:w="1280" w:type="dxa"/>
            <w:tcBorders>
              <w:top w:val="nil"/>
              <w:left w:val="nil"/>
              <w:bottom w:val="nil"/>
              <w:right w:val="nil"/>
            </w:tcBorders>
            <w:shd w:val="clear" w:color="auto" w:fill="auto"/>
            <w:noWrap/>
            <w:vAlign w:val="bottom"/>
          </w:tcPr>
          <w:p w14:paraId="6B2FE084"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556.2</w:t>
            </w:r>
          </w:p>
        </w:tc>
        <w:tc>
          <w:tcPr>
            <w:tcW w:w="791" w:type="dxa"/>
            <w:tcBorders>
              <w:top w:val="nil"/>
              <w:left w:val="nil"/>
              <w:bottom w:val="nil"/>
              <w:right w:val="nil"/>
            </w:tcBorders>
            <w:shd w:val="clear" w:color="auto" w:fill="auto"/>
            <w:noWrap/>
            <w:vAlign w:val="bottom"/>
          </w:tcPr>
          <w:p w14:paraId="26C506F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212</w:t>
            </w:r>
          </w:p>
        </w:tc>
        <w:tc>
          <w:tcPr>
            <w:tcW w:w="986" w:type="dxa"/>
            <w:tcBorders>
              <w:top w:val="nil"/>
              <w:left w:val="nil"/>
              <w:bottom w:val="nil"/>
              <w:right w:val="nil"/>
            </w:tcBorders>
            <w:shd w:val="clear" w:color="auto" w:fill="auto"/>
            <w:noWrap/>
            <w:vAlign w:val="bottom"/>
          </w:tcPr>
          <w:p w14:paraId="6FA8F17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507.5</w:t>
            </w:r>
          </w:p>
        </w:tc>
        <w:tc>
          <w:tcPr>
            <w:tcW w:w="791" w:type="dxa"/>
            <w:tcBorders>
              <w:top w:val="nil"/>
              <w:left w:val="nil"/>
              <w:bottom w:val="nil"/>
              <w:right w:val="nil"/>
            </w:tcBorders>
            <w:shd w:val="clear" w:color="auto" w:fill="auto"/>
            <w:noWrap/>
            <w:vAlign w:val="bottom"/>
          </w:tcPr>
          <w:p w14:paraId="3F455EB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194</w:t>
            </w:r>
          </w:p>
        </w:tc>
        <w:tc>
          <w:tcPr>
            <w:tcW w:w="1441" w:type="dxa"/>
            <w:gridSpan w:val="2"/>
            <w:tcBorders>
              <w:top w:val="nil"/>
              <w:left w:val="nil"/>
              <w:bottom w:val="nil"/>
              <w:right w:val="nil"/>
            </w:tcBorders>
            <w:shd w:val="clear" w:color="auto" w:fill="auto"/>
            <w:noWrap/>
            <w:vAlign w:val="bottom"/>
          </w:tcPr>
          <w:p w14:paraId="634F7AB4"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584.9</w:t>
            </w:r>
          </w:p>
        </w:tc>
        <w:tc>
          <w:tcPr>
            <w:tcW w:w="656" w:type="dxa"/>
            <w:gridSpan w:val="2"/>
            <w:tcBorders>
              <w:top w:val="nil"/>
              <w:left w:val="nil"/>
              <w:bottom w:val="nil"/>
              <w:right w:val="nil"/>
            </w:tcBorders>
            <w:shd w:val="clear" w:color="auto" w:fill="auto"/>
            <w:noWrap/>
            <w:vAlign w:val="bottom"/>
          </w:tcPr>
          <w:p w14:paraId="7B233EA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223</w:t>
            </w:r>
          </w:p>
        </w:tc>
      </w:tr>
      <w:tr w:rsidR="00240F3F" w:rsidRPr="009D5939" w14:paraId="374820E9" w14:textId="77777777" w:rsidTr="00455BF8">
        <w:trPr>
          <w:trHeight w:hRule="exact" w:val="274"/>
        </w:trPr>
        <w:tc>
          <w:tcPr>
            <w:tcW w:w="1800" w:type="dxa"/>
            <w:tcBorders>
              <w:top w:val="nil"/>
              <w:left w:val="nil"/>
              <w:bottom w:val="nil"/>
              <w:right w:val="nil"/>
            </w:tcBorders>
            <w:shd w:val="clear" w:color="auto" w:fill="auto"/>
            <w:noWrap/>
            <w:vAlign w:val="bottom"/>
            <w:hideMark/>
          </w:tcPr>
          <w:p w14:paraId="6C2C9035"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Durham</w:t>
            </w:r>
          </w:p>
        </w:tc>
        <w:tc>
          <w:tcPr>
            <w:tcW w:w="986" w:type="dxa"/>
            <w:tcBorders>
              <w:top w:val="nil"/>
              <w:left w:val="nil"/>
              <w:bottom w:val="nil"/>
              <w:right w:val="nil"/>
            </w:tcBorders>
            <w:shd w:val="clear" w:color="auto" w:fill="auto"/>
            <w:noWrap/>
            <w:vAlign w:val="bottom"/>
          </w:tcPr>
          <w:p w14:paraId="04A5225D"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2,741.8</w:t>
            </w:r>
          </w:p>
        </w:tc>
        <w:tc>
          <w:tcPr>
            <w:tcW w:w="974" w:type="dxa"/>
            <w:tcBorders>
              <w:top w:val="nil"/>
              <w:left w:val="nil"/>
              <w:bottom w:val="nil"/>
              <w:right w:val="nil"/>
            </w:tcBorders>
            <w:shd w:val="clear" w:color="auto" w:fill="auto"/>
            <w:noWrap/>
            <w:vAlign w:val="bottom"/>
          </w:tcPr>
          <w:p w14:paraId="4E240CD8"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372</w:t>
            </w:r>
          </w:p>
        </w:tc>
        <w:tc>
          <w:tcPr>
            <w:tcW w:w="1280" w:type="dxa"/>
            <w:tcBorders>
              <w:top w:val="nil"/>
              <w:left w:val="nil"/>
              <w:bottom w:val="nil"/>
              <w:right w:val="nil"/>
            </w:tcBorders>
            <w:shd w:val="clear" w:color="auto" w:fill="auto"/>
            <w:noWrap/>
            <w:vAlign w:val="bottom"/>
          </w:tcPr>
          <w:p w14:paraId="580DAA1C"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3,205.4</w:t>
            </w:r>
          </w:p>
        </w:tc>
        <w:tc>
          <w:tcPr>
            <w:tcW w:w="791" w:type="dxa"/>
            <w:tcBorders>
              <w:top w:val="nil"/>
              <w:left w:val="nil"/>
              <w:bottom w:val="nil"/>
              <w:right w:val="nil"/>
            </w:tcBorders>
            <w:shd w:val="clear" w:color="auto" w:fill="auto"/>
            <w:noWrap/>
            <w:vAlign w:val="bottom"/>
          </w:tcPr>
          <w:p w14:paraId="1F43E6BD"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434</w:t>
            </w:r>
          </w:p>
        </w:tc>
        <w:tc>
          <w:tcPr>
            <w:tcW w:w="986" w:type="dxa"/>
            <w:tcBorders>
              <w:top w:val="nil"/>
              <w:left w:val="nil"/>
              <w:bottom w:val="nil"/>
              <w:right w:val="nil"/>
            </w:tcBorders>
            <w:shd w:val="clear" w:color="auto" w:fill="auto"/>
            <w:noWrap/>
            <w:vAlign w:val="bottom"/>
          </w:tcPr>
          <w:p w14:paraId="0AF7B01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1,075.2</w:t>
            </w:r>
          </w:p>
        </w:tc>
        <w:tc>
          <w:tcPr>
            <w:tcW w:w="791" w:type="dxa"/>
            <w:tcBorders>
              <w:top w:val="nil"/>
              <w:left w:val="nil"/>
              <w:bottom w:val="nil"/>
              <w:right w:val="nil"/>
            </w:tcBorders>
            <w:shd w:val="clear" w:color="auto" w:fill="auto"/>
            <w:noWrap/>
            <w:vAlign w:val="bottom"/>
          </w:tcPr>
          <w:p w14:paraId="5B2B042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146</w:t>
            </w:r>
          </w:p>
        </w:tc>
        <w:tc>
          <w:tcPr>
            <w:tcW w:w="1441" w:type="dxa"/>
            <w:gridSpan w:val="2"/>
            <w:tcBorders>
              <w:top w:val="nil"/>
              <w:left w:val="nil"/>
              <w:bottom w:val="nil"/>
              <w:right w:val="nil"/>
            </w:tcBorders>
            <w:shd w:val="clear" w:color="auto" w:fill="auto"/>
            <w:noWrap/>
            <w:vAlign w:val="bottom"/>
          </w:tcPr>
          <w:p w14:paraId="1C4AFC93"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2,004.1</w:t>
            </w:r>
          </w:p>
        </w:tc>
        <w:tc>
          <w:tcPr>
            <w:tcW w:w="656" w:type="dxa"/>
            <w:gridSpan w:val="2"/>
            <w:tcBorders>
              <w:top w:val="nil"/>
              <w:left w:val="nil"/>
              <w:bottom w:val="nil"/>
              <w:right w:val="nil"/>
            </w:tcBorders>
            <w:shd w:val="clear" w:color="auto" w:fill="auto"/>
            <w:noWrap/>
            <w:vAlign w:val="bottom"/>
          </w:tcPr>
          <w:p w14:paraId="03C853EB"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272</w:t>
            </w:r>
          </w:p>
        </w:tc>
      </w:tr>
      <w:tr w:rsidR="00240F3F" w:rsidRPr="009D5939" w14:paraId="547A2539" w14:textId="77777777" w:rsidTr="00455BF8">
        <w:trPr>
          <w:trHeight w:hRule="exact" w:val="274"/>
        </w:trPr>
        <w:tc>
          <w:tcPr>
            <w:tcW w:w="1800" w:type="dxa"/>
            <w:tcBorders>
              <w:top w:val="nil"/>
              <w:left w:val="nil"/>
              <w:bottom w:val="nil"/>
              <w:right w:val="nil"/>
            </w:tcBorders>
            <w:shd w:val="clear" w:color="auto" w:fill="auto"/>
            <w:noWrap/>
            <w:vAlign w:val="bottom"/>
            <w:hideMark/>
          </w:tcPr>
          <w:p w14:paraId="65234982"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Killingly</w:t>
            </w:r>
          </w:p>
        </w:tc>
        <w:tc>
          <w:tcPr>
            <w:tcW w:w="986" w:type="dxa"/>
            <w:tcBorders>
              <w:top w:val="nil"/>
              <w:left w:val="nil"/>
              <w:bottom w:val="nil"/>
              <w:right w:val="nil"/>
            </w:tcBorders>
            <w:shd w:val="clear" w:color="auto" w:fill="auto"/>
            <w:noWrap/>
            <w:vAlign w:val="bottom"/>
          </w:tcPr>
          <w:p w14:paraId="15C7E94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2,883.8</w:t>
            </w:r>
          </w:p>
        </w:tc>
        <w:tc>
          <w:tcPr>
            <w:tcW w:w="974" w:type="dxa"/>
            <w:tcBorders>
              <w:top w:val="nil"/>
              <w:left w:val="nil"/>
              <w:bottom w:val="nil"/>
              <w:right w:val="nil"/>
            </w:tcBorders>
            <w:shd w:val="clear" w:color="auto" w:fill="auto"/>
            <w:noWrap/>
            <w:vAlign w:val="bottom"/>
          </w:tcPr>
          <w:p w14:paraId="314D1598"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167</w:t>
            </w:r>
          </w:p>
        </w:tc>
        <w:tc>
          <w:tcPr>
            <w:tcW w:w="1280" w:type="dxa"/>
            <w:tcBorders>
              <w:top w:val="nil"/>
              <w:left w:val="nil"/>
              <w:bottom w:val="nil"/>
              <w:right w:val="nil"/>
            </w:tcBorders>
            <w:shd w:val="clear" w:color="auto" w:fill="auto"/>
            <w:noWrap/>
            <w:vAlign w:val="bottom"/>
          </w:tcPr>
          <w:p w14:paraId="7542490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1,957.9</w:t>
            </w:r>
          </w:p>
        </w:tc>
        <w:tc>
          <w:tcPr>
            <w:tcW w:w="791" w:type="dxa"/>
            <w:tcBorders>
              <w:top w:val="nil"/>
              <w:left w:val="nil"/>
              <w:bottom w:val="nil"/>
              <w:right w:val="nil"/>
            </w:tcBorders>
            <w:shd w:val="clear" w:color="auto" w:fill="auto"/>
            <w:noWrap/>
            <w:vAlign w:val="bottom"/>
          </w:tcPr>
          <w:p w14:paraId="0AF85F1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113</w:t>
            </w:r>
          </w:p>
        </w:tc>
        <w:tc>
          <w:tcPr>
            <w:tcW w:w="986" w:type="dxa"/>
            <w:tcBorders>
              <w:top w:val="nil"/>
              <w:left w:val="nil"/>
              <w:bottom w:val="nil"/>
              <w:right w:val="nil"/>
            </w:tcBorders>
            <w:shd w:val="clear" w:color="auto" w:fill="auto"/>
            <w:noWrap/>
            <w:vAlign w:val="bottom"/>
          </w:tcPr>
          <w:p w14:paraId="7564F58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4,172.0</w:t>
            </w:r>
          </w:p>
        </w:tc>
        <w:tc>
          <w:tcPr>
            <w:tcW w:w="791" w:type="dxa"/>
            <w:tcBorders>
              <w:top w:val="nil"/>
              <w:left w:val="nil"/>
              <w:bottom w:val="nil"/>
              <w:right w:val="nil"/>
            </w:tcBorders>
            <w:shd w:val="clear" w:color="auto" w:fill="auto"/>
            <w:noWrap/>
            <w:vAlign w:val="bottom"/>
          </w:tcPr>
          <w:p w14:paraId="3D2D409F"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241</w:t>
            </w:r>
          </w:p>
        </w:tc>
        <w:tc>
          <w:tcPr>
            <w:tcW w:w="1441" w:type="dxa"/>
            <w:gridSpan w:val="2"/>
            <w:tcBorders>
              <w:top w:val="nil"/>
              <w:left w:val="nil"/>
              <w:bottom w:val="nil"/>
              <w:right w:val="nil"/>
            </w:tcBorders>
            <w:shd w:val="clear" w:color="auto" w:fill="auto"/>
            <w:noWrap/>
            <w:vAlign w:val="bottom"/>
          </w:tcPr>
          <w:p w14:paraId="0C14ED4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3,685.3</w:t>
            </w:r>
          </w:p>
        </w:tc>
        <w:tc>
          <w:tcPr>
            <w:tcW w:w="656" w:type="dxa"/>
            <w:gridSpan w:val="2"/>
            <w:tcBorders>
              <w:top w:val="nil"/>
              <w:left w:val="nil"/>
              <w:bottom w:val="nil"/>
              <w:right w:val="nil"/>
            </w:tcBorders>
            <w:shd w:val="clear" w:color="auto" w:fill="auto"/>
            <w:noWrap/>
            <w:vAlign w:val="bottom"/>
          </w:tcPr>
          <w:p w14:paraId="19E07F23"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213</w:t>
            </w:r>
          </w:p>
        </w:tc>
      </w:tr>
      <w:tr w:rsidR="00240F3F" w:rsidRPr="009D5939" w14:paraId="10E7932D" w14:textId="77777777" w:rsidTr="00455BF8">
        <w:trPr>
          <w:trHeight w:hRule="exact" w:val="274"/>
        </w:trPr>
        <w:tc>
          <w:tcPr>
            <w:tcW w:w="1800" w:type="dxa"/>
            <w:tcBorders>
              <w:top w:val="nil"/>
              <w:left w:val="nil"/>
              <w:bottom w:val="nil"/>
              <w:right w:val="nil"/>
            </w:tcBorders>
            <w:shd w:val="clear" w:color="auto" w:fill="auto"/>
            <w:noWrap/>
            <w:vAlign w:val="bottom"/>
            <w:hideMark/>
          </w:tcPr>
          <w:p w14:paraId="6CF2EECB"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North Canaan</w:t>
            </w:r>
          </w:p>
        </w:tc>
        <w:tc>
          <w:tcPr>
            <w:tcW w:w="986" w:type="dxa"/>
            <w:tcBorders>
              <w:top w:val="nil"/>
              <w:left w:val="nil"/>
              <w:bottom w:val="nil"/>
              <w:right w:val="nil"/>
            </w:tcBorders>
            <w:shd w:val="clear" w:color="auto" w:fill="auto"/>
            <w:noWrap/>
            <w:vAlign w:val="bottom"/>
          </w:tcPr>
          <w:p w14:paraId="3EBFE1F3"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132.6</w:t>
            </w:r>
          </w:p>
        </w:tc>
        <w:tc>
          <w:tcPr>
            <w:tcW w:w="974" w:type="dxa"/>
            <w:tcBorders>
              <w:top w:val="nil"/>
              <w:left w:val="nil"/>
              <w:bottom w:val="nil"/>
              <w:right w:val="nil"/>
            </w:tcBorders>
            <w:shd w:val="clear" w:color="auto" w:fill="auto"/>
            <w:noWrap/>
            <w:vAlign w:val="bottom"/>
          </w:tcPr>
          <w:p w14:paraId="624BF90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40</w:t>
            </w:r>
          </w:p>
        </w:tc>
        <w:tc>
          <w:tcPr>
            <w:tcW w:w="1280" w:type="dxa"/>
            <w:tcBorders>
              <w:top w:val="nil"/>
              <w:left w:val="nil"/>
              <w:bottom w:val="nil"/>
              <w:right w:val="nil"/>
            </w:tcBorders>
            <w:shd w:val="clear" w:color="auto" w:fill="auto"/>
            <w:noWrap/>
            <w:vAlign w:val="bottom"/>
          </w:tcPr>
          <w:p w14:paraId="179D3B8A"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102.8</w:t>
            </w:r>
          </w:p>
        </w:tc>
        <w:tc>
          <w:tcPr>
            <w:tcW w:w="791" w:type="dxa"/>
            <w:tcBorders>
              <w:top w:val="nil"/>
              <w:left w:val="nil"/>
              <w:bottom w:val="nil"/>
              <w:right w:val="nil"/>
            </w:tcBorders>
            <w:shd w:val="clear" w:color="auto" w:fill="auto"/>
            <w:noWrap/>
            <w:vAlign w:val="bottom"/>
          </w:tcPr>
          <w:p w14:paraId="0601E73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31</w:t>
            </w:r>
          </w:p>
        </w:tc>
        <w:tc>
          <w:tcPr>
            <w:tcW w:w="986" w:type="dxa"/>
            <w:tcBorders>
              <w:top w:val="nil"/>
              <w:left w:val="nil"/>
              <w:bottom w:val="nil"/>
              <w:right w:val="nil"/>
            </w:tcBorders>
            <w:shd w:val="clear" w:color="auto" w:fill="auto"/>
            <w:noWrap/>
            <w:vAlign w:val="bottom"/>
          </w:tcPr>
          <w:p w14:paraId="1210DB4A"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996.1</w:t>
            </w:r>
          </w:p>
        </w:tc>
        <w:tc>
          <w:tcPr>
            <w:tcW w:w="791" w:type="dxa"/>
            <w:tcBorders>
              <w:top w:val="nil"/>
              <w:left w:val="nil"/>
              <w:bottom w:val="nil"/>
              <w:right w:val="nil"/>
            </w:tcBorders>
            <w:shd w:val="clear" w:color="auto" w:fill="auto"/>
            <w:noWrap/>
            <w:vAlign w:val="bottom"/>
          </w:tcPr>
          <w:p w14:paraId="2BB96E5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303</w:t>
            </w:r>
          </w:p>
        </w:tc>
        <w:tc>
          <w:tcPr>
            <w:tcW w:w="1441" w:type="dxa"/>
            <w:gridSpan w:val="2"/>
            <w:tcBorders>
              <w:top w:val="nil"/>
              <w:left w:val="nil"/>
              <w:bottom w:val="nil"/>
              <w:right w:val="nil"/>
            </w:tcBorders>
            <w:shd w:val="clear" w:color="auto" w:fill="auto"/>
            <w:noWrap/>
            <w:vAlign w:val="bottom"/>
          </w:tcPr>
          <w:p w14:paraId="03CACBE3"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668.2</w:t>
            </w:r>
          </w:p>
        </w:tc>
        <w:tc>
          <w:tcPr>
            <w:tcW w:w="656" w:type="dxa"/>
            <w:gridSpan w:val="2"/>
            <w:tcBorders>
              <w:top w:val="nil"/>
              <w:left w:val="nil"/>
              <w:bottom w:val="nil"/>
              <w:right w:val="nil"/>
            </w:tcBorders>
            <w:shd w:val="clear" w:color="auto" w:fill="auto"/>
            <w:noWrap/>
            <w:vAlign w:val="bottom"/>
          </w:tcPr>
          <w:p w14:paraId="15FC737F"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203</w:t>
            </w:r>
          </w:p>
        </w:tc>
      </w:tr>
      <w:tr w:rsidR="00240F3F" w:rsidRPr="009D5939" w14:paraId="2C1EBA97" w14:textId="77777777" w:rsidTr="00455BF8">
        <w:trPr>
          <w:trHeight w:hRule="exact" w:val="274"/>
        </w:trPr>
        <w:tc>
          <w:tcPr>
            <w:tcW w:w="1800" w:type="dxa"/>
            <w:tcBorders>
              <w:top w:val="nil"/>
              <w:left w:val="nil"/>
              <w:bottom w:val="nil"/>
              <w:right w:val="nil"/>
            </w:tcBorders>
            <w:shd w:val="clear" w:color="auto" w:fill="auto"/>
            <w:noWrap/>
            <w:vAlign w:val="bottom"/>
            <w:hideMark/>
          </w:tcPr>
          <w:p w14:paraId="1F05D621"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Plainfield</w:t>
            </w:r>
          </w:p>
        </w:tc>
        <w:tc>
          <w:tcPr>
            <w:tcW w:w="986" w:type="dxa"/>
            <w:tcBorders>
              <w:top w:val="nil"/>
              <w:left w:val="nil"/>
              <w:bottom w:val="nil"/>
              <w:right w:val="nil"/>
            </w:tcBorders>
            <w:shd w:val="clear" w:color="auto" w:fill="auto"/>
            <w:noWrap/>
            <w:vAlign w:val="bottom"/>
          </w:tcPr>
          <w:p w14:paraId="3DF46CFB"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2,359.8</w:t>
            </w:r>
          </w:p>
        </w:tc>
        <w:tc>
          <w:tcPr>
            <w:tcW w:w="974" w:type="dxa"/>
            <w:tcBorders>
              <w:top w:val="nil"/>
              <w:left w:val="nil"/>
              <w:bottom w:val="nil"/>
              <w:right w:val="nil"/>
            </w:tcBorders>
            <w:shd w:val="clear" w:color="auto" w:fill="auto"/>
            <w:noWrap/>
            <w:vAlign w:val="bottom"/>
          </w:tcPr>
          <w:p w14:paraId="6505AD7A"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154</w:t>
            </w:r>
          </w:p>
        </w:tc>
        <w:tc>
          <w:tcPr>
            <w:tcW w:w="1280" w:type="dxa"/>
            <w:tcBorders>
              <w:top w:val="nil"/>
              <w:left w:val="nil"/>
              <w:bottom w:val="nil"/>
              <w:right w:val="nil"/>
            </w:tcBorders>
            <w:shd w:val="clear" w:color="auto" w:fill="auto"/>
            <w:noWrap/>
            <w:vAlign w:val="bottom"/>
          </w:tcPr>
          <w:p w14:paraId="25DD086C"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1,705.2</w:t>
            </w:r>
          </w:p>
        </w:tc>
        <w:tc>
          <w:tcPr>
            <w:tcW w:w="791" w:type="dxa"/>
            <w:tcBorders>
              <w:top w:val="nil"/>
              <w:left w:val="nil"/>
              <w:bottom w:val="nil"/>
              <w:right w:val="nil"/>
            </w:tcBorders>
            <w:shd w:val="clear" w:color="auto" w:fill="auto"/>
            <w:noWrap/>
            <w:vAlign w:val="bottom"/>
          </w:tcPr>
          <w:p w14:paraId="2B98EEAD"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111</w:t>
            </w:r>
          </w:p>
        </w:tc>
        <w:tc>
          <w:tcPr>
            <w:tcW w:w="986" w:type="dxa"/>
            <w:tcBorders>
              <w:top w:val="nil"/>
              <w:left w:val="nil"/>
              <w:bottom w:val="nil"/>
              <w:right w:val="nil"/>
            </w:tcBorders>
            <w:shd w:val="clear" w:color="auto" w:fill="auto"/>
            <w:noWrap/>
            <w:vAlign w:val="bottom"/>
          </w:tcPr>
          <w:p w14:paraId="25093BB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1,594.7</w:t>
            </w:r>
          </w:p>
        </w:tc>
        <w:tc>
          <w:tcPr>
            <w:tcW w:w="791" w:type="dxa"/>
            <w:tcBorders>
              <w:top w:val="nil"/>
              <w:left w:val="nil"/>
              <w:bottom w:val="nil"/>
              <w:right w:val="nil"/>
            </w:tcBorders>
            <w:shd w:val="clear" w:color="auto" w:fill="auto"/>
            <w:noWrap/>
            <w:vAlign w:val="bottom"/>
          </w:tcPr>
          <w:p w14:paraId="6E449F4A"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104</w:t>
            </w:r>
          </w:p>
        </w:tc>
        <w:tc>
          <w:tcPr>
            <w:tcW w:w="1441" w:type="dxa"/>
            <w:gridSpan w:val="2"/>
            <w:tcBorders>
              <w:top w:val="nil"/>
              <w:left w:val="nil"/>
              <w:bottom w:val="nil"/>
              <w:right w:val="nil"/>
            </w:tcBorders>
            <w:shd w:val="clear" w:color="auto" w:fill="auto"/>
            <w:noWrap/>
            <w:vAlign w:val="bottom"/>
          </w:tcPr>
          <w:p w14:paraId="599FC27B"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2,230.4</w:t>
            </w:r>
          </w:p>
        </w:tc>
        <w:tc>
          <w:tcPr>
            <w:tcW w:w="656" w:type="dxa"/>
            <w:gridSpan w:val="2"/>
            <w:tcBorders>
              <w:top w:val="nil"/>
              <w:left w:val="nil"/>
              <w:bottom w:val="nil"/>
              <w:right w:val="nil"/>
            </w:tcBorders>
            <w:shd w:val="clear" w:color="auto" w:fill="auto"/>
            <w:noWrap/>
            <w:vAlign w:val="bottom"/>
          </w:tcPr>
          <w:p w14:paraId="60F4D866"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146</w:t>
            </w:r>
          </w:p>
        </w:tc>
      </w:tr>
      <w:tr w:rsidR="00240F3F" w:rsidRPr="009D5939" w14:paraId="03D4C92D" w14:textId="77777777" w:rsidTr="00455BF8">
        <w:trPr>
          <w:trHeight w:hRule="exact" w:val="274"/>
        </w:trPr>
        <w:tc>
          <w:tcPr>
            <w:tcW w:w="1800" w:type="dxa"/>
            <w:tcBorders>
              <w:top w:val="nil"/>
              <w:left w:val="nil"/>
              <w:right w:val="nil"/>
            </w:tcBorders>
            <w:shd w:val="clear" w:color="auto" w:fill="auto"/>
            <w:noWrap/>
            <w:vAlign w:val="bottom"/>
            <w:hideMark/>
          </w:tcPr>
          <w:p w14:paraId="31E8FE29"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Union</w:t>
            </w:r>
          </w:p>
        </w:tc>
        <w:tc>
          <w:tcPr>
            <w:tcW w:w="986" w:type="dxa"/>
            <w:tcBorders>
              <w:top w:val="nil"/>
              <w:left w:val="nil"/>
              <w:right w:val="nil"/>
            </w:tcBorders>
            <w:shd w:val="clear" w:color="auto" w:fill="auto"/>
            <w:noWrap/>
            <w:vAlign w:val="bottom"/>
          </w:tcPr>
          <w:p w14:paraId="526B336D"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174.9</w:t>
            </w:r>
          </w:p>
        </w:tc>
        <w:tc>
          <w:tcPr>
            <w:tcW w:w="974" w:type="dxa"/>
            <w:tcBorders>
              <w:top w:val="nil"/>
              <w:left w:val="nil"/>
              <w:right w:val="nil"/>
            </w:tcBorders>
            <w:shd w:val="clear" w:color="auto" w:fill="auto"/>
            <w:noWrap/>
            <w:vAlign w:val="bottom"/>
          </w:tcPr>
          <w:p w14:paraId="75A0AFD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168</w:t>
            </w:r>
          </w:p>
        </w:tc>
        <w:tc>
          <w:tcPr>
            <w:tcW w:w="1280" w:type="dxa"/>
            <w:tcBorders>
              <w:top w:val="nil"/>
              <w:left w:val="nil"/>
              <w:right w:val="nil"/>
            </w:tcBorders>
            <w:shd w:val="clear" w:color="auto" w:fill="auto"/>
            <w:noWrap/>
            <w:vAlign w:val="bottom"/>
          </w:tcPr>
          <w:p w14:paraId="3086C3B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156.0</w:t>
            </w:r>
          </w:p>
        </w:tc>
        <w:tc>
          <w:tcPr>
            <w:tcW w:w="791" w:type="dxa"/>
            <w:tcBorders>
              <w:top w:val="nil"/>
              <w:left w:val="nil"/>
              <w:right w:val="nil"/>
            </w:tcBorders>
            <w:shd w:val="clear" w:color="auto" w:fill="auto"/>
            <w:noWrap/>
            <w:vAlign w:val="bottom"/>
          </w:tcPr>
          <w:p w14:paraId="3D10149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150</w:t>
            </w:r>
          </w:p>
        </w:tc>
        <w:tc>
          <w:tcPr>
            <w:tcW w:w="986" w:type="dxa"/>
            <w:tcBorders>
              <w:top w:val="nil"/>
              <w:left w:val="nil"/>
              <w:right w:val="nil"/>
            </w:tcBorders>
            <w:shd w:val="clear" w:color="auto" w:fill="auto"/>
            <w:noWrap/>
            <w:vAlign w:val="bottom"/>
          </w:tcPr>
          <w:p w14:paraId="2CF279B0"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54.7</w:t>
            </w:r>
          </w:p>
        </w:tc>
        <w:tc>
          <w:tcPr>
            <w:tcW w:w="791" w:type="dxa"/>
            <w:tcBorders>
              <w:top w:val="nil"/>
              <w:left w:val="nil"/>
              <w:right w:val="nil"/>
            </w:tcBorders>
            <w:shd w:val="clear" w:color="auto" w:fill="auto"/>
            <w:noWrap/>
            <w:vAlign w:val="bottom"/>
          </w:tcPr>
          <w:p w14:paraId="6D331B71"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53</w:t>
            </w:r>
          </w:p>
        </w:tc>
        <w:tc>
          <w:tcPr>
            <w:tcW w:w="1441" w:type="dxa"/>
            <w:gridSpan w:val="2"/>
            <w:tcBorders>
              <w:top w:val="nil"/>
              <w:left w:val="nil"/>
              <w:right w:val="nil"/>
            </w:tcBorders>
            <w:shd w:val="clear" w:color="auto" w:fill="auto"/>
            <w:noWrap/>
            <w:vAlign w:val="bottom"/>
          </w:tcPr>
          <w:p w14:paraId="5CB0BB54"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122.0</w:t>
            </w:r>
          </w:p>
        </w:tc>
        <w:tc>
          <w:tcPr>
            <w:tcW w:w="656" w:type="dxa"/>
            <w:gridSpan w:val="2"/>
            <w:tcBorders>
              <w:top w:val="nil"/>
              <w:left w:val="nil"/>
              <w:right w:val="nil"/>
            </w:tcBorders>
            <w:shd w:val="clear" w:color="auto" w:fill="auto"/>
            <w:noWrap/>
            <w:vAlign w:val="bottom"/>
          </w:tcPr>
          <w:p w14:paraId="030F7A5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117</w:t>
            </w:r>
          </w:p>
        </w:tc>
      </w:tr>
      <w:tr w:rsidR="00240F3F" w:rsidRPr="009D5939" w14:paraId="10F453A0" w14:textId="77777777" w:rsidTr="00455BF8">
        <w:trPr>
          <w:trHeight w:hRule="exact" w:val="274"/>
        </w:trPr>
        <w:tc>
          <w:tcPr>
            <w:tcW w:w="1800" w:type="dxa"/>
            <w:tcBorders>
              <w:top w:val="nil"/>
              <w:left w:val="nil"/>
              <w:bottom w:val="single" w:sz="4" w:space="0" w:color="auto"/>
              <w:right w:val="nil"/>
            </w:tcBorders>
            <w:shd w:val="clear" w:color="auto" w:fill="auto"/>
            <w:noWrap/>
            <w:vAlign w:val="bottom"/>
            <w:hideMark/>
          </w:tcPr>
          <w:p w14:paraId="153682F8" w14:textId="77777777" w:rsidR="00240F3F" w:rsidRPr="008A2782" w:rsidRDefault="00240F3F" w:rsidP="00D422A0">
            <w:pPr>
              <w:spacing w:after="0" w:line="240" w:lineRule="auto"/>
              <w:rPr>
                <w:color w:val="000000"/>
                <w:sz w:val="22"/>
                <w:szCs w:val="22"/>
                <w:lang w:bidi="ar-SA"/>
              </w:rPr>
            </w:pPr>
            <w:r w:rsidRPr="008A2782">
              <w:rPr>
                <w:color w:val="000000"/>
                <w:sz w:val="22"/>
                <w:szCs w:val="22"/>
                <w:lang w:bidi="ar-SA"/>
              </w:rPr>
              <w:t xml:space="preserve">     Washington</w:t>
            </w:r>
          </w:p>
        </w:tc>
        <w:tc>
          <w:tcPr>
            <w:tcW w:w="986" w:type="dxa"/>
            <w:tcBorders>
              <w:top w:val="nil"/>
              <w:left w:val="nil"/>
              <w:bottom w:val="single" w:sz="4" w:space="0" w:color="auto"/>
              <w:right w:val="nil"/>
            </w:tcBorders>
            <w:shd w:val="clear" w:color="auto" w:fill="auto"/>
            <w:noWrap/>
            <w:vAlign w:val="bottom"/>
          </w:tcPr>
          <w:p w14:paraId="674B105D"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2,013.3</w:t>
            </w:r>
          </w:p>
        </w:tc>
        <w:tc>
          <w:tcPr>
            <w:tcW w:w="974" w:type="dxa"/>
            <w:tcBorders>
              <w:top w:val="nil"/>
              <w:left w:val="nil"/>
              <w:bottom w:val="single" w:sz="4" w:space="0" w:color="auto"/>
              <w:right w:val="nil"/>
            </w:tcBorders>
            <w:shd w:val="clear" w:color="auto" w:fill="auto"/>
            <w:noWrap/>
            <w:vAlign w:val="bottom"/>
          </w:tcPr>
          <w:p w14:paraId="45BFBE27"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565</w:t>
            </w:r>
          </w:p>
        </w:tc>
        <w:tc>
          <w:tcPr>
            <w:tcW w:w="1280" w:type="dxa"/>
            <w:tcBorders>
              <w:top w:val="nil"/>
              <w:left w:val="nil"/>
              <w:bottom w:val="single" w:sz="4" w:space="0" w:color="auto"/>
              <w:right w:val="nil"/>
            </w:tcBorders>
            <w:shd w:val="clear" w:color="auto" w:fill="auto"/>
            <w:noWrap/>
            <w:vAlign w:val="bottom"/>
          </w:tcPr>
          <w:p w14:paraId="67EEB1C9"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2,195.1</w:t>
            </w:r>
          </w:p>
        </w:tc>
        <w:tc>
          <w:tcPr>
            <w:tcW w:w="791" w:type="dxa"/>
            <w:tcBorders>
              <w:top w:val="nil"/>
              <w:left w:val="nil"/>
              <w:bottom w:val="single" w:sz="4" w:space="0" w:color="auto"/>
              <w:right w:val="nil"/>
            </w:tcBorders>
            <w:shd w:val="clear" w:color="auto" w:fill="auto"/>
            <w:noWrap/>
            <w:vAlign w:val="bottom"/>
          </w:tcPr>
          <w:p w14:paraId="4B276122"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616</w:t>
            </w:r>
          </w:p>
        </w:tc>
        <w:tc>
          <w:tcPr>
            <w:tcW w:w="986" w:type="dxa"/>
            <w:tcBorders>
              <w:top w:val="nil"/>
              <w:left w:val="nil"/>
              <w:bottom w:val="single" w:sz="4" w:space="0" w:color="auto"/>
              <w:right w:val="nil"/>
            </w:tcBorders>
            <w:shd w:val="clear" w:color="auto" w:fill="auto"/>
            <w:noWrap/>
            <w:vAlign w:val="bottom"/>
          </w:tcPr>
          <w:p w14:paraId="40C62B8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830.0</w:t>
            </w:r>
          </w:p>
        </w:tc>
        <w:tc>
          <w:tcPr>
            <w:tcW w:w="791" w:type="dxa"/>
            <w:tcBorders>
              <w:top w:val="nil"/>
              <w:left w:val="nil"/>
              <w:bottom w:val="single" w:sz="4" w:space="0" w:color="auto"/>
              <w:right w:val="nil"/>
            </w:tcBorders>
            <w:shd w:val="clear" w:color="auto" w:fill="auto"/>
            <w:noWrap/>
            <w:vAlign w:val="bottom"/>
          </w:tcPr>
          <w:p w14:paraId="0D8062D0"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233</w:t>
            </w:r>
          </w:p>
        </w:tc>
        <w:tc>
          <w:tcPr>
            <w:tcW w:w="1441" w:type="dxa"/>
            <w:gridSpan w:val="2"/>
            <w:tcBorders>
              <w:top w:val="nil"/>
              <w:left w:val="nil"/>
              <w:bottom w:val="single" w:sz="4" w:space="0" w:color="auto"/>
              <w:right w:val="nil"/>
            </w:tcBorders>
            <w:shd w:val="clear" w:color="auto" w:fill="auto"/>
            <w:noWrap/>
            <w:vAlign w:val="bottom"/>
          </w:tcPr>
          <w:p w14:paraId="115B82B5"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951.9</w:t>
            </w:r>
          </w:p>
        </w:tc>
        <w:tc>
          <w:tcPr>
            <w:tcW w:w="656" w:type="dxa"/>
            <w:gridSpan w:val="2"/>
            <w:tcBorders>
              <w:top w:val="nil"/>
              <w:left w:val="nil"/>
              <w:bottom w:val="single" w:sz="4" w:space="0" w:color="auto"/>
              <w:right w:val="nil"/>
            </w:tcBorders>
            <w:shd w:val="clear" w:color="auto" w:fill="auto"/>
            <w:noWrap/>
            <w:vAlign w:val="bottom"/>
          </w:tcPr>
          <w:p w14:paraId="7EB2159E" w14:textId="77777777" w:rsidR="00240F3F" w:rsidRPr="008A2782" w:rsidRDefault="00240F3F" w:rsidP="00D422A0">
            <w:pPr>
              <w:spacing w:after="0" w:line="240" w:lineRule="auto"/>
              <w:jc w:val="right"/>
              <w:rPr>
                <w:color w:val="000000"/>
                <w:sz w:val="22"/>
                <w:szCs w:val="22"/>
                <w:lang w:bidi="ar-SA"/>
              </w:rPr>
            </w:pPr>
            <w:r w:rsidRPr="008A2782">
              <w:rPr>
                <w:color w:val="000000"/>
                <w:sz w:val="22"/>
                <w:szCs w:val="22"/>
                <w:lang w:bidi="ar-SA"/>
              </w:rPr>
              <w:t>267</w:t>
            </w:r>
          </w:p>
        </w:tc>
      </w:tr>
    </w:tbl>
    <w:p w14:paraId="0806DB38" w14:textId="77777777" w:rsidR="009D0F19" w:rsidRDefault="009D0F19" w:rsidP="000218D0">
      <w:pPr>
        <w:spacing w:after="0" w:line="360" w:lineRule="auto"/>
        <w:rPr>
          <w:i/>
          <w:color w:val="000000"/>
        </w:rPr>
      </w:pPr>
    </w:p>
    <w:p w14:paraId="21FACFE2" w14:textId="77777777" w:rsidR="00FC7F94" w:rsidRDefault="00FC7F94" w:rsidP="000218D0">
      <w:pPr>
        <w:spacing w:after="0" w:line="360" w:lineRule="auto"/>
        <w:rPr>
          <w:i/>
          <w:color w:val="000000"/>
        </w:rPr>
      </w:pPr>
    </w:p>
    <w:p w14:paraId="5696DCB5" w14:textId="77777777" w:rsidR="00181ACD" w:rsidRDefault="00181ACD" w:rsidP="000218D0">
      <w:pPr>
        <w:spacing w:after="0" w:line="360" w:lineRule="auto"/>
        <w:rPr>
          <w:i/>
          <w:color w:val="000000"/>
        </w:rPr>
      </w:pPr>
    </w:p>
    <w:p w14:paraId="09421342" w14:textId="77777777" w:rsidR="00181ACD" w:rsidRDefault="00181ACD" w:rsidP="000218D0">
      <w:pPr>
        <w:spacing w:after="0" w:line="360" w:lineRule="auto"/>
        <w:rPr>
          <w:i/>
          <w:color w:val="000000"/>
        </w:rPr>
      </w:pPr>
    </w:p>
    <w:p w14:paraId="46E97131" w14:textId="77777777" w:rsidR="00181ACD" w:rsidRDefault="00181ACD" w:rsidP="000218D0">
      <w:pPr>
        <w:spacing w:after="0" w:line="360" w:lineRule="auto"/>
        <w:rPr>
          <w:i/>
          <w:color w:val="000000"/>
        </w:rPr>
      </w:pPr>
    </w:p>
    <w:p w14:paraId="04A830B5" w14:textId="77777777" w:rsidR="00181ACD" w:rsidRDefault="00181ACD" w:rsidP="000218D0">
      <w:pPr>
        <w:spacing w:after="0" w:line="360" w:lineRule="auto"/>
        <w:rPr>
          <w:i/>
          <w:color w:val="000000"/>
        </w:rPr>
      </w:pPr>
    </w:p>
    <w:p w14:paraId="4361434E" w14:textId="77777777" w:rsidR="00181ACD" w:rsidRDefault="00181ACD" w:rsidP="000218D0">
      <w:pPr>
        <w:spacing w:after="0" w:line="360" w:lineRule="auto"/>
        <w:rPr>
          <w:i/>
          <w:color w:val="000000"/>
        </w:rPr>
      </w:pPr>
    </w:p>
    <w:tbl>
      <w:tblPr>
        <w:tblW w:w="9705" w:type="dxa"/>
        <w:tblInd w:w="108" w:type="dxa"/>
        <w:tblLook w:val="04A0" w:firstRow="1" w:lastRow="0" w:firstColumn="1" w:lastColumn="0" w:noHBand="0" w:noVBand="1"/>
      </w:tblPr>
      <w:tblGrid>
        <w:gridCol w:w="2111"/>
        <w:gridCol w:w="1583"/>
        <w:gridCol w:w="2005"/>
        <w:gridCol w:w="2089"/>
        <w:gridCol w:w="1917"/>
      </w:tblGrid>
      <w:tr w:rsidR="004D3334" w:rsidRPr="004D5894" w14:paraId="2B452839" w14:textId="77777777" w:rsidTr="00FC7F94">
        <w:trPr>
          <w:trHeight w:hRule="exact" w:val="631"/>
        </w:trPr>
        <w:tc>
          <w:tcPr>
            <w:tcW w:w="9705" w:type="dxa"/>
            <w:gridSpan w:val="5"/>
            <w:tcBorders>
              <w:left w:val="nil"/>
              <w:bottom w:val="single" w:sz="4" w:space="0" w:color="auto"/>
            </w:tcBorders>
            <w:shd w:val="clear" w:color="auto" w:fill="auto"/>
            <w:noWrap/>
            <w:vAlign w:val="bottom"/>
          </w:tcPr>
          <w:p w14:paraId="58400679" w14:textId="77777777" w:rsidR="004D3334" w:rsidRPr="00C64779" w:rsidRDefault="004D3334" w:rsidP="00C64779">
            <w:pPr>
              <w:pStyle w:val="Heading4"/>
            </w:pPr>
            <w:bookmarkStart w:id="103" w:name="_Toc433373697"/>
            <w:r w:rsidRPr="00C64779">
              <w:lastRenderedPageBreak/>
              <w:t>Table 9.   Income Tax Revenue as a Percent of Property Tax Revenue</w:t>
            </w:r>
            <w:bookmarkEnd w:id="103"/>
          </w:p>
        </w:tc>
      </w:tr>
      <w:tr w:rsidR="004D3334" w:rsidRPr="008A2782" w14:paraId="341B63C3" w14:textId="77777777" w:rsidTr="00FC7F94">
        <w:trPr>
          <w:trHeight w:hRule="exact" w:val="541"/>
        </w:trPr>
        <w:tc>
          <w:tcPr>
            <w:tcW w:w="2111" w:type="dxa"/>
            <w:tcBorders>
              <w:left w:val="nil"/>
              <w:bottom w:val="single" w:sz="4" w:space="0" w:color="auto"/>
              <w:right w:val="nil"/>
            </w:tcBorders>
            <w:shd w:val="clear" w:color="auto" w:fill="auto"/>
            <w:noWrap/>
            <w:vAlign w:val="bottom"/>
            <w:hideMark/>
          </w:tcPr>
          <w:p w14:paraId="1724EB80" w14:textId="77777777" w:rsidR="004D3334" w:rsidRPr="008A2782" w:rsidRDefault="004D3334" w:rsidP="00522276">
            <w:pPr>
              <w:spacing w:after="0" w:line="240" w:lineRule="auto"/>
              <w:jc w:val="center"/>
              <w:rPr>
                <w:color w:val="000000"/>
                <w:sz w:val="22"/>
                <w:szCs w:val="22"/>
                <w:lang w:bidi="ar-SA"/>
              </w:rPr>
            </w:pPr>
          </w:p>
        </w:tc>
        <w:tc>
          <w:tcPr>
            <w:tcW w:w="1583" w:type="dxa"/>
            <w:tcBorders>
              <w:top w:val="nil"/>
              <w:left w:val="nil"/>
              <w:bottom w:val="single" w:sz="4" w:space="0" w:color="auto"/>
              <w:right w:val="nil"/>
            </w:tcBorders>
            <w:shd w:val="clear" w:color="auto" w:fill="auto"/>
            <w:noWrap/>
            <w:vAlign w:val="bottom"/>
          </w:tcPr>
          <w:p w14:paraId="7E6B4A57" w14:textId="77777777" w:rsidR="004D3334" w:rsidRPr="008A2782" w:rsidRDefault="004D3334" w:rsidP="00522276">
            <w:pPr>
              <w:spacing w:after="0" w:line="240" w:lineRule="auto"/>
              <w:jc w:val="right"/>
              <w:rPr>
                <w:color w:val="000000"/>
                <w:sz w:val="22"/>
                <w:szCs w:val="22"/>
                <w:lang w:bidi="ar-SA"/>
              </w:rPr>
            </w:pPr>
            <w:r>
              <w:rPr>
                <w:color w:val="000000"/>
                <w:sz w:val="22"/>
                <w:szCs w:val="22"/>
                <w:lang w:bidi="ar-SA"/>
              </w:rPr>
              <w:t>AGI Tax</w:t>
            </w:r>
          </w:p>
        </w:tc>
        <w:tc>
          <w:tcPr>
            <w:tcW w:w="2005" w:type="dxa"/>
            <w:tcBorders>
              <w:top w:val="nil"/>
              <w:left w:val="nil"/>
              <w:bottom w:val="single" w:sz="4" w:space="0" w:color="auto"/>
              <w:right w:val="nil"/>
            </w:tcBorders>
            <w:shd w:val="clear" w:color="auto" w:fill="auto"/>
            <w:noWrap/>
            <w:vAlign w:val="bottom"/>
          </w:tcPr>
          <w:p w14:paraId="750FD853" w14:textId="77777777" w:rsidR="004D3334" w:rsidRPr="008A2782" w:rsidRDefault="004D3334" w:rsidP="00522276">
            <w:pPr>
              <w:spacing w:after="0" w:line="240" w:lineRule="auto"/>
              <w:jc w:val="right"/>
              <w:rPr>
                <w:color w:val="000000"/>
                <w:sz w:val="22"/>
                <w:szCs w:val="22"/>
                <w:lang w:bidi="ar-SA"/>
              </w:rPr>
            </w:pPr>
            <w:r>
              <w:rPr>
                <w:color w:val="000000"/>
                <w:sz w:val="22"/>
                <w:szCs w:val="22"/>
                <w:lang w:bidi="ar-SA"/>
              </w:rPr>
              <w:t>Income Surtax</w:t>
            </w:r>
          </w:p>
        </w:tc>
        <w:tc>
          <w:tcPr>
            <w:tcW w:w="2089" w:type="dxa"/>
            <w:tcBorders>
              <w:top w:val="nil"/>
              <w:left w:val="nil"/>
              <w:bottom w:val="single" w:sz="4" w:space="0" w:color="auto"/>
              <w:right w:val="nil"/>
            </w:tcBorders>
            <w:shd w:val="clear" w:color="auto" w:fill="auto"/>
            <w:noWrap/>
            <w:vAlign w:val="bottom"/>
          </w:tcPr>
          <w:p w14:paraId="7BEAD791" w14:textId="77777777" w:rsidR="004D3334" w:rsidRPr="008A2782" w:rsidRDefault="004D3334" w:rsidP="00522276">
            <w:pPr>
              <w:spacing w:after="0" w:line="240" w:lineRule="auto"/>
              <w:jc w:val="right"/>
              <w:rPr>
                <w:color w:val="000000"/>
                <w:sz w:val="22"/>
                <w:szCs w:val="22"/>
                <w:lang w:bidi="ar-SA"/>
              </w:rPr>
            </w:pPr>
            <w:r>
              <w:rPr>
                <w:color w:val="000000"/>
                <w:sz w:val="22"/>
                <w:szCs w:val="22"/>
                <w:lang w:bidi="ar-SA"/>
              </w:rPr>
              <w:t>Payroll Tax</w:t>
            </w:r>
          </w:p>
        </w:tc>
        <w:tc>
          <w:tcPr>
            <w:tcW w:w="1917" w:type="dxa"/>
            <w:tcBorders>
              <w:top w:val="nil"/>
              <w:left w:val="nil"/>
              <w:bottom w:val="single" w:sz="4" w:space="0" w:color="auto"/>
              <w:right w:val="nil"/>
            </w:tcBorders>
            <w:shd w:val="clear" w:color="auto" w:fill="auto"/>
            <w:noWrap/>
            <w:vAlign w:val="bottom"/>
          </w:tcPr>
          <w:p w14:paraId="7B5CD9C5" w14:textId="77777777" w:rsidR="004D3334" w:rsidRPr="008A2782" w:rsidRDefault="004D3334" w:rsidP="00522276">
            <w:pPr>
              <w:spacing w:after="0" w:line="240" w:lineRule="auto"/>
              <w:ind w:hanging="38"/>
              <w:jc w:val="right"/>
              <w:rPr>
                <w:color w:val="000000"/>
                <w:sz w:val="22"/>
                <w:szCs w:val="22"/>
                <w:lang w:bidi="ar-SA"/>
              </w:rPr>
            </w:pPr>
            <w:r>
              <w:rPr>
                <w:color w:val="000000"/>
                <w:sz w:val="22"/>
                <w:szCs w:val="22"/>
                <w:lang w:bidi="ar-SA"/>
              </w:rPr>
              <w:t>Split Earnings Tax</w:t>
            </w:r>
          </w:p>
        </w:tc>
      </w:tr>
      <w:tr w:rsidR="004D3334" w:rsidRPr="008A2782" w14:paraId="1AB84B01" w14:textId="77777777" w:rsidTr="00FC7F94">
        <w:trPr>
          <w:trHeight w:hRule="exact" w:val="253"/>
        </w:trPr>
        <w:tc>
          <w:tcPr>
            <w:tcW w:w="2111" w:type="dxa"/>
            <w:tcBorders>
              <w:top w:val="single" w:sz="4" w:space="0" w:color="auto"/>
              <w:left w:val="nil"/>
              <w:bottom w:val="nil"/>
              <w:right w:val="nil"/>
            </w:tcBorders>
            <w:shd w:val="clear" w:color="auto" w:fill="auto"/>
            <w:noWrap/>
            <w:vAlign w:val="bottom"/>
            <w:hideMark/>
          </w:tcPr>
          <w:p w14:paraId="19CEF9CC" w14:textId="77777777" w:rsidR="004D3334" w:rsidRPr="008A2782" w:rsidRDefault="004D3334" w:rsidP="00522276">
            <w:pPr>
              <w:spacing w:after="0" w:line="240" w:lineRule="auto"/>
              <w:rPr>
                <w:b/>
                <w:bCs/>
                <w:color w:val="000000"/>
                <w:sz w:val="22"/>
                <w:szCs w:val="22"/>
                <w:lang w:bidi="ar-SA"/>
              </w:rPr>
            </w:pPr>
            <w:r w:rsidRPr="008A2782">
              <w:rPr>
                <w:b/>
                <w:bCs/>
                <w:color w:val="000000"/>
                <w:sz w:val="22"/>
                <w:szCs w:val="22"/>
                <w:lang w:bidi="ar-SA"/>
              </w:rPr>
              <w:t xml:space="preserve">   Large Cities</w:t>
            </w:r>
          </w:p>
        </w:tc>
        <w:tc>
          <w:tcPr>
            <w:tcW w:w="1583" w:type="dxa"/>
            <w:tcBorders>
              <w:top w:val="single" w:sz="4" w:space="0" w:color="auto"/>
              <w:left w:val="nil"/>
              <w:bottom w:val="nil"/>
              <w:right w:val="nil"/>
            </w:tcBorders>
            <w:shd w:val="clear" w:color="auto" w:fill="auto"/>
            <w:noWrap/>
            <w:vAlign w:val="bottom"/>
            <w:hideMark/>
          </w:tcPr>
          <w:p w14:paraId="3451C54D" w14:textId="77777777" w:rsidR="004D3334" w:rsidRPr="008A2782" w:rsidRDefault="004D3334" w:rsidP="00522276">
            <w:pPr>
              <w:spacing w:after="0" w:line="240" w:lineRule="auto"/>
              <w:rPr>
                <w:sz w:val="22"/>
                <w:szCs w:val="22"/>
                <w:lang w:bidi="ar-SA"/>
              </w:rPr>
            </w:pPr>
          </w:p>
        </w:tc>
        <w:tc>
          <w:tcPr>
            <w:tcW w:w="2005" w:type="dxa"/>
            <w:tcBorders>
              <w:top w:val="single" w:sz="4" w:space="0" w:color="auto"/>
              <w:left w:val="nil"/>
              <w:bottom w:val="nil"/>
              <w:right w:val="nil"/>
            </w:tcBorders>
            <w:shd w:val="clear" w:color="auto" w:fill="auto"/>
            <w:noWrap/>
            <w:vAlign w:val="bottom"/>
            <w:hideMark/>
          </w:tcPr>
          <w:p w14:paraId="400AEBAC" w14:textId="77777777" w:rsidR="004D3334" w:rsidRPr="008A2782" w:rsidRDefault="004D3334" w:rsidP="00522276">
            <w:pPr>
              <w:spacing w:after="0" w:line="240" w:lineRule="auto"/>
              <w:rPr>
                <w:sz w:val="22"/>
                <w:szCs w:val="22"/>
                <w:lang w:bidi="ar-SA"/>
              </w:rPr>
            </w:pPr>
          </w:p>
        </w:tc>
        <w:tc>
          <w:tcPr>
            <w:tcW w:w="2089" w:type="dxa"/>
            <w:tcBorders>
              <w:top w:val="single" w:sz="4" w:space="0" w:color="auto"/>
              <w:left w:val="nil"/>
              <w:bottom w:val="nil"/>
              <w:right w:val="nil"/>
            </w:tcBorders>
            <w:shd w:val="clear" w:color="auto" w:fill="auto"/>
            <w:noWrap/>
            <w:vAlign w:val="bottom"/>
            <w:hideMark/>
          </w:tcPr>
          <w:p w14:paraId="7DFFF102" w14:textId="77777777" w:rsidR="004D3334" w:rsidRPr="008A2782" w:rsidRDefault="004D3334" w:rsidP="00522276">
            <w:pPr>
              <w:spacing w:after="0" w:line="240" w:lineRule="auto"/>
              <w:rPr>
                <w:sz w:val="22"/>
                <w:szCs w:val="22"/>
                <w:lang w:bidi="ar-SA"/>
              </w:rPr>
            </w:pPr>
          </w:p>
        </w:tc>
        <w:tc>
          <w:tcPr>
            <w:tcW w:w="1917" w:type="dxa"/>
            <w:tcBorders>
              <w:top w:val="single" w:sz="4" w:space="0" w:color="auto"/>
              <w:left w:val="nil"/>
              <w:bottom w:val="nil"/>
              <w:right w:val="nil"/>
            </w:tcBorders>
            <w:shd w:val="clear" w:color="auto" w:fill="auto"/>
            <w:noWrap/>
            <w:vAlign w:val="bottom"/>
            <w:hideMark/>
          </w:tcPr>
          <w:p w14:paraId="5ECDDD86" w14:textId="77777777" w:rsidR="004D3334" w:rsidRPr="008A2782" w:rsidRDefault="004D3334" w:rsidP="00522276">
            <w:pPr>
              <w:spacing w:after="0" w:line="240" w:lineRule="auto"/>
              <w:rPr>
                <w:sz w:val="22"/>
                <w:szCs w:val="22"/>
                <w:lang w:bidi="ar-SA"/>
              </w:rPr>
            </w:pPr>
          </w:p>
        </w:tc>
      </w:tr>
      <w:tr w:rsidR="004D3334" w:rsidRPr="004D5894" w14:paraId="4A18AC8B" w14:textId="77777777" w:rsidTr="00FC7F94">
        <w:trPr>
          <w:trHeight w:hRule="exact" w:val="274"/>
        </w:trPr>
        <w:tc>
          <w:tcPr>
            <w:tcW w:w="2111" w:type="dxa"/>
            <w:tcBorders>
              <w:top w:val="nil"/>
              <w:left w:val="nil"/>
              <w:bottom w:val="nil"/>
              <w:right w:val="nil"/>
            </w:tcBorders>
            <w:shd w:val="clear" w:color="auto" w:fill="auto"/>
            <w:noWrap/>
            <w:vAlign w:val="bottom"/>
            <w:hideMark/>
          </w:tcPr>
          <w:p w14:paraId="2B22195D"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Bridgeport</w:t>
            </w:r>
          </w:p>
        </w:tc>
        <w:tc>
          <w:tcPr>
            <w:tcW w:w="1583" w:type="dxa"/>
            <w:tcBorders>
              <w:top w:val="nil"/>
              <w:left w:val="nil"/>
              <w:bottom w:val="nil"/>
              <w:right w:val="nil"/>
            </w:tcBorders>
            <w:shd w:val="clear" w:color="auto" w:fill="auto"/>
            <w:noWrap/>
            <w:vAlign w:val="bottom"/>
          </w:tcPr>
          <w:p w14:paraId="5633E0DF"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5.5%</w:t>
            </w:r>
          </w:p>
        </w:tc>
        <w:tc>
          <w:tcPr>
            <w:tcW w:w="2005" w:type="dxa"/>
            <w:tcBorders>
              <w:top w:val="nil"/>
              <w:left w:val="nil"/>
              <w:bottom w:val="nil"/>
              <w:right w:val="nil"/>
            </w:tcBorders>
            <w:shd w:val="clear" w:color="auto" w:fill="auto"/>
            <w:noWrap/>
            <w:vAlign w:val="bottom"/>
          </w:tcPr>
          <w:p w14:paraId="1F46ADEB"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3.4%</w:t>
            </w:r>
          </w:p>
        </w:tc>
        <w:tc>
          <w:tcPr>
            <w:tcW w:w="2089" w:type="dxa"/>
            <w:tcBorders>
              <w:top w:val="nil"/>
              <w:left w:val="nil"/>
              <w:bottom w:val="nil"/>
              <w:right w:val="nil"/>
            </w:tcBorders>
            <w:shd w:val="clear" w:color="auto" w:fill="auto"/>
            <w:noWrap/>
            <w:vAlign w:val="bottom"/>
          </w:tcPr>
          <w:p w14:paraId="758AE137"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8.5%</w:t>
            </w:r>
          </w:p>
        </w:tc>
        <w:tc>
          <w:tcPr>
            <w:tcW w:w="1917" w:type="dxa"/>
            <w:tcBorders>
              <w:top w:val="nil"/>
              <w:left w:val="nil"/>
              <w:bottom w:val="nil"/>
              <w:right w:val="nil"/>
            </w:tcBorders>
            <w:shd w:val="clear" w:color="auto" w:fill="auto"/>
            <w:noWrap/>
            <w:vAlign w:val="bottom"/>
          </w:tcPr>
          <w:p w14:paraId="6BEEFACE"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7.</w:t>
            </w:r>
            <w:r>
              <w:rPr>
                <w:color w:val="000000"/>
                <w:sz w:val="22"/>
                <w:szCs w:val="22"/>
              </w:rPr>
              <w:t>8</w:t>
            </w:r>
            <w:r w:rsidRPr="004D5894">
              <w:rPr>
                <w:color w:val="000000"/>
                <w:sz w:val="22"/>
                <w:szCs w:val="22"/>
              </w:rPr>
              <w:t>%</w:t>
            </w:r>
          </w:p>
        </w:tc>
      </w:tr>
      <w:tr w:rsidR="004D3334" w:rsidRPr="004D5894" w14:paraId="59CFABDC" w14:textId="77777777" w:rsidTr="00FC7F94">
        <w:trPr>
          <w:trHeight w:hRule="exact" w:val="274"/>
        </w:trPr>
        <w:tc>
          <w:tcPr>
            <w:tcW w:w="2111" w:type="dxa"/>
            <w:tcBorders>
              <w:top w:val="nil"/>
              <w:left w:val="nil"/>
              <w:bottom w:val="nil"/>
              <w:right w:val="nil"/>
            </w:tcBorders>
            <w:shd w:val="clear" w:color="auto" w:fill="auto"/>
            <w:noWrap/>
            <w:vAlign w:val="bottom"/>
            <w:hideMark/>
          </w:tcPr>
          <w:p w14:paraId="2FA02624"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Hartford</w:t>
            </w:r>
          </w:p>
        </w:tc>
        <w:tc>
          <w:tcPr>
            <w:tcW w:w="1583" w:type="dxa"/>
            <w:tcBorders>
              <w:top w:val="nil"/>
              <w:left w:val="nil"/>
              <w:bottom w:val="nil"/>
              <w:right w:val="nil"/>
            </w:tcBorders>
            <w:shd w:val="clear" w:color="auto" w:fill="auto"/>
            <w:noWrap/>
            <w:vAlign w:val="bottom"/>
          </w:tcPr>
          <w:p w14:paraId="2DE3FE28"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4.7%</w:t>
            </w:r>
          </w:p>
        </w:tc>
        <w:tc>
          <w:tcPr>
            <w:tcW w:w="2005" w:type="dxa"/>
            <w:tcBorders>
              <w:top w:val="nil"/>
              <w:left w:val="nil"/>
              <w:bottom w:val="nil"/>
              <w:right w:val="nil"/>
            </w:tcBorders>
            <w:shd w:val="clear" w:color="auto" w:fill="auto"/>
            <w:noWrap/>
            <w:vAlign w:val="bottom"/>
          </w:tcPr>
          <w:p w14:paraId="1E9A1E86"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3.0%</w:t>
            </w:r>
          </w:p>
        </w:tc>
        <w:tc>
          <w:tcPr>
            <w:tcW w:w="2089" w:type="dxa"/>
            <w:tcBorders>
              <w:top w:val="nil"/>
              <w:left w:val="nil"/>
              <w:bottom w:val="nil"/>
              <w:right w:val="nil"/>
            </w:tcBorders>
            <w:shd w:val="clear" w:color="auto" w:fill="auto"/>
            <w:noWrap/>
            <w:vAlign w:val="bottom"/>
          </w:tcPr>
          <w:p w14:paraId="1991B3ED"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37.5%</w:t>
            </w:r>
          </w:p>
        </w:tc>
        <w:tc>
          <w:tcPr>
            <w:tcW w:w="1917" w:type="dxa"/>
            <w:tcBorders>
              <w:top w:val="nil"/>
              <w:left w:val="nil"/>
              <w:bottom w:val="nil"/>
              <w:right w:val="nil"/>
            </w:tcBorders>
            <w:shd w:val="clear" w:color="auto" w:fill="auto"/>
            <w:noWrap/>
            <w:vAlign w:val="bottom"/>
          </w:tcPr>
          <w:p w14:paraId="05B05C40" w14:textId="77777777" w:rsidR="004D3334" w:rsidRPr="004D5894" w:rsidRDefault="004D3334" w:rsidP="00522276">
            <w:pPr>
              <w:spacing w:after="0" w:line="240" w:lineRule="auto"/>
              <w:jc w:val="right"/>
              <w:rPr>
                <w:color w:val="000000"/>
                <w:sz w:val="22"/>
                <w:szCs w:val="22"/>
                <w:lang w:bidi="ar-SA"/>
              </w:rPr>
            </w:pPr>
            <w:r>
              <w:rPr>
                <w:color w:val="000000"/>
                <w:sz w:val="22"/>
                <w:szCs w:val="22"/>
              </w:rPr>
              <w:t>22.3</w:t>
            </w:r>
            <w:r w:rsidRPr="004D5894">
              <w:rPr>
                <w:color w:val="000000"/>
                <w:sz w:val="22"/>
                <w:szCs w:val="22"/>
              </w:rPr>
              <w:t>%</w:t>
            </w:r>
          </w:p>
        </w:tc>
      </w:tr>
      <w:tr w:rsidR="004D3334" w:rsidRPr="004D5894" w14:paraId="25742A04" w14:textId="77777777" w:rsidTr="00FC7F94">
        <w:trPr>
          <w:trHeight w:hRule="exact" w:val="274"/>
        </w:trPr>
        <w:tc>
          <w:tcPr>
            <w:tcW w:w="2111" w:type="dxa"/>
            <w:tcBorders>
              <w:top w:val="nil"/>
              <w:left w:val="nil"/>
              <w:bottom w:val="nil"/>
              <w:right w:val="nil"/>
            </w:tcBorders>
            <w:shd w:val="clear" w:color="auto" w:fill="auto"/>
            <w:noWrap/>
            <w:vAlign w:val="bottom"/>
            <w:hideMark/>
          </w:tcPr>
          <w:p w14:paraId="0F0101FF"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New Haven</w:t>
            </w:r>
          </w:p>
        </w:tc>
        <w:tc>
          <w:tcPr>
            <w:tcW w:w="1583" w:type="dxa"/>
            <w:tcBorders>
              <w:top w:val="nil"/>
              <w:left w:val="nil"/>
              <w:bottom w:val="nil"/>
              <w:right w:val="nil"/>
            </w:tcBorders>
            <w:shd w:val="clear" w:color="auto" w:fill="auto"/>
            <w:noWrap/>
            <w:vAlign w:val="bottom"/>
          </w:tcPr>
          <w:p w14:paraId="34B65CC5"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7.3%</w:t>
            </w:r>
          </w:p>
        </w:tc>
        <w:tc>
          <w:tcPr>
            <w:tcW w:w="2005" w:type="dxa"/>
            <w:tcBorders>
              <w:top w:val="nil"/>
              <w:left w:val="nil"/>
              <w:bottom w:val="nil"/>
              <w:right w:val="nil"/>
            </w:tcBorders>
            <w:shd w:val="clear" w:color="auto" w:fill="auto"/>
            <w:noWrap/>
            <w:vAlign w:val="bottom"/>
          </w:tcPr>
          <w:p w14:paraId="5311AFD5"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6.2%</w:t>
            </w:r>
          </w:p>
        </w:tc>
        <w:tc>
          <w:tcPr>
            <w:tcW w:w="2089" w:type="dxa"/>
            <w:tcBorders>
              <w:top w:val="nil"/>
              <w:left w:val="nil"/>
              <w:bottom w:val="nil"/>
              <w:right w:val="nil"/>
            </w:tcBorders>
            <w:shd w:val="clear" w:color="auto" w:fill="auto"/>
            <w:noWrap/>
            <w:vAlign w:val="bottom"/>
          </w:tcPr>
          <w:p w14:paraId="6893560B"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23.9%</w:t>
            </w:r>
          </w:p>
        </w:tc>
        <w:tc>
          <w:tcPr>
            <w:tcW w:w="1917" w:type="dxa"/>
            <w:tcBorders>
              <w:top w:val="nil"/>
              <w:left w:val="nil"/>
              <w:bottom w:val="nil"/>
              <w:right w:val="nil"/>
            </w:tcBorders>
            <w:shd w:val="clear" w:color="auto" w:fill="auto"/>
            <w:noWrap/>
            <w:vAlign w:val="bottom"/>
          </w:tcPr>
          <w:p w14:paraId="7758D1C3" w14:textId="77777777" w:rsidR="004D3334" w:rsidRPr="004D5894" w:rsidRDefault="004D3334" w:rsidP="00522276">
            <w:pPr>
              <w:spacing w:after="0" w:line="240" w:lineRule="auto"/>
              <w:jc w:val="right"/>
              <w:rPr>
                <w:color w:val="000000"/>
                <w:sz w:val="22"/>
                <w:szCs w:val="22"/>
                <w:lang w:bidi="ar-SA"/>
              </w:rPr>
            </w:pPr>
            <w:r>
              <w:rPr>
                <w:color w:val="000000"/>
                <w:sz w:val="22"/>
                <w:szCs w:val="22"/>
              </w:rPr>
              <w:t>16.6</w:t>
            </w:r>
            <w:r w:rsidRPr="004D5894">
              <w:rPr>
                <w:color w:val="000000"/>
                <w:sz w:val="22"/>
                <w:szCs w:val="22"/>
              </w:rPr>
              <w:t>%</w:t>
            </w:r>
          </w:p>
        </w:tc>
      </w:tr>
      <w:tr w:rsidR="004D3334" w:rsidRPr="004D5894" w14:paraId="2AF581CE" w14:textId="77777777" w:rsidTr="00FC7F94">
        <w:trPr>
          <w:trHeight w:hRule="exact" w:val="274"/>
        </w:trPr>
        <w:tc>
          <w:tcPr>
            <w:tcW w:w="2111" w:type="dxa"/>
            <w:tcBorders>
              <w:top w:val="nil"/>
              <w:left w:val="nil"/>
              <w:bottom w:val="nil"/>
              <w:right w:val="nil"/>
            </w:tcBorders>
            <w:shd w:val="clear" w:color="auto" w:fill="auto"/>
            <w:noWrap/>
            <w:vAlign w:val="bottom"/>
            <w:hideMark/>
          </w:tcPr>
          <w:p w14:paraId="747C9ED0"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Stamford</w:t>
            </w:r>
          </w:p>
        </w:tc>
        <w:tc>
          <w:tcPr>
            <w:tcW w:w="1583" w:type="dxa"/>
            <w:tcBorders>
              <w:top w:val="nil"/>
              <w:left w:val="nil"/>
              <w:bottom w:val="nil"/>
              <w:right w:val="nil"/>
            </w:tcBorders>
            <w:shd w:val="clear" w:color="auto" w:fill="auto"/>
            <w:noWrap/>
            <w:vAlign w:val="bottom"/>
          </w:tcPr>
          <w:p w14:paraId="6BE576B7"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12.8%</w:t>
            </w:r>
          </w:p>
        </w:tc>
        <w:tc>
          <w:tcPr>
            <w:tcW w:w="2005" w:type="dxa"/>
            <w:tcBorders>
              <w:top w:val="nil"/>
              <w:left w:val="nil"/>
              <w:bottom w:val="nil"/>
              <w:right w:val="nil"/>
            </w:tcBorders>
            <w:shd w:val="clear" w:color="auto" w:fill="auto"/>
            <w:noWrap/>
            <w:vAlign w:val="bottom"/>
          </w:tcPr>
          <w:p w14:paraId="5D082CB6"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12.7%</w:t>
            </w:r>
          </w:p>
        </w:tc>
        <w:tc>
          <w:tcPr>
            <w:tcW w:w="2089" w:type="dxa"/>
            <w:tcBorders>
              <w:top w:val="nil"/>
              <w:left w:val="nil"/>
              <w:bottom w:val="nil"/>
              <w:right w:val="nil"/>
            </w:tcBorders>
            <w:shd w:val="clear" w:color="auto" w:fill="auto"/>
            <w:noWrap/>
            <w:vAlign w:val="bottom"/>
          </w:tcPr>
          <w:p w14:paraId="1DA8210E"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22.2%</w:t>
            </w:r>
          </w:p>
        </w:tc>
        <w:tc>
          <w:tcPr>
            <w:tcW w:w="1917" w:type="dxa"/>
            <w:tcBorders>
              <w:top w:val="nil"/>
              <w:left w:val="nil"/>
              <w:bottom w:val="nil"/>
              <w:right w:val="nil"/>
            </w:tcBorders>
            <w:shd w:val="clear" w:color="auto" w:fill="auto"/>
            <w:noWrap/>
            <w:vAlign w:val="bottom"/>
          </w:tcPr>
          <w:p w14:paraId="5608CEE1"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w:t>
            </w:r>
            <w:r>
              <w:rPr>
                <w:color w:val="000000"/>
                <w:sz w:val="22"/>
                <w:szCs w:val="22"/>
              </w:rPr>
              <w:t>7</w:t>
            </w:r>
            <w:r w:rsidRPr="004D5894">
              <w:rPr>
                <w:color w:val="000000"/>
                <w:sz w:val="22"/>
                <w:szCs w:val="22"/>
              </w:rPr>
              <w:t>.</w:t>
            </w:r>
            <w:r>
              <w:rPr>
                <w:color w:val="000000"/>
                <w:sz w:val="22"/>
                <w:szCs w:val="22"/>
              </w:rPr>
              <w:t>1</w:t>
            </w:r>
            <w:r w:rsidRPr="004D5894">
              <w:rPr>
                <w:color w:val="000000"/>
                <w:sz w:val="22"/>
                <w:szCs w:val="22"/>
              </w:rPr>
              <w:t>%</w:t>
            </w:r>
          </w:p>
        </w:tc>
      </w:tr>
      <w:tr w:rsidR="004D3334" w:rsidRPr="004D5894" w14:paraId="48351BC2" w14:textId="77777777" w:rsidTr="00FC7F94">
        <w:trPr>
          <w:trHeight w:hRule="exact" w:val="274"/>
        </w:trPr>
        <w:tc>
          <w:tcPr>
            <w:tcW w:w="2111" w:type="dxa"/>
            <w:tcBorders>
              <w:top w:val="nil"/>
              <w:left w:val="nil"/>
              <w:bottom w:val="nil"/>
              <w:right w:val="nil"/>
            </w:tcBorders>
            <w:shd w:val="clear" w:color="auto" w:fill="auto"/>
            <w:noWrap/>
            <w:vAlign w:val="bottom"/>
            <w:hideMark/>
          </w:tcPr>
          <w:p w14:paraId="27817D2D" w14:textId="77777777" w:rsidR="004D3334" w:rsidRPr="008A2782" w:rsidRDefault="004D3334" w:rsidP="00522276">
            <w:pPr>
              <w:spacing w:after="0" w:line="240" w:lineRule="auto"/>
              <w:rPr>
                <w:b/>
                <w:bCs/>
                <w:color w:val="000000"/>
                <w:sz w:val="22"/>
                <w:szCs w:val="22"/>
                <w:lang w:bidi="ar-SA"/>
              </w:rPr>
            </w:pPr>
            <w:r w:rsidRPr="008A2782">
              <w:rPr>
                <w:b/>
                <w:bCs/>
                <w:color w:val="000000"/>
                <w:sz w:val="22"/>
                <w:szCs w:val="22"/>
                <w:lang w:bidi="ar-SA"/>
              </w:rPr>
              <w:t xml:space="preserve">   Small Cities</w:t>
            </w:r>
          </w:p>
        </w:tc>
        <w:tc>
          <w:tcPr>
            <w:tcW w:w="1583" w:type="dxa"/>
            <w:tcBorders>
              <w:top w:val="nil"/>
              <w:left w:val="nil"/>
              <w:bottom w:val="nil"/>
              <w:right w:val="nil"/>
            </w:tcBorders>
            <w:shd w:val="clear" w:color="auto" w:fill="auto"/>
            <w:noWrap/>
            <w:vAlign w:val="bottom"/>
          </w:tcPr>
          <w:p w14:paraId="2DABE9CF" w14:textId="77777777" w:rsidR="004D3334" w:rsidRPr="004D5894" w:rsidRDefault="004D3334" w:rsidP="00522276">
            <w:pPr>
              <w:spacing w:after="0" w:line="240" w:lineRule="auto"/>
              <w:rPr>
                <w:sz w:val="22"/>
                <w:szCs w:val="22"/>
                <w:lang w:bidi="ar-SA"/>
              </w:rPr>
            </w:pPr>
          </w:p>
        </w:tc>
        <w:tc>
          <w:tcPr>
            <w:tcW w:w="2005" w:type="dxa"/>
            <w:tcBorders>
              <w:top w:val="nil"/>
              <w:left w:val="nil"/>
              <w:bottom w:val="nil"/>
              <w:right w:val="nil"/>
            </w:tcBorders>
            <w:shd w:val="clear" w:color="auto" w:fill="auto"/>
            <w:noWrap/>
            <w:vAlign w:val="bottom"/>
          </w:tcPr>
          <w:p w14:paraId="37358876" w14:textId="77777777" w:rsidR="004D3334" w:rsidRPr="004D5894" w:rsidRDefault="004D3334" w:rsidP="00522276">
            <w:pPr>
              <w:spacing w:after="0" w:line="240" w:lineRule="auto"/>
              <w:rPr>
                <w:sz w:val="22"/>
                <w:szCs w:val="22"/>
                <w:lang w:bidi="ar-SA"/>
              </w:rPr>
            </w:pPr>
          </w:p>
        </w:tc>
        <w:tc>
          <w:tcPr>
            <w:tcW w:w="2089" w:type="dxa"/>
            <w:tcBorders>
              <w:top w:val="nil"/>
              <w:left w:val="nil"/>
              <w:bottom w:val="nil"/>
              <w:right w:val="nil"/>
            </w:tcBorders>
            <w:shd w:val="clear" w:color="auto" w:fill="auto"/>
            <w:noWrap/>
            <w:vAlign w:val="bottom"/>
          </w:tcPr>
          <w:p w14:paraId="1BC0DDAD" w14:textId="77777777" w:rsidR="004D3334" w:rsidRPr="004D5894" w:rsidRDefault="004D3334" w:rsidP="00522276">
            <w:pPr>
              <w:spacing w:after="0" w:line="240" w:lineRule="auto"/>
              <w:rPr>
                <w:sz w:val="22"/>
                <w:szCs w:val="22"/>
                <w:lang w:bidi="ar-SA"/>
              </w:rPr>
            </w:pPr>
          </w:p>
        </w:tc>
        <w:tc>
          <w:tcPr>
            <w:tcW w:w="1917" w:type="dxa"/>
            <w:tcBorders>
              <w:top w:val="nil"/>
              <w:left w:val="nil"/>
              <w:bottom w:val="nil"/>
              <w:right w:val="nil"/>
            </w:tcBorders>
            <w:shd w:val="clear" w:color="auto" w:fill="auto"/>
            <w:noWrap/>
            <w:vAlign w:val="bottom"/>
          </w:tcPr>
          <w:p w14:paraId="51050246" w14:textId="77777777" w:rsidR="004D3334" w:rsidRPr="004D5894" w:rsidRDefault="004D3334" w:rsidP="00522276">
            <w:pPr>
              <w:spacing w:after="0" w:line="240" w:lineRule="auto"/>
              <w:rPr>
                <w:sz w:val="22"/>
                <w:szCs w:val="22"/>
                <w:lang w:bidi="ar-SA"/>
              </w:rPr>
            </w:pPr>
          </w:p>
        </w:tc>
      </w:tr>
      <w:tr w:rsidR="004D3334" w:rsidRPr="004D5894" w14:paraId="1B3EBD7B" w14:textId="77777777" w:rsidTr="00FC7F94">
        <w:trPr>
          <w:trHeight w:hRule="exact" w:val="274"/>
        </w:trPr>
        <w:tc>
          <w:tcPr>
            <w:tcW w:w="2111" w:type="dxa"/>
            <w:tcBorders>
              <w:top w:val="nil"/>
              <w:left w:val="nil"/>
              <w:bottom w:val="nil"/>
              <w:right w:val="nil"/>
            </w:tcBorders>
            <w:shd w:val="clear" w:color="auto" w:fill="auto"/>
            <w:noWrap/>
            <w:vAlign w:val="bottom"/>
            <w:hideMark/>
          </w:tcPr>
          <w:p w14:paraId="3876C3A2"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Manchester</w:t>
            </w:r>
          </w:p>
        </w:tc>
        <w:tc>
          <w:tcPr>
            <w:tcW w:w="1583" w:type="dxa"/>
            <w:tcBorders>
              <w:top w:val="nil"/>
              <w:left w:val="nil"/>
              <w:bottom w:val="nil"/>
              <w:right w:val="nil"/>
            </w:tcBorders>
            <w:shd w:val="clear" w:color="auto" w:fill="auto"/>
            <w:noWrap/>
            <w:vAlign w:val="bottom"/>
          </w:tcPr>
          <w:p w14:paraId="3F3BF5BE"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10.0%</w:t>
            </w:r>
          </w:p>
        </w:tc>
        <w:tc>
          <w:tcPr>
            <w:tcW w:w="2005" w:type="dxa"/>
            <w:tcBorders>
              <w:top w:val="nil"/>
              <w:left w:val="nil"/>
              <w:bottom w:val="nil"/>
              <w:right w:val="nil"/>
            </w:tcBorders>
            <w:shd w:val="clear" w:color="auto" w:fill="auto"/>
            <w:noWrap/>
            <w:vAlign w:val="bottom"/>
          </w:tcPr>
          <w:p w14:paraId="7A4F5655"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9.2%</w:t>
            </w:r>
          </w:p>
        </w:tc>
        <w:tc>
          <w:tcPr>
            <w:tcW w:w="2089" w:type="dxa"/>
            <w:tcBorders>
              <w:top w:val="nil"/>
              <w:left w:val="nil"/>
              <w:bottom w:val="nil"/>
              <w:right w:val="nil"/>
            </w:tcBorders>
            <w:shd w:val="clear" w:color="auto" w:fill="auto"/>
            <w:noWrap/>
            <w:vAlign w:val="bottom"/>
          </w:tcPr>
          <w:p w14:paraId="50AFF2B0"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10.3%</w:t>
            </w:r>
          </w:p>
        </w:tc>
        <w:tc>
          <w:tcPr>
            <w:tcW w:w="1917" w:type="dxa"/>
            <w:tcBorders>
              <w:top w:val="nil"/>
              <w:left w:val="nil"/>
              <w:bottom w:val="nil"/>
              <w:right w:val="nil"/>
            </w:tcBorders>
            <w:shd w:val="clear" w:color="auto" w:fill="auto"/>
            <w:noWrap/>
            <w:vAlign w:val="bottom"/>
          </w:tcPr>
          <w:p w14:paraId="08FE34DD"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w:t>
            </w:r>
            <w:r>
              <w:rPr>
                <w:color w:val="000000"/>
                <w:sz w:val="22"/>
                <w:szCs w:val="22"/>
              </w:rPr>
              <w:t>1</w:t>
            </w:r>
            <w:r w:rsidRPr="004D5894">
              <w:rPr>
                <w:color w:val="000000"/>
                <w:sz w:val="22"/>
                <w:szCs w:val="22"/>
              </w:rPr>
              <w:t>.</w:t>
            </w:r>
            <w:r>
              <w:rPr>
                <w:color w:val="000000"/>
                <w:sz w:val="22"/>
                <w:szCs w:val="22"/>
              </w:rPr>
              <w:t>7</w:t>
            </w:r>
            <w:r w:rsidRPr="004D5894">
              <w:rPr>
                <w:color w:val="000000"/>
                <w:sz w:val="22"/>
                <w:szCs w:val="22"/>
              </w:rPr>
              <w:t>%</w:t>
            </w:r>
          </w:p>
        </w:tc>
      </w:tr>
      <w:tr w:rsidR="004D3334" w:rsidRPr="004D5894" w14:paraId="20498833" w14:textId="77777777" w:rsidTr="00FC7F94">
        <w:trPr>
          <w:trHeight w:hRule="exact" w:val="274"/>
        </w:trPr>
        <w:tc>
          <w:tcPr>
            <w:tcW w:w="2111" w:type="dxa"/>
            <w:tcBorders>
              <w:top w:val="nil"/>
              <w:left w:val="nil"/>
              <w:bottom w:val="nil"/>
              <w:right w:val="nil"/>
            </w:tcBorders>
            <w:shd w:val="clear" w:color="auto" w:fill="auto"/>
            <w:noWrap/>
            <w:vAlign w:val="bottom"/>
            <w:hideMark/>
          </w:tcPr>
          <w:p w14:paraId="50F7DE31"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Meriden</w:t>
            </w:r>
          </w:p>
        </w:tc>
        <w:tc>
          <w:tcPr>
            <w:tcW w:w="1583" w:type="dxa"/>
            <w:tcBorders>
              <w:top w:val="nil"/>
              <w:left w:val="nil"/>
              <w:bottom w:val="nil"/>
              <w:right w:val="nil"/>
            </w:tcBorders>
            <w:shd w:val="clear" w:color="auto" w:fill="auto"/>
            <w:noWrap/>
            <w:vAlign w:val="bottom"/>
          </w:tcPr>
          <w:p w14:paraId="5013D4B8"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8.7%</w:t>
            </w:r>
          </w:p>
        </w:tc>
        <w:tc>
          <w:tcPr>
            <w:tcW w:w="2005" w:type="dxa"/>
            <w:tcBorders>
              <w:top w:val="nil"/>
              <w:left w:val="nil"/>
              <w:bottom w:val="nil"/>
              <w:right w:val="nil"/>
            </w:tcBorders>
            <w:shd w:val="clear" w:color="auto" w:fill="auto"/>
            <w:noWrap/>
            <w:vAlign w:val="bottom"/>
          </w:tcPr>
          <w:p w14:paraId="23D4654C"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7.2%</w:t>
            </w:r>
          </w:p>
        </w:tc>
        <w:tc>
          <w:tcPr>
            <w:tcW w:w="2089" w:type="dxa"/>
            <w:tcBorders>
              <w:top w:val="nil"/>
              <w:left w:val="nil"/>
              <w:bottom w:val="nil"/>
              <w:right w:val="nil"/>
            </w:tcBorders>
            <w:shd w:val="clear" w:color="auto" w:fill="auto"/>
            <w:noWrap/>
            <w:vAlign w:val="bottom"/>
          </w:tcPr>
          <w:p w14:paraId="263ECEE8"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9.6%</w:t>
            </w:r>
          </w:p>
        </w:tc>
        <w:tc>
          <w:tcPr>
            <w:tcW w:w="1917" w:type="dxa"/>
            <w:tcBorders>
              <w:top w:val="nil"/>
              <w:left w:val="nil"/>
              <w:bottom w:val="nil"/>
              <w:right w:val="nil"/>
            </w:tcBorders>
            <w:shd w:val="clear" w:color="auto" w:fill="auto"/>
            <w:noWrap/>
            <w:vAlign w:val="bottom"/>
          </w:tcPr>
          <w:p w14:paraId="529459E5" w14:textId="77777777" w:rsidR="004D3334" w:rsidRPr="004D5894" w:rsidRDefault="004D3334" w:rsidP="00522276">
            <w:pPr>
              <w:spacing w:after="0" w:line="240" w:lineRule="auto"/>
              <w:jc w:val="right"/>
              <w:rPr>
                <w:color w:val="000000"/>
                <w:sz w:val="22"/>
                <w:szCs w:val="22"/>
                <w:lang w:bidi="ar-SA"/>
              </w:rPr>
            </w:pPr>
            <w:r>
              <w:rPr>
                <w:color w:val="000000"/>
                <w:sz w:val="22"/>
                <w:szCs w:val="22"/>
              </w:rPr>
              <w:t>10.4</w:t>
            </w:r>
            <w:r w:rsidRPr="004D5894">
              <w:rPr>
                <w:color w:val="000000"/>
                <w:sz w:val="22"/>
                <w:szCs w:val="22"/>
              </w:rPr>
              <w:t>%</w:t>
            </w:r>
          </w:p>
        </w:tc>
      </w:tr>
      <w:tr w:rsidR="004D3334" w:rsidRPr="004D5894" w14:paraId="5704D9DD" w14:textId="77777777" w:rsidTr="00FC7F94">
        <w:trPr>
          <w:trHeight w:hRule="exact" w:val="274"/>
        </w:trPr>
        <w:tc>
          <w:tcPr>
            <w:tcW w:w="2111" w:type="dxa"/>
            <w:tcBorders>
              <w:top w:val="nil"/>
              <w:left w:val="nil"/>
              <w:bottom w:val="nil"/>
              <w:right w:val="nil"/>
            </w:tcBorders>
            <w:shd w:val="clear" w:color="auto" w:fill="auto"/>
            <w:noWrap/>
            <w:vAlign w:val="bottom"/>
            <w:hideMark/>
          </w:tcPr>
          <w:p w14:paraId="3FFAD67B"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New London</w:t>
            </w:r>
          </w:p>
        </w:tc>
        <w:tc>
          <w:tcPr>
            <w:tcW w:w="1583" w:type="dxa"/>
            <w:tcBorders>
              <w:top w:val="nil"/>
              <w:left w:val="nil"/>
              <w:bottom w:val="nil"/>
              <w:right w:val="nil"/>
            </w:tcBorders>
            <w:shd w:val="clear" w:color="auto" w:fill="auto"/>
            <w:noWrap/>
            <w:vAlign w:val="bottom"/>
          </w:tcPr>
          <w:p w14:paraId="1503113E"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7.7%</w:t>
            </w:r>
          </w:p>
        </w:tc>
        <w:tc>
          <w:tcPr>
            <w:tcW w:w="2005" w:type="dxa"/>
            <w:tcBorders>
              <w:top w:val="nil"/>
              <w:left w:val="nil"/>
              <w:bottom w:val="nil"/>
              <w:right w:val="nil"/>
            </w:tcBorders>
            <w:shd w:val="clear" w:color="auto" w:fill="auto"/>
            <w:noWrap/>
            <w:vAlign w:val="bottom"/>
          </w:tcPr>
          <w:p w14:paraId="31B921DC"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5.6%</w:t>
            </w:r>
          </w:p>
        </w:tc>
        <w:tc>
          <w:tcPr>
            <w:tcW w:w="2089" w:type="dxa"/>
            <w:tcBorders>
              <w:top w:val="nil"/>
              <w:left w:val="nil"/>
              <w:bottom w:val="nil"/>
              <w:right w:val="nil"/>
            </w:tcBorders>
            <w:shd w:val="clear" w:color="auto" w:fill="auto"/>
            <w:noWrap/>
            <w:vAlign w:val="bottom"/>
          </w:tcPr>
          <w:p w14:paraId="2654C074"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18.8%</w:t>
            </w:r>
          </w:p>
        </w:tc>
        <w:tc>
          <w:tcPr>
            <w:tcW w:w="1917" w:type="dxa"/>
            <w:tcBorders>
              <w:top w:val="nil"/>
              <w:left w:val="nil"/>
              <w:bottom w:val="nil"/>
              <w:right w:val="nil"/>
            </w:tcBorders>
            <w:shd w:val="clear" w:color="auto" w:fill="auto"/>
            <w:noWrap/>
            <w:vAlign w:val="bottom"/>
          </w:tcPr>
          <w:p w14:paraId="1C67D937"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w:t>
            </w:r>
            <w:r>
              <w:rPr>
                <w:color w:val="000000"/>
                <w:sz w:val="22"/>
                <w:szCs w:val="22"/>
              </w:rPr>
              <w:t>4</w:t>
            </w:r>
            <w:r w:rsidRPr="004D5894">
              <w:rPr>
                <w:color w:val="000000"/>
                <w:sz w:val="22"/>
                <w:szCs w:val="22"/>
              </w:rPr>
              <w:t>.</w:t>
            </w:r>
            <w:r>
              <w:rPr>
                <w:color w:val="000000"/>
                <w:sz w:val="22"/>
                <w:szCs w:val="22"/>
              </w:rPr>
              <w:t>7</w:t>
            </w:r>
            <w:r w:rsidRPr="004D5894">
              <w:rPr>
                <w:color w:val="000000"/>
                <w:sz w:val="22"/>
                <w:szCs w:val="22"/>
              </w:rPr>
              <w:t>%</w:t>
            </w:r>
          </w:p>
        </w:tc>
      </w:tr>
      <w:tr w:rsidR="004D3334" w:rsidRPr="004D5894" w14:paraId="6950E1AC" w14:textId="77777777" w:rsidTr="00FC7F94">
        <w:trPr>
          <w:trHeight w:hRule="exact" w:val="274"/>
        </w:trPr>
        <w:tc>
          <w:tcPr>
            <w:tcW w:w="2111" w:type="dxa"/>
            <w:tcBorders>
              <w:top w:val="nil"/>
              <w:left w:val="nil"/>
              <w:bottom w:val="nil"/>
              <w:right w:val="nil"/>
            </w:tcBorders>
            <w:shd w:val="clear" w:color="auto" w:fill="auto"/>
            <w:noWrap/>
            <w:vAlign w:val="bottom"/>
            <w:hideMark/>
          </w:tcPr>
          <w:p w14:paraId="7026C6AD"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Torrington</w:t>
            </w:r>
          </w:p>
        </w:tc>
        <w:tc>
          <w:tcPr>
            <w:tcW w:w="1583" w:type="dxa"/>
            <w:tcBorders>
              <w:top w:val="nil"/>
              <w:left w:val="nil"/>
              <w:bottom w:val="nil"/>
              <w:right w:val="nil"/>
            </w:tcBorders>
            <w:shd w:val="clear" w:color="auto" w:fill="auto"/>
            <w:noWrap/>
            <w:vAlign w:val="bottom"/>
          </w:tcPr>
          <w:p w14:paraId="1AA0E16C"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7.7%</w:t>
            </w:r>
          </w:p>
        </w:tc>
        <w:tc>
          <w:tcPr>
            <w:tcW w:w="2005" w:type="dxa"/>
            <w:tcBorders>
              <w:top w:val="nil"/>
              <w:left w:val="nil"/>
              <w:bottom w:val="nil"/>
              <w:right w:val="nil"/>
            </w:tcBorders>
            <w:shd w:val="clear" w:color="auto" w:fill="auto"/>
            <w:noWrap/>
            <w:vAlign w:val="bottom"/>
          </w:tcPr>
          <w:p w14:paraId="28F4A867"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6.4%</w:t>
            </w:r>
          </w:p>
        </w:tc>
        <w:tc>
          <w:tcPr>
            <w:tcW w:w="2089" w:type="dxa"/>
            <w:tcBorders>
              <w:top w:val="nil"/>
              <w:left w:val="nil"/>
              <w:bottom w:val="nil"/>
              <w:right w:val="nil"/>
            </w:tcBorders>
            <w:shd w:val="clear" w:color="auto" w:fill="auto"/>
            <w:noWrap/>
            <w:vAlign w:val="bottom"/>
          </w:tcPr>
          <w:p w14:paraId="4CED4BC9"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9.3%</w:t>
            </w:r>
          </w:p>
        </w:tc>
        <w:tc>
          <w:tcPr>
            <w:tcW w:w="1917" w:type="dxa"/>
            <w:tcBorders>
              <w:top w:val="nil"/>
              <w:left w:val="nil"/>
              <w:bottom w:val="nil"/>
              <w:right w:val="nil"/>
            </w:tcBorders>
            <w:shd w:val="clear" w:color="auto" w:fill="auto"/>
            <w:noWrap/>
            <w:vAlign w:val="bottom"/>
          </w:tcPr>
          <w:p w14:paraId="46814C17"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9.</w:t>
            </w:r>
            <w:r>
              <w:rPr>
                <w:color w:val="000000"/>
                <w:sz w:val="22"/>
                <w:szCs w:val="22"/>
              </w:rPr>
              <w:t>6</w:t>
            </w:r>
            <w:r w:rsidRPr="004D5894">
              <w:rPr>
                <w:color w:val="000000"/>
                <w:sz w:val="22"/>
                <w:szCs w:val="22"/>
              </w:rPr>
              <w:t>%</w:t>
            </w:r>
          </w:p>
        </w:tc>
      </w:tr>
      <w:tr w:rsidR="004D3334" w:rsidRPr="004D5894" w14:paraId="45957195" w14:textId="77777777" w:rsidTr="00FC7F94">
        <w:trPr>
          <w:trHeight w:hRule="exact" w:val="274"/>
        </w:trPr>
        <w:tc>
          <w:tcPr>
            <w:tcW w:w="2111" w:type="dxa"/>
            <w:tcBorders>
              <w:top w:val="nil"/>
              <w:left w:val="nil"/>
              <w:bottom w:val="nil"/>
              <w:right w:val="nil"/>
            </w:tcBorders>
            <w:shd w:val="clear" w:color="auto" w:fill="auto"/>
            <w:noWrap/>
            <w:vAlign w:val="bottom"/>
            <w:hideMark/>
          </w:tcPr>
          <w:p w14:paraId="5EEE8316" w14:textId="77777777" w:rsidR="004D3334" w:rsidRPr="008A2782" w:rsidRDefault="004D3334" w:rsidP="00522276">
            <w:pPr>
              <w:spacing w:after="0" w:line="240" w:lineRule="auto"/>
              <w:rPr>
                <w:b/>
                <w:bCs/>
                <w:color w:val="000000"/>
                <w:sz w:val="22"/>
                <w:szCs w:val="22"/>
                <w:lang w:bidi="ar-SA"/>
              </w:rPr>
            </w:pPr>
            <w:r w:rsidRPr="008A2782">
              <w:rPr>
                <w:b/>
                <w:bCs/>
                <w:color w:val="000000"/>
                <w:sz w:val="22"/>
                <w:szCs w:val="22"/>
                <w:lang w:bidi="ar-SA"/>
              </w:rPr>
              <w:t xml:space="preserve">   Rich Suburbs</w:t>
            </w:r>
          </w:p>
        </w:tc>
        <w:tc>
          <w:tcPr>
            <w:tcW w:w="1583" w:type="dxa"/>
            <w:tcBorders>
              <w:top w:val="nil"/>
              <w:left w:val="nil"/>
              <w:bottom w:val="nil"/>
              <w:right w:val="nil"/>
            </w:tcBorders>
            <w:shd w:val="clear" w:color="auto" w:fill="auto"/>
            <w:noWrap/>
            <w:vAlign w:val="bottom"/>
          </w:tcPr>
          <w:p w14:paraId="7F27C9A4" w14:textId="77777777" w:rsidR="004D3334" w:rsidRPr="004D5894" w:rsidRDefault="004D3334" w:rsidP="00522276">
            <w:pPr>
              <w:spacing w:after="0" w:line="240" w:lineRule="auto"/>
              <w:rPr>
                <w:sz w:val="22"/>
                <w:szCs w:val="22"/>
                <w:lang w:bidi="ar-SA"/>
              </w:rPr>
            </w:pPr>
          </w:p>
        </w:tc>
        <w:tc>
          <w:tcPr>
            <w:tcW w:w="2005" w:type="dxa"/>
            <w:tcBorders>
              <w:top w:val="nil"/>
              <w:left w:val="nil"/>
              <w:bottom w:val="nil"/>
              <w:right w:val="nil"/>
            </w:tcBorders>
            <w:shd w:val="clear" w:color="auto" w:fill="auto"/>
            <w:noWrap/>
            <w:vAlign w:val="bottom"/>
          </w:tcPr>
          <w:p w14:paraId="346F92F0" w14:textId="77777777" w:rsidR="004D3334" w:rsidRPr="004D5894" w:rsidRDefault="004D3334" w:rsidP="00522276">
            <w:pPr>
              <w:spacing w:after="0" w:line="240" w:lineRule="auto"/>
              <w:rPr>
                <w:sz w:val="22"/>
                <w:szCs w:val="22"/>
                <w:lang w:bidi="ar-SA"/>
              </w:rPr>
            </w:pPr>
          </w:p>
        </w:tc>
        <w:tc>
          <w:tcPr>
            <w:tcW w:w="2089" w:type="dxa"/>
            <w:tcBorders>
              <w:top w:val="nil"/>
              <w:left w:val="nil"/>
              <w:bottom w:val="nil"/>
              <w:right w:val="nil"/>
            </w:tcBorders>
            <w:shd w:val="clear" w:color="auto" w:fill="auto"/>
            <w:noWrap/>
            <w:vAlign w:val="bottom"/>
          </w:tcPr>
          <w:p w14:paraId="3764CC7E" w14:textId="77777777" w:rsidR="004D3334" w:rsidRPr="004D5894" w:rsidRDefault="004D3334" w:rsidP="00522276">
            <w:pPr>
              <w:spacing w:after="0" w:line="240" w:lineRule="auto"/>
              <w:rPr>
                <w:sz w:val="22"/>
                <w:szCs w:val="22"/>
                <w:lang w:bidi="ar-SA"/>
              </w:rPr>
            </w:pPr>
          </w:p>
        </w:tc>
        <w:tc>
          <w:tcPr>
            <w:tcW w:w="1917" w:type="dxa"/>
            <w:tcBorders>
              <w:top w:val="nil"/>
              <w:left w:val="nil"/>
              <w:bottom w:val="nil"/>
              <w:right w:val="nil"/>
            </w:tcBorders>
            <w:shd w:val="clear" w:color="auto" w:fill="auto"/>
            <w:noWrap/>
            <w:vAlign w:val="bottom"/>
          </w:tcPr>
          <w:p w14:paraId="3105C64E" w14:textId="77777777" w:rsidR="004D3334" w:rsidRPr="004D5894" w:rsidRDefault="004D3334" w:rsidP="00522276">
            <w:pPr>
              <w:spacing w:after="0" w:line="240" w:lineRule="auto"/>
              <w:rPr>
                <w:sz w:val="22"/>
                <w:szCs w:val="22"/>
                <w:lang w:bidi="ar-SA"/>
              </w:rPr>
            </w:pPr>
          </w:p>
        </w:tc>
      </w:tr>
      <w:tr w:rsidR="004D3334" w:rsidRPr="004D5894" w14:paraId="655226EB" w14:textId="77777777" w:rsidTr="00FC7F94">
        <w:trPr>
          <w:trHeight w:hRule="exact" w:val="274"/>
        </w:trPr>
        <w:tc>
          <w:tcPr>
            <w:tcW w:w="2111" w:type="dxa"/>
            <w:tcBorders>
              <w:top w:val="nil"/>
              <w:left w:val="nil"/>
              <w:bottom w:val="nil"/>
              <w:right w:val="nil"/>
            </w:tcBorders>
            <w:shd w:val="clear" w:color="auto" w:fill="auto"/>
            <w:noWrap/>
            <w:vAlign w:val="bottom"/>
            <w:hideMark/>
          </w:tcPr>
          <w:p w14:paraId="11333367"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Glastonbury</w:t>
            </w:r>
          </w:p>
        </w:tc>
        <w:tc>
          <w:tcPr>
            <w:tcW w:w="1583" w:type="dxa"/>
            <w:tcBorders>
              <w:top w:val="nil"/>
              <w:left w:val="nil"/>
              <w:bottom w:val="nil"/>
              <w:right w:val="nil"/>
            </w:tcBorders>
            <w:shd w:val="clear" w:color="auto" w:fill="auto"/>
            <w:noWrap/>
            <w:vAlign w:val="bottom"/>
          </w:tcPr>
          <w:p w14:paraId="7447BAD3"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12.2%</w:t>
            </w:r>
          </w:p>
        </w:tc>
        <w:tc>
          <w:tcPr>
            <w:tcW w:w="2005" w:type="dxa"/>
            <w:tcBorders>
              <w:top w:val="nil"/>
              <w:left w:val="nil"/>
              <w:bottom w:val="nil"/>
              <w:right w:val="nil"/>
            </w:tcBorders>
            <w:shd w:val="clear" w:color="auto" w:fill="auto"/>
            <w:noWrap/>
            <w:vAlign w:val="bottom"/>
          </w:tcPr>
          <w:p w14:paraId="7ED72AA2"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14.7%</w:t>
            </w:r>
          </w:p>
        </w:tc>
        <w:tc>
          <w:tcPr>
            <w:tcW w:w="2089" w:type="dxa"/>
            <w:tcBorders>
              <w:top w:val="nil"/>
              <w:left w:val="nil"/>
              <w:bottom w:val="nil"/>
              <w:right w:val="nil"/>
            </w:tcBorders>
            <w:shd w:val="clear" w:color="auto" w:fill="auto"/>
            <w:noWrap/>
            <w:vAlign w:val="bottom"/>
          </w:tcPr>
          <w:p w14:paraId="1F8B7DF7"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8.1%</w:t>
            </w:r>
          </w:p>
        </w:tc>
        <w:tc>
          <w:tcPr>
            <w:tcW w:w="1917" w:type="dxa"/>
            <w:tcBorders>
              <w:top w:val="nil"/>
              <w:left w:val="nil"/>
              <w:bottom w:val="nil"/>
              <w:right w:val="nil"/>
            </w:tcBorders>
            <w:shd w:val="clear" w:color="auto" w:fill="auto"/>
            <w:noWrap/>
            <w:vAlign w:val="bottom"/>
          </w:tcPr>
          <w:p w14:paraId="456C42F9" w14:textId="77777777" w:rsidR="004D3334" w:rsidRPr="004D5894" w:rsidRDefault="004D3334" w:rsidP="00522276">
            <w:pPr>
              <w:spacing w:after="0" w:line="240" w:lineRule="auto"/>
              <w:jc w:val="right"/>
              <w:rPr>
                <w:color w:val="000000"/>
                <w:sz w:val="22"/>
                <w:szCs w:val="22"/>
                <w:lang w:bidi="ar-SA"/>
              </w:rPr>
            </w:pPr>
            <w:r>
              <w:rPr>
                <w:color w:val="000000"/>
                <w:sz w:val="22"/>
                <w:szCs w:val="22"/>
              </w:rPr>
              <w:t>10.9%</w:t>
            </w:r>
          </w:p>
        </w:tc>
      </w:tr>
      <w:tr w:rsidR="004D3334" w:rsidRPr="004D5894" w14:paraId="0DAE58D1" w14:textId="77777777" w:rsidTr="00FC7F94">
        <w:trPr>
          <w:trHeight w:hRule="exact" w:val="274"/>
        </w:trPr>
        <w:tc>
          <w:tcPr>
            <w:tcW w:w="2111" w:type="dxa"/>
            <w:tcBorders>
              <w:top w:val="nil"/>
              <w:left w:val="nil"/>
              <w:bottom w:val="nil"/>
              <w:right w:val="nil"/>
            </w:tcBorders>
            <w:shd w:val="clear" w:color="auto" w:fill="auto"/>
            <w:noWrap/>
            <w:vAlign w:val="bottom"/>
            <w:hideMark/>
          </w:tcPr>
          <w:p w14:paraId="1BABE4C2"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Guilford</w:t>
            </w:r>
          </w:p>
        </w:tc>
        <w:tc>
          <w:tcPr>
            <w:tcW w:w="1583" w:type="dxa"/>
            <w:tcBorders>
              <w:top w:val="nil"/>
              <w:left w:val="nil"/>
              <w:bottom w:val="nil"/>
              <w:right w:val="nil"/>
            </w:tcBorders>
            <w:shd w:val="clear" w:color="auto" w:fill="auto"/>
            <w:noWrap/>
            <w:vAlign w:val="bottom"/>
          </w:tcPr>
          <w:p w14:paraId="2C73A2B8"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12.2%</w:t>
            </w:r>
          </w:p>
        </w:tc>
        <w:tc>
          <w:tcPr>
            <w:tcW w:w="2005" w:type="dxa"/>
            <w:tcBorders>
              <w:top w:val="nil"/>
              <w:left w:val="nil"/>
              <w:bottom w:val="nil"/>
              <w:right w:val="nil"/>
            </w:tcBorders>
            <w:shd w:val="clear" w:color="auto" w:fill="auto"/>
            <w:noWrap/>
            <w:vAlign w:val="bottom"/>
          </w:tcPr>
          <w:p w14:paraId="6B36482E"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14.7%</w:t>
            </w:r>
          </w:p>
        </w:tc>
        <w:tc>
          <w:tcPr>
            <w:tcW w:w="2089" w:type="dxa"/>
            <w:tcBorders>
              <w:top w:val="nil"/>
              <w:left w:val="nil"/>
              <w:bottom w:val="nil"/>
              <w:right w:val="nil"/>
            </w:tcBorders>
            <w:shd w:val="clear" w:color="auto" w:fill="auto"/>
            <w:noWrap/>
            <w:vAlign w:val="bottom"/>
          </w:tcPr>
          <w:p w14:paraId="1C7BF6A9"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5.3%</w:t>
            </w:r>
          </w:p>
        </w:tc>
        <w:tc>
          <w:tcPr>
            <w:tcW w:w="1917" w:type="dxa"/>
            <w:tcBorders>
              <w:top w:val="nil"/>
              <w:left w:val="nil"/>
              <w:bottom w:val="nil"/>
              <w:right w:val="nil"/>
            </w:tcBorders>
            <w:shd w:val="clear" w:color="auto" w:fill="auto"/>
            <w:noWrap/>
            <w:vAlign w:val="bottom"/>
          </w:tcPr>
          <w:p w14:paraId="5AB2853D" w14:textId="77777777" w:rsidR="004D3334" w:rsidRPr="004D5894" w:rsidRDefault="004D3334" w:rsidP="00522276">
            <w:pPr>
              <w:spacing w:after="0" w:line="240" w:lineRule="auto"/>
              <w:jc w:val="right"/>
              <w:rPr>
                <w:color w:val="000000"/>
                <w:sz w:val="22"/>
                <w:szCs w:val="22"/>
                <w:lang w:bidi="ar-SA"/>
              </w:rPr>
            </w:pPr>
            <w:r>
              <w:rPr>
                <w:color w:val="000000"/>
                <w:sz w:val="22"/>
                <w:szCs w:val="22"/>
              </w:rPr>
              <w:t>8</w:t>
            </w:r>
            <w:r w:rsidRPr="004D5894">
              <w:rPr>
                <w:color w:val="000000"/>
                <w:sz w:val="22"/>
                <w:szCs w:val="22"/>
              </w:rPr>
              <w:t>.</w:t>
            </w:r>
            <w:r>
              <w:rPr>
                <w:color w:val="000000"/>
                <w:sz w:val="22"/>
                <w:szCs w:val="22"/>
              </w:rPr>
              <w:t>4</w:t>
            </w:r>
            <w:r w:rsidRPr="004D5894">
              <w:rPr>
                <w:color w:val="000000"/>
                <w:sz w:val="22"/>
                <w:szCs w:val="22"/>
              </w:rPr>
              <w:t>%</w:t>
            </w:r>
          </w:p>
        </w:tc>
      </w:tr>
      <w:tr w:rsidR="004D3334" w:rsidRPr="004D5894" w14:paraId="28A7137B" w14:textId="77777777" w:rsidTr="00FC7F94">
        <w:trPr>
          <w:trHeight w:hRule="exact" w:val="274"/>
        </w:trPr>
        <w:tc>
          <w:tcPr>
            <w:tcW w:w="2111" w:type="dxa"/>
            <w:tcBorders>
              <w:top w:val="nil"/>
              <w:left w:val="nil"/>
              <w:bottom w:val="nil"/>
              <w:right w:val="nil"/>
            </w:tcBorders>
            <w:shd w:val="clear" w:color="auto" w:fill="auto"/>
            <w:noWrap/>
            <w:vAlign w:val="bottom"/>
            <w:hideMark/>
          </w:tcPr>
          <w:p w14:paraId="749213BA"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Litchfield</w:t>
            </w:r>
          </w:p>
        </w:tc>
        <w:tc>
          <w:tcPr>
            <w:tcW w:w="1583" w:type="dxa"/>
            <w:tcBorders>
              <w:top w:val="nil"/>
              <w:left w:val="nil"/>
              <w:bottom w:val="nil"/>
              <w:right w:val="nil"/>
            </w:tcBorders>
            <w:shd w:val="clear" w:color="auto" w:fill="auto"/>
            <w:noWrap/>
            <w:vAlign w:val="bottom"/>
          </w:tcPr>
          <w:p w14:paraId="230BC38E"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10.1%</w:t>
            </w:r>
          </w:p>
        </w:tc>
        <w:tc>
          <w:tcPr>
            <w:tcW w:w="2005" w:type="dxa"/>
            <w:tcBorders>
              <w:top w:val="nil"/>
              <w:left w:val="nil"/>
              <w:bottom w:val="nil"/>
              <w:right w:val="nil"/>
            </w:tcBorders>
            <w:shd w:val="clear" w:color="auto" w:fill="auto"/>
            <w:noWrap/>
            <w:vAlign w:val="bottom"/>
          </w:tcPr>
          <w:p w14:paraId="1559D12A"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10.7%</w:t>
            </w:r>
          </w:p>
        </w:tc>
        <w:tc>
          <w:tcPr>
            <w:tcW w:w="2089" w:type="dxa"/>
            <w:tcBorders>
              <w:top w:val="nil"/>
              <w:left w:val="nil"/>
              <w:bottom w:val="nil"/>
              <w:right w:val="nil"/>
            </w:tcBorders>
            <w:shd w:val="clear" w:color="auto" w:fill="auto"/>
            <w:noWrap/>
            <w:vAlign w:val="bottom"/>
          </w:tcPr>
          <w:p w14:paraId="31BA030A"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6.4%</w:t>
            </w:r>
          </w:p>
        </w:tc>
        <w:tc>
          <w:tcPr>
            <w:tcW w:w="1917" w:type="dxa"/>
            <w:tcBorders>
              <w:top w:val="nil"/>
              <w:left w:val="nil"/>
              <w:bottom w:val="nil"/>
              <w:right w:val="nil"/>
            </w:tcBorders>
            <w:shd w:val="clear" w:color="auto" w:fill="auto"/>
            <w:noWrap/>
            <w:vAlign w:val="bottom"/>
          </w:tcPr>
          <w:p w14:paraId="481354C0" w14:textId="77777777" w:rsidR="004D3334" w:rsidRPr="004D5894" w:rsidRDefault="004D3334" w:rsidP="00522276">
            <w:pPr>
              <w:spacing w:after="0" w:line="240" w:lineRule="auto"/>
              <w:jc w:val="right"/>
              <w:rPr>
                <w:color w:val="000000"/>
                <w:sz w:val="22"/>
                <w:szCs w:val="22"/>
                <w:lang w:bidi="ar-SA"/>
              </w:rPr>
            </w:pPr>
            <w:r>
              <w:rPr>
                <w:color w:val="000000"/>
                <w:sz w:val="22"/>
                <w:szCs w:val="22"/>
              </w:rPr>
              <w:t>8.3</w:t>
            </w:r>
            <w:r w:rsidRPr="004D5894">
              <w:rPr>
                <w:color w:val="000000"/>
                <w:sz w:val="22"/>
                <w:szCs w:val="22"/>
              </w:rPr>
              <w:t>%</w:t>
            </w:r>
          </w:p>
        </w:tc>
      </w:tr>
      <w:tr w:rsidR="004D3334" w:rsidRPr="004D5894" w14:paraId="6415D0C8" w14:textId="77777777" w:rsidTr="00FC7F94">
        <w:trPr>
          <w:trHeight w:hRule="exact" w:val="274"/>
        </w:trPr>
        <w:tc>
          <w:tcPr>
            <w:tcW w:w="2111" w:type="dxa"/>
            <w:tcBorders>
              <w:top w:val="nil"/>
              <w:left w:val="nil"/>
              <w:bottom w:val="nil"/>
              <w:right w:val="nil"/>
            </w:tcBorders>
            <w:shd w:val="clear" w:color="auto" w:fill="auto"/>
            <w:noWrap/>
            <w:vAlign w:val="bottom"/>
            <w:hideMark/>
          </w:tcPr>
          <w:p w14:paraId="2CA32555"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New Canaan</w:t>
            </w:r>
          </w:p>
        </w:tc>
        <w:tc>
          <w:tcPr>
            <w:tcW w:w="1583" w:type="dxa"/>
            <w:tcBorders>
              <w:top w:val="nil"/>
              <w:left w:val="nil"/>
              <w:bottom w:val="nil"/>
              <w:right w:val="nil"/>
            </w:tcBorders>
            <w:shd w:val="clear" w:color="auto" w:fill="auto"/>
            <w:noWrap/>
            <w:vAlign w:val="bottom"/>
          </w:tcPr>
          <w:p w14:paraId="09DC0AF2"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30.0%</w:t>
            </w:r>
          </w:p>
        </w:tc>
        <w:tc>
          <w:tcPr>
            <w:tcW w:w="2005" w:type="dxa"/>
            <w:tcBorders>
              <w:top w:val="nil"/>
              <w:left w:val="nil"/>
              <w:bottom w:val="nil"/>
              <w:right w:val="nil"/>
            </w:tcBorders>
            <w:shd w:val="clear" w:color="auto" w:fill="auto"/>
            <w:noWrap/>
            <w:vAlign w:val="bottom"/>
          </w:tcPr>
          <w:p w14:paraId="599C89F4"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31.5%</w:t>
            </w:r>
          </w:p>
        </w:tc>
        <w:tc>
          <w:tcPr>
            <w:tcW w:w="2089" w:type="dxa"/>
            <w:tcBorders>
              <w:top w:val="nil"/>
              <w:left w:val="nil"/>
              <w:bottom w:val="nil"/>
              <w:right w:val="nil"/>
            </w:tcBorders>
            <w:shd w:val="clear" w:color="auto" w:fill="auto"/>
            <w:noWrap/>
            <w:vAlign w:val="bottom"/>
          </w:tcPr>
          <w:p w14:paraId="65653DA4"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4.1%</w:t>
            </w:r>
          </w:p>
        </w:tc>
        <w:tc>
          <w:tcPr>
            <w:tcW w:w="1917" w:type="dxa"/>
            <w:tcBorders>
              <w:top w:val="nil"/>
              <w:left w:val="nil"/>
              <w:bottom w:val="nil"/>
              <w:right w:val="nil"/>
            </w:tcBorders>
            <w:shd w:val="clear" w:color="auto" w:fill="auto"/>
            <w:noWrap/>
            <w:vAlign w:val="bottom"/>
          </w:tcPr>
          <w:p w14:paraId="77FA9AE9" w14:textId="77777777" w:rsidR="004D3334" w:rsidRPr="004D5894" w:rsidRDefault="004D3334" w:rsidP="00522276">
            <w:pPr>
              <w:spacing w:after="0" w:line="240" w:lineRule="auto"/>
              <w:jc w:val="right"/>
              <w:rPr>
                <w:color w:val="000000"/>
                <w:sz w:val="22"/>
                <w:szCs w:val="22"/>
                <w:lang w:bidi="ar-SA"/>
              </w:rPr>
            </w:pPr>
            <w:r>
              <w:rPr>
                <w:color w:val="000000"/>
                <w:sz w:val="22"/>
                <w:szCs w:val="22"/>
              </w:rPr>
              <w:t>8</w:t>
            </w:r>
            <w:r w:rsidRPr="004D5894">
              <w:rPr>
                <w:color w:val="000000"/>
                <w:sz w:val="22"/>
                <w:szCs w:val="22"/>
              </w:rPr>
              <w:t>.</w:t>
            </w:r>
            <w:r>
              <w:rPr>
                <w:color w:val="000000"/>
                <w:sz w:val="22"/>
                <w:szCs w:val="22"/>
              </w:rPr>
              <w:t>0</w:t>
            </w:r>
            <w:r w:rsidRPr="004D5894">
              <w:rPr>
                <w:color w:val="000000"/>
                <w:sz w:val="22"/>
                <w:szCs w:val="22"/>
              </w:rPr>
              <w:t>%</w:t>
            </w:r>
          </w:p>
        </w:tc>
      </w:tr>
      <w:tr w:rsidR="004D3334" w:rsidRPr="004D5894" w14:paraId="06E29663" w14:textId="77777777" w:rsidTr="00FC7F94">
        <w:trPr>
          <w:trHeight w:hRule="exact" w:val="274"/>
        </w:trPr>
        <w:tc>
          <w:tcPr>
            <w:tcW w:w="2111" w:type="dxa"/>
            <w:tcBorders>
              <w:top w:val="nil"/>
              <w:left w:val="nil"/>
              <w:bottom w:val="nil"/>
              <w:right w:val="nil"/>
            </w:tcBorders>
            <w:shd w:val="clear" w:color="auto" w:fill="auto"/>
            <w:noWrap/>
            <w:vAlign w:val="bottom"/>
            <w:hideMark/>
          </w:tcPr>
          <w:p w14:paraId="33F7777A" w14:textId="77777777" w:rsidR="004D3334" w:rsidRPr="008A2782" w:rsidRDefault="004D3334" w:rsidP="00522276">
            <w:pPr>
              <w:spacing w:after="0" w:line="240" w:lineRule="auto"/>
              <w:rPr>
                <w:b/>
                <w:bCs/>
                <w:color w:val="000000"/>
                <w:sz w:val="22"/>
                <w:szCs w:val="22"/>
                <w:lang w:bidi="ar-SA"/>
              </w:rPr>
            </w:pPr>
            <w:r w:rsidRPr="008A2782">
              <w:rPr>
                <w:b/>
                <w:bCs/>
                <w:color w:val="000000"/>
                <w:sz w:val="22"/>
                <w:szCs w:val="22"/>
                <w:lang w:bidi="ar-SA"/>
              </w:rPr>
              <w:t xml:space="preserve">   Mixed Base</w:t>
            </w:r>
          </w:p>
        </w:tc>
        <w:tc>
          <w:tcPr>
            <w:tcW w:w="1583" w:type="dxa"/>
            <w:tcBorders>
              <w:top w:val="nil"/>
              <w:left w:val="nil"/>
              <w:bottom w:val="nil"/>
              <w:right w:val="nil"/>
            </w:tcBorders>
            <w:shd w:val="clear" w:color="auto" w:fill="auto"/>
            <w:noWrap/>
            <w:vAlign w:val="bottom"/>
          </w:tcPr>
          <w:p w14:paraId="37AF4F99" w14:textId="77777777" w:rsidR="004D3334" w:rsidRPr="004D5894" w:rsidRDefault="004D3334" w:rsidP="00522276">
            <w:pPr>
              <w:spacing w:after="0" w:line="240" w:lineRule="auto"/>
              <w:rPr>
                <w:sz w:val="22"/>
                <w:szCs w:val="22"/>
                <w:lang w:bidi="ar-SA"/>
              </w:rPr>
            </w:pPr>
          </w:p>
        </w:tc>
        <w:tc>
          <w:tcPr>
            <w:tcW w:w="2005" w:type="dxa"/>
            <w:tcBorders>
              <w:top w:val="nil"/>
              <w:left w:val="nil"/>
              <w:bottom w:val="nil"/>
              <w:right w:val="nil"/>
            </w:tcBorders>
            <w:shd w:val="clear" w:color="auto" w:fill="auto"/>
            <w:noWrap/>
            <w:vAlign w:val="bottom"/>
          </w:tcPr>
          <w:p w14:paraId="5B8D76F9" w14:textId="77777777" w:rsidR="004D3334" w:rsidRPr="004D5894" w:rsidRDefault="004D3334" w:rsidP="00522276">
            <w:pPr>
              <w:spacing w:after="0" w:line="240" w:lineRule="auto"/>
              <w:rPr>
                <w:sz w:val="22"/>
                <w:szCs w:val="22"/>
                <w:lang w:bidi="ar-SA"/>
              </w:rPr>
            </w:pPr>
          </w:p>
        </w:tc>
        <w:tc>
          <w:tcPr>
            <w:tcW w:w="2089" w:type="dxa"/>
            <w:tcBorders>
              <w:top w:val="nil"/>
              <w:left w:val="nil"/>
              <w:bottom w:val="nil"/>
              <w:right w:val="nil"/>
            </w:tcBorders>
            <w:shd w:val="clear" w:color="auto" w:fill="auto"/>
            <w:noWrap/>
            <w:vAlign w:val="bottom"/>
          </w:tcPr>
          <w:p w14:paraId="5D1A18DB" w14:textId="77777777" w:rsidR="004D3334" w:rsidRPr="004D5894" w:rsidRDefault="004D3334" w:rsidP="00522276">
            <w:pPr>
              <w:spacing w:after="0" w:line="240" w:lineRule="auto"/>
              <w:rPr>
                <w:sz w:val="22"/>
                <w:szCs w:val="22"/>
                <w:lang w:bidi="ar-SA"/>
              </w:rPr>
            </w:pPr>
          </w:p>
        </w:tc>
        <w:tc>
          <w:tcPr>
            <w:tcW w:w="1917" w:type="dxa"/>
            <w:tcBorders>
              <w:top w:val="nil"/>
              <w:left w:val="nil"/>
              <w:bottom w:val="nil"/>
              <w:right w:val="nil"/>
            </w:tcBorders>
            <w:shd w:val="clear" w:color="auto" w:fill="auto"/>
            <w:noWrap/>
            <w:vAlign w:val="bottom"/>
          </w:tcPr>
          <w:p w14:paraId="4D3860B3" w14:textId="77777777" w:rsidR="004D3334" w:rsidRPr="004D5894" w:rsidRDefault="004D3334" w:rsidP="00522276">
            <w:pPr>
              <w:spacing w:after="0" w:line="240" w:lineRule="auto"/>
              <w:rPr>
                <w:sz w:val="22"/>
                <w:szCs w:val="22"/>
                <w:lang w:bidi="ar-SA"/>
              </w:rPr>
            </w:pPr>
          </w:p>
        </w:tc>
      </w:tr>
      <w:tr w:rsidR="004D3334" w:rsidRPr="004D5894" w14:paraId="11087D8B" w14:textId="77777777" w:rsidTr="00FC7F94">
        <w:trPr>
          <w:trHeight w:hRule="exact" w:val="274"/>
        </w:trPr>
        <w:tc>
          <w:tcPr>
            <w:tcW w:w="2111" w:type="dxa"/>
            <w:tcBorders>
              <w:top w:val="nil"/>
              <w:left w:val="nil"/>
              <w:bottom w:val="nil"/>
              <w:right w:val="nil"/>
            </w:tcBorders>
            <w:shd w:val="clear" w:color="auto" w:fill="auto"/>
            <w:noWrap/>
            <w:vAlign w:val="bottom"/>
            <w:hideMark/>
          </w:tcPr>
          <w:p w14:paraId="3DB001E5"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Hamden</w:t>
            </w:r>
          </w:p>
        </w:tc>
        <w:tc>
          <w:tcPr>
            <w:tcW w:w="1583" w:type="dxa"/>
            <w:tcBorders>
              <w:top w:val="nil"/>
              <w:left w:val="nil"/>
              <w:bottom w:val="nil"/>
              <w:right w:val="nil"/>
            </w:tcBorders>
            <w:shd w:val="clear" w:color="auto" w:fill="auto"/>
            <w:noWrap/>
            <w:vAlign w:val="bottom"/>
          </w:tcPr>
          <w:p w14:paraId="2445954B"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8.7%</w:t>
            </w:r>
          </w:p>
        </w:tc>
        <w:tc>
          <w:tcPr>
            <w:tcW w:w="2005" w:type="dxa"/>
            <w:tcBorders>
              <w:top w:val="nil"/>
              <w:left w:val="nil"/>
              <w:bottom w:val="nil"/>
              <w:right w:val="nil"/>
            </w:tcBorders>
            <w:shd w:val="clear" w:color="auto" w:fill="auto"/>
            <w:noWrap/>
            <w:vAlign w:val="bottom"/>
          </w:tcPr>
          <w:p w14:paraId="1C7D35B1"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8.6%</w:t>
            </w:r>
          </w:p>
        </w:tc>
        <w:tc>
          <w:tcPr>
            <w:tcW w:w="2089" w:type="dxa"/>
            <w:tcBorders>
              <w:top w:val="nil"/>
              <w:left w:val="nil"/>
              <w:bottom w:val="nil"/>
              <w:right w:val="nil"/>
            </w:tcBorders>
            <w:shd w:val="clear" w:color="auto" w:fill="auto"/>
            <w:noWrap/>
            <w:vAlign w:val="bottom"/>
          </w:tcPr>
          <w:p w14:paraId="0A8179CE"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6.5%</w:t>
            </w:r>
          </w:p>
        </w:tc>
        <w:tc>
          <w:tcPr>
            <w:tcW w:w="1917" w:type="dxa"/>
            <w:tcBorders>
              <w:top w:val="nil"/>
              <w:left w:val="nil"/>
              <w:bottom w:val="nil"/>
              <w:right w:val="nil"/>
            </w:tcBorders>
            <w:shd w:val="clear" w:color="auto" w:fill="auto"/>
            <w:noWrap/>
            <w:vAlign w:val="bottom"/>
          </w:tcPr>
          <w:p w14:paraId="242A97A6" w14:textId="77777777" w:rsidR="004D3334" w:rsidRPr="004D5894" w:rsidRDefault="004D3334" w:rsidP="00522276">
            <w:pPr>
              <w:spacing w:after="0" w:line="240" w:lineRule="auto"/>
              <w:jc w:val="right"/>
              <w:rPr>
                <w:color w:val="000000"/>
                <w:sz w:val="22"/>
                <w:szCs w:val="22"/>
                <w:lang w:bidi="ar-SA"/>
              </w:rPr>
            </w:pPr>
            <w:r>
              <w:rPr>
                <w:color w:val="000000"/>
                <w:sz w:val="22"/>
                <w:szCs w:val="22"/>
              </w:rPr>
              <w:t>8.6</w:t>
            </w:r>
            <w:r w:rsidRPr="004D5894">
              <w:rPr>
                <w:color w:val="000000"/>
                <w:sz w:val="22"/>
                <w:szCs w:val="22"/>
              </w:rPr>
              <w:t>%</w:t>
            </w:r>
          </w:p>
        </w:tc>
      </w:tr>
      <w:tr w:rsidR="004D3334" w:rsidRPr="004D5894" w14:paraId="54883834" w14:textId="77777777" w:rsidTr="00FC7F94">
        <w:trPr>
          <w:trHeight w:hRule="exact" w:val="274"/>
        </w:trPr>
        <w:tc>
          <w:tcPr>
            <w:tcW w:w="2111" w:type="dxa"/>
            <w:tcBorders>
              <w:top w:val="nil"/>
              <w:left w:val="nil"/>
              <w:bottom w:val="nil"/>
              <w:right w:val="nil"/>
            </w:tcBorders>
            <w:shd w:val="clear" w:color="auto" w:fill="auto"/>
            <w:noWrap/>
            <w:vAlign w:val="bottom"/>
            <w:hideMark/>
          </w:tcPr>
          <w:p w14:paraId="0DC506DB"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Middletown</w:t>
            </w:r>
          </w:p>
        </w:tc>
        <w:tc>
          <w:tcPr>
            <w:tcW w:w="1583" w:type="dxa"/>
            <w:tcBorders>
              <w:top w:val="nil"/>
              <w:left w:val="nil"/>
              <w:bottom w:val="nil"/>
              <w:right w:val="nil"/>
            </w:tcBorders>
            <w:shd w:val="clear" w:color="auto" w:fill="auto"/>
            <w:noWrap/>
            <w:vAlign w:val="bottom"/>
          </w:tcPr>
          <w:p w14:paraId="5AA4AC5D"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10.0%</w:t>
            </w:r>
          </w:p>
        </w:tc>
        <w:tc>
          <w:tcPr>
            <w:tcW w:w="2005" w:type="dxa"/>
            <w:tcBorders>
              <w:top w:val="nil"/>
              <w:left w:val="nil"/>
              <w:bottom w:val="nil"/>
              <w:right w:val="nil"/>
            </w:tcBorders>
            <w:shd w:val="clear" w:color="auto" w:fill="auto"/>
            <w:noWrap/>
            <w:vAlign w:val="bottom"/>
          </w:tcPr>
          <w:p w14:paraId="7A755D73"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9.7%</w:t>
            </w:r>
          </w:p>
        </w:tc>
        <w:tc>
          <w:tcPr>
            <w:tcW w:w="2089" w:type="dxa"/>
            <w:tcBorders>
              <w:top w:val="nil"/>
              <w:left w:val="nil"/>
              <w:bottom w:val="nil"/>
              <w:right w:val="nil"/>
            </w:tcBorders>
            <w:shd w:val="clear" w:color="auto" w:fill="auto"/>
            <w:noWrap/>
            <w:vAlign w:val="bottom"/>
          </w:tcPr>
          <w:p w14:paraId="038EF3AD"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18.2%</w:t>
            </w:r>
          </w:p>
        </w:tc>
        <w:tc>
          <w:tcPr>
            <w:tcW w:w="1917" w:type="dxa"/>
            <w:tcBorders>
              <w:top w:val="nil"/>
              <w:left w:val="nil"/>
              <w:bottom w:val="nil"/>
              <w:right w:val="nil"/>
            </w:tcBorders>
            <w:shd w:val="clear" w:color="auto" w:fill="auto"/>
            <w:noWrap/>
            <w:vAlign w:val="bottom"/>
          </w:tcPr>
          <w:p w14:paraId="1E26E0BB"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w:t>
            </w:r>
            <w:r>
              <w:rPr>
                <w:color w:val="000000"/>
                <w:sz w:val="22"/>
                <w:szCs w:val="22"/>
              </w:rPr>
              <w:t>5</w:t>
            </w:r>
            <w:r w:rsidRPr="004D5894">
              <w:rPr>
                <w:color w:val="000000"/>
                <w:sz w:val="22"/>
                <w:szCs w:val="22"/>
              </w:rPr>
              <w:t>.</w:t>
            </w:r>
            <w:r>
              <w:rPr>
                <w:color w:val="000000"/>
                <w:sz w:val="22"/>
                <w:szCs w:val="22"/>
              </w:rPr>
              <w:t>8</w:t>
            </w:r>
            <w:r w:rsidRPr="004D5894">
              <w:rPr>
                <w:color w:val="000000"/>
                <w:sz w:val="22"/>
                <w:szCs w:val="22"/>
              </w:rPr>
              <w:t>%</w:t>
            </w:r>
          </w:p>
        </w:tc>
      </w:tr>
      <w:tr w:rsidR="004D3334" w:rsidRPr="004D5894" w14:paraId="7BA612B8" w14:textId="77777777" w:rsidTr="00FC7F94">
        <w:trPr>
          <w:trHeight w:hRule="exact" w:val="274"/>
        </w:trPr>
        <w:tc>
          <w:tcPr>
            <w:tcW w:w="2111" w:type="dxa"/>
            <w:tcBorders>
              <w:top w:val="nil"/>
              <w:left w:val="nil"/>
              <w:bottom w:val="nil"/>
              <w:right w:val="nil"/>
            </w:tcBorders>
            <w:shd w:val="clear" w:color="auto" w:fill="auto"/>
            <w:noWrap/>
            <w:vAlign w:val="bottom"/>
            <w:hideMark/>
          </w:tcPr>
          <w:p w14:paraId="08E10DAB"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Norwich</w:t>
            </w:r>
          </w:p>
        </w:tc>
        <w:tc>
          <w:tcPr>
            <w:tcW w:w="1583" w:type="dxa"/>
            <w:tcBorders>
              <w:top w:val="nil"/>
              <w:left w:val="nil"/>
              <w:bottom w:val="nil"/>
              <w:right w:val="nil"/>
            </w:tcBorders>
            <w:shd w:val="clear" w:color="auto" w:fill="auto"/>
            <w:noWrap/>
            <w:vAlign w:val="bottom"/>
          </w:tcPr>
          <w:p w14:paraId="3CD60661"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8.9%</w:t>
            </w:r>
          </w:p>
        </w:tc>
        <w:tc>
          <w:tcPr>
            <w:tcW w:w="2005" w:type="dxa"/>
            <w:tcBorders>
              <w:top w:val="nil"/>
              <w:left w:val="nil"/>
              <w:bottom w:val="nil"/>
              <w:right w:val="nil"/>
            </w:tcBorders>
            <w:shd w:val="clear" w:color="auto" w:fill="auto"/>
            <w:noWrap/>
            <w:vAlign w:val="bottom"/>
          </w:tcPr>
          <w:p w14:paraId="79BF85FC"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6.9%</w:t>
            </w:r>
          </w:p>
        </w:tc>
        <w:tc>
          <w:tcPr>
            <w:tcW w:w="2089" w:type="dxa"/>
            <w:tcBorders>
              <w:top w:val="nil"/>
              <w:left w:val="nil"/>
              <w:bottom w:val="nil"/>
              <w:right w:val="nil"/>
            </w:tcBorders>
            <w:shd w:val="clear" w:color="auto" w:fill="auto"/>
            <w:noWrap/>
            <w:vAlign w:val="bottom"/>
          </w:tcPr>
          <w:p w14:paraId="43841114"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12.4%</w:t>
            </w:r>
          </w:p>
        </w:tc>
        <w:tc>
          <w:tcPr>
            <w:tcW w:w="1917" w:type="dxa"/>
            <w:tcBorders>
              <w:top w:val="nil"/>
              <w:left w:val="nil"/>
              <w:bottom w:val="nil"/>
              <w:right w:val="nil"/>
            </w:tcBorders>
            <w:shd w:val="clear" w:color="auto" w:fill="auto"/>
            <w:noWrap/>
            <w:vAlign w:val="bottom"/>
          </w:tcPr>
          <w:p w14:paraId="3C9001E9" w14:textId="77777777" w:rsidR="004D3334" w:rsidRPr="004D5894" w:rsidRDefault="004D3334" w:rsidP="00522276">
            <w:pPr>
              <w:spacing w:after="0" w:line="240" w:lineRule="auto"/>
              <w:jc w:val="right"/>
              <w:rPr>
                <w:color w:val="000000"/>
                <w:sz w:val="22"/>
                <w:szCs w:val="22"/>
                <w:lang w:bidi="ar-SA"/>
              </w:rPr>
            </w:pPr>
            <w:r>
              <w:rPr>
                <w:color w:val="000000"/>
                <w:sz w:val="22"/>
                <w:szCs w:val="22"/>
              </w:rPr>
              <w:t>11.9</w:t>
            </w:r>
            <w:r w:rsidRPr="004D5894">
              <w:rPr>
                <w:color w:val="000000"/>
                <w:sz w:val="22"/>
                <w:szCs w:val="22"/>
              </w:rPr>
              <w:t>%</w:t>
            </w:r>
          </w:p>
        </w:tc>
      </w:tr>
      <w:tr w:rsidR="004D3334" w:rsidRPr="004D5894" w14:paraId="3F56064C" w14:textId="77777777" w:rsidTr="00FC7F94">
        <w:trPr>
          <w:trHeight w:hRule="exact" w:val="274"/>
        </w:trPr>
        <w:tc>
          <w:tcPr>
            <w:tcW w:w="2111" w:type="dxa"/>
            <w:tcBorders>
              <w:top w:val="nil"/>
              <w:left w:val="nil"/>
              <w:bottom w:val="nil"/>
              <w:right w:val="nil"/>
            </w:tcBorders>
            <w:shd w:val="clear" w:color="auto" w:fill="auto"/>
            <w:noWrap/>
            <w:vAlign w:val="bottom"/>
            <w:hideMark/>
          </w:tcPr>
          <w:p w14:paraId="2D291D33"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Windsor</w:t>
            </w:r>
          </w:p>
        </w:tc>
        <w:tc>
          <w:tcPr>
            <w:tcW w:w="1583" w:type="dxa"/>
            <w:tcBorders>
              <w:top w:val="nil"/>
              <w:left w:val="nil"/>
              <w:bottom w:val="nil"/>
              <w:right w:val="nil"/>
            </w:tcBorders>
            <w:shd w:val="clear" w:color="auto" w:fill="auto"/>
            <w:noWrap/>
            <w:vAlign w:val="bottom"/>
          </w:tcPr>
          <w:p w14:paraId="1D51E6DA"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19.9%</w:t>
            </w:r>
          </w:p>
        </w:tc>
        <w:tc>
          <w:tcPr>
            <w:tcW w:w="2005" w:type="dxa"/>
            <w:tcBorders>
              <w:top w:val="nil"/>
              <w:left w:val="nil"/>
              <w:bottom w:val="nil"/>
              <w:right w:val="nil"/>
            </w:tcBorders>
            <w:shd w:val="clear" w:color="auto" w:fill="auto"/>
            <w:noWrap/>
            <w:vAlign w:val="bottom"/>
          </w:tcPr>
          <w:p w14:paraId="6A11EAF2"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18.8%</w:t>
            </w:r>
          </w:p>
        </w:tc>
        <w:tc>
          <w:tcPr>
            <w:tcW w:w="2089" w:type="dxa"/>
            <w:tcBorders>
              <w:top w:val="nil"/>
              <w:left w:val="nil"/>
              <w:bottom w:val="nil"/>
              <w:right w:val="nil"/>
            </w:tcBorders>
            <w:shd w:val="clear" w:color="auto" w:fill="auto"/>
            <w:noWrap/>
            <w:vAlign w:val="bottom"/>
          </w:tcPr>
          <w:p w14:paraId="4C6F3721"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53.0%</w:t>
            </w:r>
          </w:p>
        </w:tc>
        <w:tc>
          <w:tcPr>
            <w:tcW w:w="1917" w:type="dxa"/>
            <w:tcBorders>
              <w:top w:val="nil"/>
              <w:left w:val="nil"/>
              <w:bottom w:val="nil"/>
              <w:right w:val="nil"/>
            </w:tcBorders>
            <w:shd w:val="clear" w:color="auto" w:fill="auto"/>
            <w:noWrap/>
            <w:vAlign w:val="bottom"/>
          </w:tcPr>
          <w:p w14:paraId="61A2D86F" w14:textId="77777777" w:rsidR="004D3334" w:rsidRPr="004D5894" w:rsidRDefault="004D3334" w:rsidP="00522276">
            <w:pPr>
              <w:spacing w:after="0" w:line="240" w:lineRule="auto"/>
              <w:jc w:val="right"/>
              <w:rPr>
                <w:color w:val="000000"/>
                <w:sz w:val="22"/>
                <w:szCs w:val="22"/>
                <w:lang w:bidi="ar-SA"/>
              </w:rPr>
            </w:pPr>
            <w:r>
              <w:rPr>
                <w:color w:val="000000"/>
                <w:sz w:val="22"/>
                <w:szCs w:val="22"/>
              </w:rPr>
              <w:t>40.3</w:t>
            </w:r>
            <w:r w:rsidRPr="004D5894">
              <w:rPr>
                <w:color w:val="000000"/>
                <w:sz w:val="22"/>
                <w:szCs w:val="22"/>
              </w:rPr>
              <w:t>%</w:t>
            </w:r>
          </w:p>
        </w:tc>
      </w:tr>
      <w:tr w:rsidR="004D3334" w:rsidRPr="004D5894" w14:paraId="5D09A5B9" w14:textId="77777777" w:rsidTr="00FC7F94">
        <w:trPr>
          <w:trHeight w:hRule="exact" w:val="274"/>
        </w:trPr>
        <w:tc>
          <w:tcPr>
            <w:tcW w:w="2111" w:type="dxa"/>
            <w:tcBorders>
              <w:top w:val="nil"/>
              <w:left w:val="nil"/>
              <w:bottom w:val="nil"/>
              <w:right w:val="nil"/>
            </w:tcBorders>
            <w:shd w:val="clear" w:color="auto" w:fill="auto"/>
            <w:noWrap/>
            <w:vAlign w:val="bottom"/>
            <w:hideMark/>
          </w:tcPr>
          <w:p w14:paraId="623C61A2" w14:textId="77777777" w:rsidR="004D3334" w:rsidRPr="008A2782" w:rsidRDefault="004D3334" w:rsidP="00522276">
            <w:pPr>
              <w:spacing w:after="0" w:line="240" w:lineRule="auto"/>
              <w:rPr>
                <w:b/>
                <w:bCs/>
                <w:color w:val="000000"/>
                <w:sz w:val="22"/>
                <w:szCs w:val="22"/>
                <w:lang w:bidi="ar-SA"/>
              </w:rPr>
            </w:pPr>
            <w:r w:rsidRPr="008A2782">
              <w:rPr>
                <w:b/>
                <w:bCs/>
                <w:color w:val="000000"/>
                <w:sz w:val="22"/>
                <w:szCs w:val="22"/>
                <w:lang w:bidi="ar-SA"/>
              </w:rPr>
              <w:t xml:space="preserve">   Rural</w:t>
            </w:r>
          </w:p>
        </w:tc>
        <w:tc>
          <w:tcPr>
            <w:tcW w:w="1583" w:type="dxa"/>
            <w:tcBorders>
              <w:top w:val="nil"/>
              <w:left w:val="nil"/>
              <w:bottom w:val="nil"/>
              <w:right w:val="nil"/>
            </w:tcBorders>
            <w:shd w:val="clear" w:color="auto" w:fill="auto"/>
            <w:noWrap/>
            <w:vAlign w:val="bottom"/>
          </w:tcPr>
          <w:p w14:paraId="417A5D64" w14:textId="77777777" w:rsidR="004D3334" w:rsidRPr="004D5894" w:rsidRDefault="004D3334" w:rsidP="00522276">
            <w:pPr>
              <w:spacing w:after="0" w:line="240" w:lineRule="auto"/>
              <w:rPr>
                <w:sz w:val="22"/>
                <w:szCs w:val="22"/>
                <w:lang w:bidi="ar-SA"/>
              </w:rPr>
            </w:pPr>
          </w:p>
        </w:tc>
        <w:tc>
          <w:tcPr>
            <w:tcW w:w="2005" w:type="dxa"/>
            <w:tcBorders>
              <w:top w:val="nil"/>
              <w:left w:val="nil"/>
              <w:bottom w:val="nil"/>
              <w:right w:val="nil"/>
            </w:tcBorders>
            <w:shd w:val="clear" w:color="auto" w:fill="auto"/>
            <w:noWrap/>
            <w:vAlign w:val="bottom"/>
          </w:tcPr>
          <w:p w14:paraId="0E5DA17E" w14:textId="77777777" w:rsidR="004D3334" w:rsidRPr="004D5894" w:rsidRDefault="004D3334" w:rsidP="00522276">
            <w:pPr>
              <w:spacing w:after="0" w:line="240" w:lineRule="auto"/>
              <w:rPr>
                <w:sz w:val="22"/>
                <w:szCs w:val="22"/>
                <w:lang w:bidi="ar-SA"/>
              </w:rPr>
            </w:pPr>
          </w:p>
        </w:tc>
        <w:tc>
          <w:tcPr>
            <w:tcW w:w="2089" w:type="dxa"/>
            <w:tcBorders>
              <w:top w:val="nil"/>
              <w:left w:val="nil"/>
              <w:bottom w:val="nil"/>
              <w:right w:val="nil"/>
            </w:tcBorders>
            <w:shd w:val="clear" w:color="auto" w:fill="auto"/>
            <w:noWrap/>
            <w:vAlign w:val="bottom"/>
          </w:tcPr>
          <w:p w14:paraId="39092249" w14:textId="77777777" w:rsidR="004D3334" w:rsidRPr="004D5894" w:rsidRDefault="004D3334" w:rsidP="00522276">
            <w:pPr>
              <w:spacing w:after="0" w:line="240" w:lineRule="auto"/>
              <w:rPr>
                <w:sz w:val="22"/>
                <w:szCs w:val="22"/>
                <w:lang w:bidi="ar-SA"/>
              </w:rPr>
            </w:pPr>
          </w:p>
        </w:tc>
        <w:tc>
          <w:tcPr>
            <w:tcW w:w="1917" w:type="dxa"/>
            <w:tcBorders>
              <w:top w:val="nil"/>
              <w:left w:val="nil"/>
              <w:bottom w:val="nil"/>
              <w:right w:val="nil"/>
            </w:tcBorders>
            <w:shd w:val="clear" w:color="auto" w:fill="auto"/>
            <w:noWrap/>
            <w:vAlign w:val="bottom"/>
          </w:tcPr>
          <w:p w14:paraId="2E75173F" w14:textId="77777777" w:rsidR="004D3334" w:rsidRPr="004D5894" w:rsidRDefault="004D3334" w:rsidP="00522276">
            <w:pPr>
              <w:spacing w:after="0" w:line="240" w:lineRule="auto"/>
              <w:rPr>
                <w:sz w:val="22"/>
                <w:szCs w:val="22"/>
                <w:lang w:bidi="ar-SA"/>
              </w:rPr>
            </w:pPr>
          </w:p>
        </w:tc>
      </w:tr>
      <w:tr w:rsidR="004D3334" w:rsidRPr="004D5894" w14:paraId="6A0D62F2" w14:textId="77777777" w:rsidTr="00FC7F94">
        <w:trPr>
          <w:trHeight w:hRule="exact" w:val="274"/>
        </w:trPr>
        <w:tc>
          <w:tcPr>
            <w:tcW w:w="2111" w:type="dxa"/>
            <w:tcBorders>
              <w:top w:val="nil"/>
              <w:left w:val="nil"/>
              <w:bottom w:val="nil"/>
              <w:right w:val="nil"/>
            </w:tcBorders>
            <w:shd w:val="clear" w:color="auto" w:fill="auto"/>
            <w:noWrap/>
            <w:vAlign w:val="bottom"/>
            <w:hideMark/>
          </w:tcPr>
          <w:p w14:paraId="5627A23E"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Bozrah</w:t>
            </w:r>
          </w:p>
        </w:tc>
        <w:tc>
          <w:tcPr>
            <w:tcW w:w="1583" w:type="dxa"/>
            <w:tcBorders>
              <w:top w:val="nil"/>
              <w:left w:val="nil"/>
              <w:bottom w:val="nil"/>
              <w:right w:val="nil"/>
            </w:tcBorders>
            <w:shd w:val="clear" w:color="auto" w:fill="auto"/>
            <w:noWrap/>
            <w:vAlign w:val="bottom"/>
          </w:tcPr>
          <w:p w14:paraId="4987FDEA"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10.8%</w:t>
            </w:r>
          </w:p>
        </w:tc>
        <w:tc>
          <w:tcPr>
            <w:tcW w:w="2005" w:type="dxa"/>
            <w:tcBorders>
              <w:top w:val="nil"/>
              <w:left w:val="nil"/>
              <w:bottom w:val="nil"/>
              <w:right w:val="nil"/>
            </w:tcBorders>
            <w:shd w:val="clear" w:color="auto" w:fill="auto"/>
            <w:noWrap/>
            <w:vAlign w:val="bottom"/>
          </w:tcPr>
          <w:p w14:paraId="0124C83D"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10.3%</w:t>
            </w:r>
          </w:p>
        </w:tc>
        <w:tc>
          <w:tcPr>
            <w:tcW w:w="2089" w:type="dxa"/>
            <w:tcBorders>
              <w:top w:val="nil"/>
              <w:left w:val="nil"/>
              <w:bottom w:val="nil"/>
              <w:right w:val="nil"/>
            </w:tcBorders>
            <w:shd w:val="clear" w:color="auto" w:fill="auto"/>
            <w:noWrap/>
            <w:vAlign w:val="bottom"/>
          </w:tcPr>
          <w:p w14:paraId="7B22718C"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9.4%</w:t>
            </w:r>
          </w:p>
        </w:tc>
        <w:tc>
          <w:tcPr>
            <w:tcW w:w="1917" w:type="dxa"/>
            <w:tcBorders>
              <w:top w:val="nil"/>
              <w:left w:val="nil"/>
              <w:bottom w:val="nil"/>
              <w:right w:val="nil"/>
            </w:tcBorders>
            <w:shd w:val="clear" w:color="auto" w:fill="auto"/>
            <w:noWrap/>
            <w:vAlign w:val="bottom"/>
          </w:tcPr>
          <w:p w14:paraId="736AFA33"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w:t>
            </w:r>
            <w:r>
              <w:rPr>
                <w:color w:val="000000"/>
                <w:sz w:val="22"/>
                <w:szCs w:val="22"/>
              </w:rPr>
              <w:t>0.9</w:t>
            </w:r>
            <w:r w:rsidRPr="004D5894">
              <w:rPr>
                <w:color w:val="000000"/>
                <w:sz w:val="22"/>
                <w:szCs w:val="22"/>
              </w:rPr>
              <w:t>%</w:t>
            </w:r>
          </w:p>
        </w:tc>
      </w:tr>
      <w:tr w:rsidR="004D3334" w:rsidRPr="004D5894" w14:paraId="05C2AAA4" w14:textId="77777777" w:rsidTr="00FC7F94">
        <w:trPr>
          <w:trHeight w:hRule="exact" w:val="274"/>
        </w:trPr>
        <w:tc>
          <w:tcPr>
            <w:tcW w:w="2111" w:type="dxa"/>
            <w:tcBorders>
              <w:top w:val="nil"/>
              <w:left w:val="nil"/>
              <w:bottom w:val="nil"/>
              <w:right w:val="nil"/>
            </w:tcBorders>
            <w:shd w:val="clear" w:color="auto" w:fill="auto"/>
            <w:noWrap/>
            <w:vAlign w:val="bottom"/>
            <w:hideMark/>
          </w:tcPr>
          <w:p w14:paraId="1E99D7D3"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Durham</w:t>
            </w:r>
          </w:p>
        </w:tc>
        <w:tc>
          <w:tcPr>
            <w:tcW w:w="1583" w:type="dxa"/>
            <w:tcBorders>
              <w:top w:val="nil"/>
              <w:left w:val="nil"/>
              <w:bottom w:val="nil"/>
              <w:right w:val="nil"/>
            </w:tcBorders>
            <w:shd w:val="clear" w:color="auto" w:fill="auto"/>
            <w:noWrap/>
            <w:vAlign w:val="bottom"/>
          </w:tcPr>
          <w:p w14:paraId="0EF98170"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11.6%</w:t>
            </w:r>
          </w:p>
        </w:tc>
        <w:tc>
          <w:tcPr>
            <w:tcW w:w="2005" w:type="dxa"/>
            <w:tcBorders>
              <w:top w:val="nil"/>
              <w:left w:val="nil"/>
              <w:bottom w:val="nil"/>
              <w:right w:val="nil"/>
            </w:tcBorders>
            <w:shd w:val="clear" w:color="auto" w:fill="auto"/>
            <w:noWrap/>
            <w:vAlign w:val="bottom"/>
          </w:tcPr>
          <w:p w14:paraId="14E7599E"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13.6%</w:t>
            </w:r>
          </w:p>
        </w:tc>
        <w:tc>
          <w:tcPr>
            <w:tcW w:w="2089" w:type="dxa"/>
            <w:tcBorders>
              <w:top w:val="nil"/>
              <w:left w:val="nil"/>
              <w:bottom w:val="nil"/>
              <w:right w:val="nil"/>
            </w:tcBorders>
            <w:shd w:val="clear" w:color="auto" w:fill="auto"/>
            <w:noWrap/>
            <w:vAlign w:val="bottom"/>
          </w:tcPr>
          <w:p w14:paraId="0A65B128"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4.6%</w:t>
            </w:r>
          </w:p>
        </w:tc>
        <w:tc>
          <w:tcPr>
            <w:tcW w:w="1917" w:type="dxa"/>
            <w:tcBorders>
              <w:top w:val="nil"/>
              <w:left w:val="nil"/>
              <w:bottom w:val="nil"/>
              <w:right w:val="nil"/>
            </w:tcBorders>
            <w:shd w:val="clear" w:color="auto" w:fill="auto"/>
            <w:noWrap/>
            <w:vAlign w:val="bottom"/>
          </w:tcPr>
          <w:p w14:paraId="7A4A0C31" w14:textId="77777777" w:rsidR="004D3334" w:rsidRPr="004D5894" w:rsidRDefault="004D3334" w:rsidP="00522276">
            <w:pPr>
              <w:spacing w:after="0" w:line="240" w:lineRule="auto"/>
              <w:jc w:val="right"/>
              <w:rPr>
                <w:color w:val="000000"/>
                <w:sz w:val="22"/>
                <w:szCs w:val="22"/>
                <w:lang w:bidi="ar-SA"/>
              </w:rPr>
            </w:pPr>
            <w:r>
              <w:rPr>
                <w:color w:val="000000"/>
                <w:sz w:val="22"/>
                <w:szCs w:val="22"/>
              </w:rPr>
              <w:t>8.5</w:t>
            </w:r>
            <w:r w:rsidRPr="004D5894">
              <w:rPr>
                <w:color w:val="000000"/>
                <w:sz w:val="22"/>
                <w:szCs w:val="22"/>
              </w:rPr>
              <w:t>%</w:t>
            </w:r>
          </w:p>
        </w:tc>
      </w:tr>
      <w:tr w:rsidR="004D3334" w:rsidRPr="004D5894" w14:paraId="36471EDA" w14:textId="77777777" w:rsidTr="00FC7F94">
        <w:trPr>
          <w:trHeight w:hRule="exact" w:val="274"/>
        </w:trPr>
        <w:tc>
          <w:tcPr>
            <w:tcW w:w="2111" w:type="dxa"/>
            <w:tcBorders>
              <w:top w:val="nil"/>
              <w:left w:val="nil"/>
              <w:bottom w:val="nil"/>
              <w:right w:val="nil"/>
            </w:tcBorders>
            <w:shd w:val="clear" w:color="auto" w:fill="auto"/>
            <w:noWrap/>
            <w:vAlign w:val="bottom"/>
            <w:hideMark/>
          </w:tcPr>
          <w:p w14:paraId="18190C5A"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Killingly</w:t>
            </w:r>
          </w:p>
        </w:tc>
        <w:tc>
          <w:tcPr>
            <w:tcW w:w="1583" w:type="dxa"/>
            <w:tcBorders>
              <w:top w:val="nil"/>
              <w:left w:val="nil"/>
              <w:bottom w:val="nil"/>
              <w:right w:val="nil"/>
            </w:tcBorders>
            <w:shd w:val="clear" w:color="auto" w:fill="auto"/>
            <w:noWrap/>
            <w:vAlign w:val="bottom"/>
          </w:tcPr>
          <w:p w14:paraId="13FBAA12"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10.0%</w:t>
            </w:r>
          </w:p>
        </w:tc>
        <w:tc>
          <w:tcPr>
            <w:tcW w:w="2005" w:type="dxa"/>
            <w:tcBorders>
              <w:top w:val="nil"/>
              <w:left w:val="nil"/>
              <w:bottom w:val="nil"/>
              <w:right w:val="nil"/>
            </w:tcBorders>
            <w:shd w:val="clear" w:color="auto" w:fill="auto"/>
            <w:noWrap/>
            <w:vAlign w:val="bottom"/>
          </w:tcPr>
          <w:p w14:paraId="38B8320E"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6.8%</w:t>
            </w:r>
          </w:p>
        </w:tc>
        <w:tc>
          <w:tcPr>
            <w:tcW w:w="2089" w:type="dxa"/>
            <w:tcBorders>
              <w:top w:val="nil"/>
              <w:left w:val="nil"/>
              <w:bottom w:val="nil"/>
              <w:right w:val="nil"/>
            </w:tcBorders>
            <w:shd w:val="clear" w:color="auto" w:fill="auto"/>
            <w:noWrap/>
            <w:vAlign w:val="bottom"/>
          </w:tcPr>
          <w:p w14:paraId="0D6521CC"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14.5%</w:t>
            </w:r>
          </w:p>
        </w:tc>
        <w:tc>
          <w:tcPr>
            <w:tcW w:w="1917" w:type="dxa"/>
            <w:tcBorders>
              <w:top w:val="nil"/>
              <w:left w:val="nil"/>
              <w:bottom w:val="nil"/>
              <w:right w:val="nil"/>
            </w:tcBorders>
            <w:shd w:val="clear" w:color="auto" w:fill="auto"/>
            <w:noWrap/>
            <w:vAlign w:val="bottom"/>
          </w:tcPr>
          <w:p w14:paraId="7BCE595C" w14:textId="77777777" w:rsidR="004D3334" w:rsidRPr="004D5894" w:rsidRDefault="004D3334" w:rsidP="00522276">
            <w:pPr>
              <w:spacing w:after="0" w:line="240" w:lineRule="auto"/>
              <w:jc w:val="right"/>
              <w:rPr>
                <w:color w:val="000000"/>
                <w:sz w:val="22"/>
                <w:szCs w:val="22"/>
                <w:lang w:bidi="ar-SA"/>
              </w:rPr>
            </w:pPr>
            <w:r>
              <w:rPr>
                <w:color w:val="000000"/>
                <w:sz w:val="22"/>
                <w:szCs w:val="22"/>
              </w:rPr>
              <w:t>12.8</w:t>
            </w:r>
            <w:r w:rsidRPr="004D5894">
              <w:rPr>
                <w:color w:val="000000"/>
                <w:sz w:val="22"/>
                <w:szCs w:val="22"/>
              </w:rPr>
              <w:t>%</w:t>
            </w:r>
          </w:p>
        </w:tc>
      </w:tr>
      <w:tr w:rsidR="004D3334" w:rsidRPr="004D5894" w14:paraId="2CD1CC26" w14:textId="77777777" w:rsidTr="00FC7F94">
        <w:trPr>
          <w:trHeight w:hRule="exact" w:val="274"/>
        </w:trPr>
        <w:tc>
          <w:tcPr>
            <w:tcW w:w="2111" w:type="dxa"/>
            <w:tcBorders>
              <w:top w:val="nil"/>
              <w:left w:val="nil"/>
              <w:bottom w:val="nil"/>
              <w:right w:val="nil"/>
            </w:tcBorders>
            <w:shd w:val="clear" w:color="auto" w:fill="auto"/>
            <w:noWrap/>
            <w:vAlign w:val="bottom"/>
            <w:hideMark/>
          </w:tcPr>
          <w:p w14:paraId="6177518F"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North Canaan</w:t>
            </w:r>
          </w:p>
        </w:tc>
        <w:tc>
          <w:tcPr>
            <w:tcW w:w="1583" w:type="dxa"/>
            <w:tcBorders>
              <w:top w:val="nil"/>
              <w:left w:val="nil"/>
              <w:bottom w:val="nil"/>
              <w:right w:val="nil"/>
            </w:tcBorders>
            <w:shd w:val="clear" w:color="auto" w:fill="auto"/>
            <w:noWrap/>
            <w:vAlign w:val="bottom"/>
          </w:tcPr>
          <w:p w14:paraId="3980B5EA"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1.7%</w:t>
            </w:r>
          </w:p>
        </w:tc>
        <w:tc>
          <w:tcPr>
            <w:tcW w:w="2005" w:type="dxa"/>
            <w:tcBorders>
              <w:top w:val="nil"/>
              <w:left w:val="nil"/>
              <w:bottom w:val="nil"/>
              <w:right w:val="nil"/>
            </w:tcBorders>
            <w:shd w:val="clear" w:color="auto" w:fill="auto"/>
            <w:noWrap/>
            <w:vAlign w:val="bottom"/>
          </w:tcPr>
          <w:p w14:paraId="19CF991E"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1.4%</w:t>
            </w:r>
          </w:p>
        </w:tc>
        <w:tc>
          <w:tcPr>
            <w:tcW w:w="2089" w:type="dxa"/>
            <w:tcBorders>
              <w:top w:val="nil"/>
              <w:left w:val="nil"/>
              <w:bottom w:val="nil"/>
              <w:right w:val="nil"/>
            </w:tcBorders>
            <w:shd w:val="clear" w:color="auto" w:fill="auto"/>
            <w:noWrap/>
            <w:vAlign w:val="bottom"/>
          </w:tcPr>
          <w:p w14:paraId="4C31D5D6"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13.1%</w:t>
            </w:r>
          </w:p>
        </w:tc>
        <w:tc>
          <w:tcPr>
            <w:tcW w:w="1917" w:type="dxa"/>
            <w:tcBorders>
              <w:top w:val="nil"/>
              <w:left w:val="nil"/>
              <w:bottom w:val="nil"/>
              <w:right w:val="nil"/>
            </w:tcBorders>
            <w:shd w:val="clear" w:color="auto" w:fill="auto"/>
            <w:noWrap/>
            <w:vAlign w:val="bottom"/>
          </w:tcPr>
          <w:p w14:paraId="2EE54697" w14:textId="77777777" w:rsidR="004D3334" w:rsidRPr="004D5894" w:rsidRDefault="004D3334" w:rsidP="00522276">
            <w:pPr>
              <w:spacing w:after="0" w:line="240" w:lineRule="auto"/>
              <w:jc w:val="right"/>
              <w:rPr>
                <w:color w:val="000000"/>
                <w:sz w:val="22"/>
                <w:szCs w:val="22"/>
                <w:lang w:bidi="ar-SA"/>
              </w:rPr>
            </w:pPr>
            <w:r>
              <w:rPr>
                <w:color w:val="000000"/>
                <w:sz w:val="22"/>
                <w:szCs w:val="22"/>
              </w:rPr>
              <w:t>8.8</w:t>
            </w:r>
            <w:r w:rsidRPr="004D5894">
              <w:rPr>
                <w:color w:val="000000"/>
                <w:sz w:val="22"/>
                <w:szCs w:val="22"/>
              </w:rPr>
              <w:t>%</w:t>
            </w:r>
          </w:p>
        </w:tc>
      </w:tr>
      <w:tr w:rsidR="004D3334" w:rsidRPr="004D5894" w14:paraId="1644B09F" w14:textId="77777777" w:rsidTr="00FC7F94">
        <w:trPr>
          <w:trHeight w:hRule="exact" w:val="274"/>
        </w:trPr>
        <w:tc>
          <w:tcPr>
            <w:tcW w:w="2111" w:type="dxa"/>
            <w:tcBorders>
              <w:top w:val="nil"/>
              <w:left w:val="nil"/>
              <w:bottom w:val="nil"/>
              <w:right w:val="nil"/>
            </w:tcBorders>
            <w:shd w:val="clear" w:color="auto" w:fill="auto"/>
            <w:noWrap/>
            <w:vAlign w:val="bottom"/>
            <w:hideMark/>
          </w:tcPr>
          <w:p w14:paraId="0791979D"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Plainfield</w:t>
            </w:r>
          </w:p>
        </w:tc>
        <w:tc>
          <w:tcPr>
            <w:tcW w:w="1583" w:type="dxa"/>
            <w:tcBorders>
              <w:top w:val="nil"/>
              <w:left w:val="nil"/>
              <w:bottom w:val="nil"/>
              <w:right w:val="nil"/>
            </w:tcBorders>
            <w:shd w:val="clear" w:color="auto" w:fill="auto"/>
            <w:noWrap/>
            <w:vAlign w:val="bottom"/>
          </w:tcPr>
          <w:p w14:paraId="77721249"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10.4%</w:t>
            </w:r>
          </w:p>
        </w:tc>
        <w:tc>
          <w:tcPr>
            <w:tcW w:w="2005" w:type="dxa"/>
            <w:tcBorders>
              <w:top w:val="nil"/>
              <w:left w:val="nil"/>
              <w:bottom w:val="nil"/>
              <w:right w:val="nil"/>
            </w:tcBorders>
            <w:shd w:val="clear" w:color="auto" w:fill="auto"/>
            <w:noWrap/>
            <w:vAlign w:val="bottom"/>
          </w:tcPr>
          <w:p w14:paraId="6E3479D2"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7.5%</w:t>
            </w:r>
          </w:p>
        </w:tc>
        <w:tc>
          <w:tcPr>
            <w:tcW w:w="2089" w:type="dxa"/>
            <w:tcBorders>
              <w:top w:val="nil"/>
              <w:left w:val="nil"/>
              <w:bottom w:val="nil"/>
              <w:right w:val="nil"/>
            </w:tcBorders>
            <w:shd w:val="clear" w:color="auto" w:fill="auto"/>
            <w:noWrap/>
            <w:vAlign w:val="bottom"/>
          </w:tcPr>
          <w:p w14:paraId="6E325E81"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7.1%</w:t>
            </w:r>
          </w:p>
        </w:tc>
        <w:tc>
          <w:tcPr>
            <w:tcW w:w="1917" w:type="dxa"/>
            <w:tcBorders>
              <w:top w:val="nil"/>
              <w:left w:val="nil"/>
              <w:bottom w:val="nil"/>
              <w:right w:val="nil"/>
            </w:tcBorders>
            <w:shd w:val="clear" w:color="auto" w:fill="auto"/>
            <w:noWrap/>
            <w:vAlign w:val="bottom"/>
          </w:tcPr>
          <w:p w14:paraId="1D606663" w14:textId="77777777" w:rsidR="004D3334" w:rsidRPr="004D5894" w:rsidRDefault="004D3334" w:rsidP="00522276">
            <w:pPr>
              <w:spacing w:after="0" w:line="240" w:lineRule="auto"/>
              <w:jc w:val="right"/>
              <w:rPr>
                <w:color w:val="000000"/>
                <w:sz w:val="22"/>
                <w:szCs w:val="22"/>
                <w:lang w:bidi="ar-SA"/>
              </w:rPr>
            </w:pPr>
            <w:r>
              <w:rPr>
                <w:color w:val="000000"/>
                <w:sz w:val="22"/>
                <w:szCs w:val="22"/>
              </w:rPr>
              <w:t>9.9</w:t>
            </w:r>
            <w:r w:rsidRPr="004D5894">
              <w:rPr>
                <w:color w:val="000000"/>
                <w:sz w:val="22"/>
                <w:szCs w:val="22"/>
              </w:rPr>
              <w:t>%</w:t>
            </w:r>
          </w:p>
        </w:tc>
      </w:tr>
      <w:tr w:rsidR="004D3334" w:rsidRPr="004D5894" w14:paraId="5882D62D" w14:textId="77777777" w:rsidTr="00FC7F94">
        <w:trPr>
          <w:trHeight w:hRule="exact" w:val="274"/>
        </w:trPr>
        <w:tc>
          <w:tcPr>
            <w:tcW w:w="2111" w:type="dxa"/>
            <w:tcBorders>
              <w:top w:val="nil"/>
              <w:left w:val="nil"/>
              <w:right w:val="nil"/>
            </w:tcBorders>
            <w:shd w:val="clear" w:color="auto" w:fill="auto"/>
            <w:noWrap/>
            <w:vAlign w:val="bottom"/>
            <w:hideMark/>
          </w:tcPr>
          <w:p w14:paraId="64387044"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Union</w:t>
            </w:r>
          </w:p>
        </w:tc>
        <w:tc>
          <w:tcPr>
            <w:tcW w:w="1583" w:type="dxa"/>
            <w:tcBorders>
              <w:top w:val="nil"/>
              <w:left w:val="nil"/>
              <w:right w:val="nil"/>
            </w:tcBorders>
            <w:shd w:val="clear" w:color="auto" w:fill="auto"/>
            <w:noWrap/>
            <w:vAlign w:val="bottom"/>
          </w:tcPr>
          <w:p w14:paraId="6437DCDB"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6.2%</w:t>
            </w:r>
          </w:p>
        </w:tc>
        <w:tc>
          <w:tcPr>
            <w:tcW w:w="2005" w:type="dxa"/>
            <w:tcBorders>
              <w:top w:val="nil"/>
              <w:left w:val="nil"/>
              <w:right w:val="nil"/>
            </w:tcBorders>
            <w:shd w:val="clear" w:color="auto" w:fill="auto"/>
            <w:noWrap/>
            <w:vAlign w:val="bottom"/>
          </w:tcPr>
          <w:p w14:paraId="4E20BCF0"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5.5%</w:t>
            </w:r>
          </w:p>
        </w:tc>
        <w:tc>
          <w:tcPr>
            <w:tcW w:w="2089" w:type="dxa"/>
            <w:tcBorders>
              <w:top w:val="nil"/>
              <w:left w:val="nil"/>
              <w:right w:val="nil"/>
            </w:tcBorders>
            <w:shd w:val="clear" w:color="auto" w:fill="auto"/>
            <w:noWrap/>
            <w:vAlign w:val="bottom"/>
          </w:tcPr>
          <w:p w14:paraId="58FD14EF"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1.9%</w:t>
            </w:r>
          </w:p>
        </w:tc>
        <w:tc>
          <w:tcPr>
            <w:tcW w:w="1917" w:type="dxa"/>
            <w:tcBorders>
              <w:top w:val="nil"/>
              <w:left w:val="nil"/>
              <w:right w:val="nil"/>
            </w:tcBorders>
            <w:shd w:val="clear" w:color="auto" w:fill="auto"/>
            <w:noWrap/>
            <w:vAlign w:val="bottom"/>
          </w:tcPr>
          <w:p w14:paraId="0018F530" w14:textId="77777777" w:rsidR="004D3334" w:rsidRPr="004D5894" w:rsidRDefault="004D3334" w:rsidP="00522276">
            <w:pPr>
              <w:spacing w:after="0" w:line="240" w:lineRule="auto"/>
              <w:jc w:val="right"/>
              <w:rPr>
                <w:color w:val="000000"/>
                <w:sz w:val="22"/>
                <w:szCs w:val="22"/>
                <w:lang w:bidi="ar-SA"/>
              </w:rPr>
            </w:pPr>
            <w:r>
              <w:rPr>
                <w:color w:val="000000"/>
                <w:sz w:val="22"/>
                <w:szCs w:val="22"/>
              </w:rPr>
              <w:t>4.3</w:t>
            </w:r>
            <w:r w:rsidRPr="004D5894">
              <w:rPr>
                <w:color w:val="000000"/>
                <w:sz w:val="22"/>
                <w:szCs w:val="22"/>
              </w:rPr>
              <w:t>%</w:t>
            </w:r>
          </w:p>
        </w:tc>
      </w:tr>
      <w:tr w:rsidR="004D3334" w:rsidRPr="004D5894" w14:paraId="554F18D1" w14:textId="77777777" w:rsidTr="00FC7F94">
        <w:trPr>
          <w:trHeight w:hRule="exact" w:val="274"/>
        </w:trPr>
        <w:tc>
          <w:tcPr>
            <w:tcW w:w="2111" w:type="dxa"/>
            <w:tcBorders>
              <w:top w:val="nil"/>
              <w:left w:val="nil"/>
              <w:bottom w:val="single" w:sz="4" w:space="0" w:color="auto"/>
              <w:right w:val="nil"/>
            </w:tcBorders>
            <w:shd w:val="clear" w:color="auto" w:fill="auto"/>
            <w:noWrap/>
            <w:vAlign w:val="bottom"/>
            <w:hideMark/>
          </w:tcPr>
          <w:p w14:paraId="2E5F6ED7" w14:textId="77777777" w:rsidR="004D3334" w:rsidRPr="008A2782" w:rsidRDefault="004D3334" w:rsidP="00522276">
            <w:pPr>
              <w:spacing w:after="0" w:line="240" w:lineRule="auto"/>
              <w:rPr>
                <w:color w:val="000000"/>
                <w:sz w:val="22"/>
                <w:szCs w:val="22"/>
                <w:lang w:bidi="ar-SA"/>
              </w:rPr>
            </w:pPr>
            <w:r w:rsidRPr="008A2782">
              <w:rPr>
                <w:color w:val="000000"/>
                <w:sz w:val="22"/>
                <w:szCs w:val="22"/>
                <w:lang w:bidi="ar-SA"/>
              </w:rPr>
              <w:t xml:space="preserve">     Washington</w:t>
            </w:r>
          </w:p>
        </w:tc>
        <w:tc>
          <w:tcPr>
            <w:tcW w:w="1583" w:type="dxa"/>
            <w:tcBorders>
              <w:top w:val="nil"/>
              <w:left w:val="nil"/>
              <w:bottom w:val="single" w:sz="4" w:space="0" w:color="auto"/>
              <w:right w:val="nil"/>
            </w:tcBorders>
            <w:shd w:val="clear" w:color="auto" w:fill="auto"/>
            <w:noWrap/>
            <w:vAlign w:val="bottom"/>
          </w:tcPr>
          <w:p w14:paraId="1E2C0433"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13.9%</w:t>
            </w:r>
          </w:p>
        </w:tc>
        <w:tc>
          <w:tcPr>
            <w:tcW w:w="2005" w:type="dxa"/>
            <w:tcBorders>
              <w:top w:val="nil"/>
              <w:left w:val="nil"/>
              <w:bottom w:val="single" w:sz="4" w:space="0" w:color="auto"/>
              <w:right w:val="nil"/>
            </w:tcBorders>
            <w:shd w:val="clear" w:color="auto" w:fill="auto"/>
            <w:noWrap/>
            <w:vAlign w:val="bottom"/>
          </w:tcPr>
          <w:p w14:paraId="19A9E70E"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15.1%</w:t>
            </w:r>
          </w:p>
        </w:tc>
        <w:tc>
          <w:tcPr>
            <w:tcW w:w="2089" w:type="dxa"/>
            <w:tcBorders>
              <w:top w:val="nil"/>
              <w:left w:val="nil"/>
              <w:bottom w:val="single" w:sz="4" w:space="0" w:color="auto"/>
              <w:right w:val="nil"/>
            </w:tcBorders>
            <w:shd w:val="clear" w:color="auto" w:fill="auto"/>
            <w:noWrap/>
            <w:vAlign w:val="bottom"/>
          </w:tcPr>
          <w:p w14:paraId="2611C55A" w14:textId="77777777" w:rsidR="004D3334" w:rsidRPr="004D5894" w:rsidRDefault="004D3334" w:rsidP="00522276">
            <w:pPr>
              <w:spacing w:after="0" w:line="240" w:lineRule="auto"/>
              <w:jc w:val="right"/>
              <w:rPr>
                <w:color w:val="000000"/>
                <w:sz w:val="22"/>
                <w:szCs w:val="22"/>
                <w:lang w:bidi="ar-SA"/>
              </w:rPr>
            </w:pPr>
            <w:r w:rsidRPr="004D5894">
              <w:rPr>
                <w:color w:val="000000"/>
                <w:sz w:val="22"/>
                <w:szCs w:val="22"/>
              </w:rPr>
              <w:t>5.7%</w:t>
            </w:r>
          </w:p>
        </w:tc>
        <w:tc>
          <w:tcPr>
            <w:tcW w:w="1917" w:type="dxa"/>
            <w:tcBorders>
              <w:top w:val="nil"/>
              <w:left w:val="nil"/>
              <w:bottom w:val="single" w:sz="4" w:space="0" w:color="auto"/>
              <w:right w:val="nil"/>
            </w:tcBorders>
            <w:shd w:val="clear" w:color="auto" w:fill="auto"/>
            <w:noWrap/>
            <w:vAlign w:val="bottom"/>
          </w:tcPr>
          <w:p w14:paraId="12CCC931" w14:textId="77777777" w:rsidR="004D3334" w:rsidRPr="004D5894" w:rsidRDefault="004D3334" w:rsidP="00522276">
            <w:pPr>
              <w:spacing w:after="0" w:line="240" w:lineRule="auto"/>
              <w:jc w:val="right"/>
              <w:rPr>
                <w:color w:val="000000"/>
                <w:sz w:val="22"/>
                <w:szCs w:val="22"/>
                <w:lang w:bidi="ar-SA"/>
              </w:rPr>
            </w:pPr>
            <w:r>
              <w:rPr>
                <w:color w:val="000000"/>
                <w:sz w:val="22"/>
                <w:szCs w:val="22"/>
              </w:rPr>
              <w:t>6.6</w:t>
            </w:r>
            <w:r w:rsidRPr="004D5894">
              <w:rPr>
                <w:color w:val="000000"/>
                <w:sz w:val="22"/>
                <w:szCs w:val="22"/>
              </w:rPr>
              <w:t>%</w:t>
            </w:r>
          </w:p>
        </w:tc>
      </w:tr>
    </w:tbl>
    <w:p w14:paraId="15390DA7" w14:textId="77777777" w:rsidR="00FC7F94" w:rsidRPr="00FC7F94" w:rsidRDefault="00FC7F94" w:rsidP="00FC7F94"/>
    <w:p w14:paraId="627E6D8D" w14:textId="77777777" w:rsidR="00FC7F94" w:rsidRDefault="00FC7F94" w:rsidP="00FC7F94">
      <w:pPr>
        <w:pStyle w:val="Heading3"/>
      </w:pPr>
      <w:bookmarkStart w:id="104" w:name="_Toc433373673"/>
      <w:r w:rsidRPr="000218D0">
        <w:t>Equity/Fairness</w:t>
      </w:r>
      <w:bookmarkEnd w:id="104"/>
      <w:r w:rsidRPr="000218D0">
        <w:t xml:space="preserve"> </w:t>
      </w:r>
    </w:p>
    <w:p w14:paraId="0147A070" w14:textId="55B9F9D5" w:rsidR="003417FE" w:rsidRPr="000A1202" w:rsidRDefault="003417FE" w:rsidP="00D422A0">
      <w:pPr>
        <w:spacing w:after="0" w:line="360" w:lineRule="auto"/>
        <w:ind w:firstLine="720"/>
        <w:rPr>
          <w:color w:val="000000"/>
        </w:rPr>
      </w:pPr>
      <w:r w:rsidRPr="000A1202">
        <w:rPr>
          <w:color w:val="000000"/>
        </w:rPr>
        <w:t>A</w:t>
      </w:r>
      <w:r>
        <w:rPr>
          <w:color w:val="000000"/>
        </w:rPr>
        <w:t xml:space="preserve">n </w:t>
      </w:r>
      <w:r w:rsidRPr="000A1202">
        <w:rPr>
          <w:color w:val="000000"/>
        </w:rPr>
        <w:t xml:space="preserve">income tax on AGI will be proportional, assuming that income is measured by AGI. The distribution of the tax </w:t>
      </w:r>
      <w:r w:rsidR="00DA0CB0">
        <w:rPr>
          <w:color w:val="000000"/>
        </w:rPr>
        <w:t>for</w:t>
      </w:r>
      <w:r w:rsidRPr="000A1202">
        <w:rPr>
          <w:color w:val="000000"/>
        </w:rPr>
        <w:t xml:space="preserve"> an income tax using tax liability will be the same as the distribution of the state income tax liability.</w:t>
      </w:r>
      <w:r>
        <w:rPr>
          <w:color w:val="000000"/>
        </w:rPr>
        <w:t xml:space="preserve"> </w:t>
      </w:r>
    </w:p>
    <w:p w14:paraId="33E292B9" w14:textId="3374A011" w:rsidR="003417FE" w:rsidRDefault="003417FE" w:rsidP="00D422A0">
      <w:pPr>
        <w:spacing w:after="0" w:line="360" w:lineRule="auto"/>
        <w:ind w:firstLine="720"/>
        <w:rPr>
          <w:bCs/>
        </w:rPr>
      </w:pPr>
      <w:r w:rsidRPr="000A1202">
        <w:rPr>
          <w:bCs/>
        </w:rPr>
        <w:t xml:space="preserve">Local </w:t>
      </w:r>
      <w:r w:rsidR="001E6F0E">
        <w:rPr>
          <w:bCs/>
        </w:rPr>
        <w:t>earned income</w:t>
      </w:r>
      <w:r w:rsidRPr="000A1202">
        <w:rPr>
          <w:bCs/>
        </w:rPr>
        <w:t xml:space="preserve"> taxes are slightly regressive since not all income sources are taxed and the excluded income (largely returns to capital) are associated with higher income households. Figure </w:t>
      </w:r>
      <w:r w:rsidR="00DA0CB0">
        <w:rPr>
          <w:bCs/>
        </w:rPr>
        <w:t>9</w:t>
      </w:r>
      <w:r w:rsidR="001E6F0E">
        <w:rPr>
          <w:bCs/>
        </w:rPr>
        <w:t xml:space="preserve"> shows earned income</w:t>
      </w:r>
      <w:r w:rsidRPr="000A1202">
        <w:rPr>
          <w:bCs/>
        </w:rPr>
        <w:t xml:space="preserve"> (including net </w:t>
      </w:r>
      <w:r w:rsidR="00C974BA">
        <w:rPr>
          <w:bCs/>
        </w:rPr>
        <w:t xml:space="preserve">non-corporate </w:t>
      </w:r>
      <w:r w:rsidRPr="000A1202">
        <w:rPr>
          <w:bCs/>
        </w:rPr>
        <w:t xml:space="preserve">profits) as a share of Federal AGI by AGI category using IRS data for Connecticut. While the pattern is not consistent, in general </w:t>
      </w:r>
      <w:r w:rsidR="00B2221D">
        <w:rPr>
          <w:bCs/>
        </w:rPr>
        <w:t xml:space="preserve">the earned income share </w:t>
      </w:r>
      <w:r w:rsidRPr="000A1202">
        <w:rPr>
          <w:bCs/>
        </w:rPr>
        <w:t>decreases</w:t>
      </w:r>
      <w:r>
        <w:rPr>
          <w:bCs/>
        </w:rPr>
        <w:t xml:space="preserve"> as </w:t>
      </w:r>
      <w:r w:rsidR="00B2221D">
        <w:rPr>
          <w:bCs/>
        </w:rPr>
        <w:t>AGI</w:t>
      </w:r>
      <w:r>
        <w:rPr>
          <w:bCs/>
        </w:rPr>
        <w:t xml:space="preserve"> increases</w:t>
      </w:r>
      <w:r w:rsidRPr="000A1202">
        <w:rPr>
          <w:bCs/>
        </w:rPr>
        <w:t xml:space="preserve">, particularly at the </w:t>
      </w:r>
      <w:r w:rsidRPr="000A1202">
        <w:rPr>
          <w:bCs/>
        </w:rPr>
        <w:lastRenderedPageBreak/>
        <w:t xml:space="preserve">upper </w:t>
      </w:r>
      <w:r w:rsidR="00B2221D">
        <w:rPr>
          <w:bCs/>
        </w:rPr>
        <w:t>AGI</w:t>
      </w:r>
      <w:r w:rsidRPr="000A1202">
        <w:rPr>
          <w:bCs/>
        </w:rPr>
        <w:t xml:space="preserve"> levels.</w:t>
      </w:r>
      <w:r w:rsidR="00B702CE">
        <w:rPr>
          <w:bCs/>
        </w:rPr>
        <w:t xml:space="preserve"> Since the Payroll Tax is not imposed on earnings from out-of-state, there is a horizontal inequity between those who work in-state and those who work out-of-state.</w:t>
      </w:r>
    </w:p>
    <w:p w14:paraId="528B8891" w14:textId="77777777" w:rsidR="00FC7F94" w:rsidRPr="00DA0CB0" w:rsidRDefault="00FC7F94" w:rsidP="00FC7F94">
      <w:pPr>
        <w:pStyle w:val="Heading3"/>
      </w:pPr>
      <w:bookmarkStart w:id="105" w:name="_Toc433373674"/>
      <w:r w:rsidRPr="00DA0CB0">
        <w:t>Fiscal Disparities</w:t>
      </w:r>
      <w:bookmarkEnd w:id="105"/>
      <w:r w:rsidRPr="00DA0CB0">
        <w:t xml:space="preserve"> </w:t>
      </w:r>
    </w:p>
    <w:p w14:paraId="4E02F878" w14:textId="00A431AA" w:rsidR="00FC7F94" w:rsidRDefault="00FC7F94" w:rsidP="00FC7F94">
      <w:pPr>
        <w:spacing w:after="0" w:line="360" w:lineRule="auto"/>
        <w:ind w:firstLine="720"/>
        <w:rPr>
          <w:color w:val="000000"/>
        </w:rPr>
      </w:pPr>
      <w:r w:rsidRPr="003737CD">
        <w:rPr>
          <w:color w:val="000000"/>
        </w:rPr>
        <w:t>A recent report from the New England Public Policy Center at the Federal Reserve Bank of Boston (Zhao and Weiner 2015) provide</w:t>
      </w:r>
      <w:r>
        <w:rPr>
          <w:color w:val="000000"/>
        </w:rPr>
        <w:t>s</w:t>
      </w:r>
      <w:r w:rsidRPr="003737CD">
        <w:rPr>
          <w:color w:val="000000"/>
        </w:rPr>
        <w:t xml:space="preserve"> </w:t>
      </w:r>
      <w:r>
        <w:rPr>
          <w:color w:val="000000"/>
        </w:rPr>
        <w:t>an index</w:t>
      </w:r>
      <w:r w:rsidRPr="003737CD">
        <w:rPr>
          <w:color w:val="000000"/>
        </w:rPr>
        <w:t xml:space="preserve"> of fiscal disparities across Connecticut cities</w:t>
      </w:r>
      <w:r>
        <w:rPr>
          <w:color w:val="000000"/>
        </w:rPr>
        <w:t xml:space="preserve"> (Table A1, column 4)</w:t>
      </w:r>
      <w:r w:rsidRPr="003737CD">
        <w:rPr>
          <w:color w:val="000000"/>
        </w:rPr>
        <w:t>.</w:t>
      </w:r>
      <w:r>
        <w:rPr>
          <w:color w:val="000000"/>
        </w:rPr>
        <w:t xml:space="preserve"> (See the discussion of the index in the previous section.) </w:t>
      </w:r>
      <w:r w:rsidRPr="003737CD">
        <w:rPr>
          <w:color w:val="000000"/>
        </w:rPr>
        <w:t xml:space="preserve">To illustrate the direction of the effect of </w:t>
      </w:r>
      <w:r>
        <w:rPr>
          <w:color w:val="000000"/>
        </w:rPr>
        <w:t>local</w:t>
      </w:r>
      <w:r w:rsidRPr="003737CD">
        <w:rPr>
          <w:color w:val="000000"/>
        </w:rPr>
        <w:t xml:space="preserve"> </w:t>
      </w:r>
      <w:r>
        <w:rPr>
          <w:color w:val="000000"/>
        </w:rPr>
        <w:t>income</w:t>
      </w:r>
      <w:r w:rsidRPr="003737CD">
        <w:rPr>
          <w:color w:val="000000"/>
        </w:rPr>
        <w:t xml:space="preserve"> taxes on fiscal disparities we plotted the fiscal disparity index </w:t>
      </w:r>
      <w:r>
        <w:rPr>
          <w:color w:val="000000"/>
        </w:rPr>
        <w:t>and per capita tax revenue for three taxes, the AGI Tax, the Payroll Tax, and the Split Earnings Tax, see Figures 10, 11</w:t>
      </w:r>
      <w:r w:rsidR="00512704">
        <w:rPr>
          <w:color w:val="000000"/>
        </w:rPr>
        <w:t>,</w:t>
      </w:r>
      <w:r>
        <w:rPr>
          <w:color w:val="000000"/>
        </w:rPr>
        <w:t xml:space="preserve"> and 12. Recall that a negative value of the index implies fiscal health. </w:t>
      </w:r>
      <w:r w:rsidRPr="003737CD">
        <w:rPr>
          <w:color w:val="000000"/>
        </w:rPr>
        <w:t>As can be seen</w:t>
      </w:r>
      <w:r>
        <w:rPr>
          <w:color w:val="000000"/>
        </w:rPr>
        <w:t>, tax revenue per capita</w:t>
      </w:r>
      <w:r w:rsidRPr="003737CD">
        <w:rPr>
          <w:color w:val="000000"/>
        </w:rPr>
        <w:t xml:space="preserve"> </w:t>
      </w:r>
      <w:r>
        <w:rPr>
          <w:color w:val="000000"/>
        </w:rPr>
        <w:t>is generally larger for towns with better fiscal health. This is particularly true for the AGI tax and the Split Earnings Tax</w:t>
      </w:r>
      <w:r w:rsidR="00355E7D">
        <w:rPr>
          <w:color w:val="000000"/>
        </w:rPr>
        <w:t>, for which where the correlation coefficients are -0.83 and -0.41</w:t>
      </w:r>
      <w:r>
        <w:rPr>
          <w:color w:val="000000"/>
        </w:rPr>
        <w:t xml:space="preserve">. The pattern for the payroll tax is not as clear, but </w:t>
      </w:r>
      <w:r w:rsidR="00355E7D">
        <w:rPr>
          <w:color w:val="000000"/>
        </w:rPr>
        <w:t xml:space="preserve">the correlation coefficient of </w:t>
      </w:r>
      <w:r w:rsidR="00096098">
        <w:rPr>
          <w:color w:val="000000"/>
        </w:rPr>
        <w:t>-0.17</w:t>
      </w:r>
      <w:r>
        <w:rPr>
          <w:color w:val="000000"/>
        </w:rPr>
        <w:t xml:space="preserve"> suggests that larger per capita revenue is associated with towns that have greater fiscal health. Thus, the adoption of local income taxes will not</w:t>
      </w:r>
      <w:r w:rsidR="00096098">
        <w:rPr>
          <w:color w:val="000000"/>
        </w:rPr>
        <w:t xml:space="preserve"> in general</w:t>
      </w:r>
      <w:r>
        <w:rPr>
          <w:color w:val="000000"/>
        </w:rPr>
        <w:t xml:space="preserve"> offset existing fiscal disparities.</w:t>
      </w:r>
    </w:p>
    <w:p w14:paraId="39F5DD62" w14:textId="77777777" w:rsidR="00A65845" w:rsidRDefault="00A65845" w:rsidP="00D422A0">
      <w:pPr>
        <w:spacing w:after="0" w:line="360" w:lineRule="auto"/>
        <w:ind w:firstLine="720"/>
        <w:rPr>
          <w:bCs/>
        </w:rPr>
      </w:pPr>
    </w:p>
    <w:p w14:paraId="1623993B" w14:textId="09D3AEAD" w:rsidR="003417FE" w:rsidRDefault="001D3B99" w:rsidP="001D3B99">
      <w:pPr>
        <w:spacing w:after="0" w:line="360" w:lineRule="auto"/>
        <w:rPr>
          <w:bCs/>
        </w:rPr>
      </w:pPr>
      <w:bookmarkStart w:id="106" w:name="_Toc433373711"/>
      <w:r w:rsidRPr="001D3B99">
        <w:rPr>
          <w:rStyle w:val="Heading5Char"/>
        </w:rPr>
        <w:t>Figure 9. Earnings and Net Profits as a Percentage of AGI, FY 2012</w:t>
      </w:r>
      <w:bookmarkEnd w:id="106"/>
      <w:r w:rsidR="003417FE">
        <w:rPr>
          <w:noProof/>
          <w:lang w:bidi="ar-SA"/>
        </w:rPr>
        <w:drawing>
          <wp:inline distT="0" distB="0" distL="0" distR="0" wp14:anchorId="003E86AD" wp14:editId="2A2C571A">
            <wp:extent cx="5524500" cy="302514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BA1920" w14:textId="4B628978" w:rsidR="003417FE" w:rsidRDefault="003417FE" w:rsidP="00D422A0">
      <w:pPr>
        <w:spacing w:after="0" w:line="360" w:lineRule="auto"/>
        <w:ind w:firstLine="720"/>
        <w:rPr>
          <w:bCs/>
        </w:rPr>
      </w:pPr>
      <w:r>
        <w:rPr>
          <w:bCs/>
        </w:rPr>
        <w:t xml:space="preserve">Source: </w:t>
      </w:r>
      <w:r w:rsidRPr="00733D54">
        <w:rPr>
          <w:bCs/>
          <w:i/>
        </w:rPr>
        <w:t>Statistic</w:t>
      </w:r>
      <w:r w:rsidR="00733D54" w:rsidRPr="00733D54">
        <w:rPr>
          <w:bCs/>
          <w:i/>
        </w:rPr>
        <w:t>s</w:t>
      </w:r>
      <w:r w:rsidRPr="00733D54">
        <w:rPr>
          <w:bCs/>
          <w:i/>
        </w:rPr>
        <w:t xml:space="preserve"> of Income</w:t>
      </w:r>
      <w:r>
        <w:rPr>
          <w:bCs/>
        </w:rPr>
        <w:t>, IRS</w:t>
      </w:r>
    </w:p>
    <w:p w14:paraId="055FDFFB" w14:textId="77777777" w:rsidR="00181ACD" w:rsidRPr="00710363" w:rsidRDefault="00181ACD" w:rsidP="00D422A0">
      <w:pPr>
        <w:spacing w:after="0" w:line="360" w:lineRule="auto"/>
        <w:ind w:firstLine="720"/>
        <w:rPr>
          <w:bCs/>
        </w:rPr>
      </w:pPr>
    </w:p>
    <w:p w14:paraId="1DBCEAD7" w14:textId="5C95F638" w:rsidR="001D3B99" w:rsidRPr="001D3B99" w:rsidRDefault="001D3B99" w:rsidP="001D3B99">
      <w:pPr>
        <w:pStyle w:val="Heading5"/>
        <w:ind w:firstLine="360"/>
      </w:pPr>
      <w:bookmarkStart w:id="107" w:name="_Toc433373712"/>
      <w:r w:rsidRPr="001D3B99">
        <w:lastRenderedPageBreak/>
        <w:t xml:space="preserve">Figure 10. AGI Tax and Fiscal </w:t>
      </w:r>
      <w:r w:rsidR="00355E7D">
        <w:t>Disparities</w:t>
      </w:r>
      <w:bookmarkEnd w:id="107"/>
    </w:p>
    <w:p w14:paraId="6C650BB1" w14:textId="17046776" w:rsidR="002A37D3" w:rsidRDefault="002A37D3" w:rsidP="00D422A0">
      <w:pPr>
        <w:pStyle w:val="ListParagraph"/>
        <w:spacing w:after="0" w:line="360" w:lineRule="auto"/>
        <w:ind w:left="360"/>
        <w:rPr>
          <w:b/>
          <w:color w:val="000000"/>
        </w:rPr>
      </w:pPr>
      <w:r>
        <w:rPr>
          <w:noProof/>
          <w:lang w:bidi="ar-SA"/>
        </w:rPr>
        <w:drawing>
          <wp:inline distT="0" distB="0" distL="0" distR="0" wp14:anchorId="1F01C70D" wp14:editId="137AC96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94C0B7" w14:textId="77777777" w:rsidR="004F008B" w:rsidRDefault="004F008B" w:rsidP="00D422A0">
      <w:pPr>
        <w:pStyle w:val="ListParagraph"/>
        <w:spacing w:after="0" w:line="360" w:lineRule="auto"/>
        <w:ind w:left="360"/>
        <w:rPr>
          <w:b/>
          <w:color w:val="000000"/>
        </w:rPr>
      </w:pPr>
    </w:p>
    <w:p w14:paraId="24EEE118" w14:textId="77777777" w:rsidR="00FC7F94" w:rsidRDefault="00FC7F94" w:rsidP="00D422A0">
      <w:pPr>
        <w:pStyle w:val="ListParagraph"/>
        <w:spacing w:after="0" w:line="360" w:lineRule="auto"/>
        <w:ind w:left="360"/>
        <w:rPr>
          <w:b/>
          <w:color w:val="000000"/>
        </w:rPr>
      </w:pPr>
    </w:p>
    <w:p w14:paraId="2DDAE8BD" w14:textId="1B4DF83B" w:rsidR="001D3B99" w:rsidRDefault="001D3B99" w:rsidP="001D3B99">
      <w:pPr>
        <w:pStyle w:val="Heading5"/>
        <w:ind w:firstLine="360"/>
      </w:pPr>
      <w:bookmarkStart w:id="108" w:name="_Toc433373713"/>
      <w:r>
        <w:t>Figure 11. Payroll Tax and Fiscal</w:t>
      </w:r>
      <w:r w:rsidR="00355E7D">
        <w:t xml:space="preserve"> Disparities</w:t>
      </w:r>
      <w:bookmarkEnd w:id="108"/>
    </w:p>
    <w:p w14:paraId="41B1D76A" w14:textId="3EDB52CC" w:rsidR="004F008B" w:rsidRDefault="004F008B" w:rsidP="00D422A0">
      <w:pPr>
        <w:pStyle w:val="ListParagraph"/>
        <w:spacing w:after="0" w:line="360" w:lineRule="auto"/>
        <w:ind w:left="360"/>
        <w:rPr>
          <w:b/>
          <w:color w:val="000000"/>
        </w:rPr>
      </w:pPr>
      <w:r>
        <w:rPr>
          <w:noProof/>
          <w:lang w:bidi="ar-SA"/>
        </w:rPr>
        <w:drawing>
          <wp:inline distT="0" distB="0" distL="0" distR="0" wp14:anchorId="7F0439EB" wp14:editId="2A8261C5">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49C63C" w14:textId="77777777" w:rsidR="00181ACD" w:rsidRDefault="00181ACD" w:rsidP="00D422A0">
      <w:pPr>
        <w:pStyle w:val="ListParagraph"/>
        <w:spacing w:after="0" w:line="360" w:lineRule="auto"/>
        <w:ind w:left="360"/>
        <w:rPr>
          <w:b/>
          <w:color w:val="000000"/>
        </w:rPr>
      </w:pPr>
    </w:p>
    <w:p w14:paraId="2146C989" w14:textId="77777777" w:rsidR="00181ACD" w:rsidRDefault="00181ACD" w:rsidP="00D422A0">
      <w:pPr>
        <w:pStyle w:val="ListParagraph"/>
        <w:spacing w:after="0" w:line="360" w:lineRule="auto"/>
        <w:ind w:left="360"/>
        <w:rPr>
          <w:b/>
          <w:color w:val="000000"/>
        </w:rPr>
      </w:pPr>
    </w:p>
    <w:p w14:paraId="33AE492A" w14:textId="77777777" w:rsidR="00181ACD" w:rsidRDefault="00181ACD" w:rsidP="00D422A0">
      <w:pPr>
        <w:pStyle w:val="ListParagraph"/>
        <w:spacing w:after="0" w:line="360" w:lineRule="auto"/>
        <w:ind w:left="360"/>
        <w:rPr>
          <w:b/>
          <w:color w:val="000000"/>
        </w:rPr>
      </w:pPr>
    </w:p>
    <w:p w14:paraId="4039932B" w14:textId="77777777" w:rsidR="00181ACD" w:rsidRDefault="00181ACD" w:rsidP="00D422A0">
      <w:pPr>
        <w:pStyle w:val="ListParagraph"/>
        <w:spacing w:after="0" w:line="360" w:lineRule="auto"/>
        <w:ind w:left="360"/>
        <w:rPr>
          <w:b/>
          <w:color w:val="000000"/>
        </w:rPr>
      </w:pPr>
    </w:p>
    <w:p w14:paraId="7BCFBA53" w14:textId="77777777" w:rsidR="00181ACD" w:rsidRDefault="00181ACD" w:rsidP="00D422A0">
      <w:pPr>
        <w:pStyle w:val="ListParagraph"/>
        <w:spacing w:after="0" w:line="360" w:lineRule="auto"/>
        <w:ind w:left="360"/>
        <w:rPr>
          <w:b/>
          <w:color w:val="000000"/>
        </w:rPr>
      </w:pPr>
    </w:p>
    <w:p w14:paraId="5E4ED444" w14:textId="5F8E3EEF" w:rsidR="001D3B99" w:rsidRDefault="001D3B99" w:rsidP="001D3B99">
      <w:pPr>
        <w:pStyle w:val="Heading5"/>
        <w:ind w:firstLine="360"/>
        <w:rPr>
          <w:b w:val="0"/>
          <w:color w:val="000000"/>
        </w:rPr>
      </w:pPr>
      <w:bookmarkStart w:id="109" w:name="_Toc433373714"/>
      <w:r>
        <w:lastRenderedPageBreak/>
        <w:t xml:space="preserve">Figure 12. Split Earnings Tax and Fiscal </w:t>
      </w:r>
      <w:r w:rsidR="00355E7D">
        <w:t>Disparities</w:t>
      </w:r>
      <w:bookmarkEnd w:id="109"/>
    </w:p>
    <w:p w14:paraId="5F80C839" w14:textId="0E811B81" w:rsidR="004F008B" w:rsidRDefault="00F241E3" w:rsidP="00D422A0">
      <w:pPr>
        <w:pStyle w:val="ListParagraph"/>
        <w:spacing w:after="0" w:line="360" w:lineRule="auto"/>
        <w:ind w:left="360"/>
        <w:rPr>
          <w:b/>
          <w:color w:val="000000"/>
        </w:rPr>
      </w:pPr>
      <w:r>
        <w:rPr>
          <w:noProof/>
          <w:lang w:bidi="ar-SA"/>
        </w:rPr>
        <w:drawing>
          <wp:inline distT="0" distB="0" distL="0" distR="0" wp14:anchorId="5D1358A7" wp14:editId="58988F9A">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0DA40AF" w14:textId="77777777" w:rsidR="00AA24CC" w:rsidRDefault="00AA24CC" w:rsidP="00AA24CC">
      <w:pPr>
        <w:spacing w:after="0" w:line="360" w:lineRule="auto"/>
        <w:rPr>
          <w:b/>
          <w:color w:val="000000"/>
        </w:rPr>
      </w:pPr>
    </w:p>
    <w:p w14:paraId="18EA435F" w14:textId="4695ECA4" w:rsidR="00DB612A" w:rsidRPr="00AA24CC" w:rsidRDefault="00AA24CC" w:rsidP="00AA24CC">
      <w:pPr>
        <w:spacing w:after="0" w:line="360" w:lineRule="auto"/>
        <w:rPr>
          <w:color w:val="000000"/>
        </w:rPr>
      </w:pPr>
      <w:r>
        <w:rPr>
          <w:b/>
          <w:color w:val="000000"/>
        </w:rPr>
        <w:tab/>
      </w:r>
      <w:r w:rsidRPr="00AA24CC">
        <w:rPr>
          <w:color w:val="000000"/>
        </w:rPr>
        <w:t>We also</w:t>
      </w:r>
      <w:r>
        <w:rPr>
          <w:color w:val="000000"/>
        </w:rPr>
        <w:t xml:space="preserve"> considered the relationship between the various income tax bases per capita and the property tax base per capita. </w:t>
      </w:r>
      <w:r w:rsidR="00DB612A">
        <w:rPr>
          <w:color w:val="000000"/>
        </w:rPr>
        <w:t xml:space="preserve">The correlations between property tax base per capita and the </w:t>
      </w:r>
      <w:r>
        <w:rPr>
          <w:color w:val="000000"/>
        </w:rPr>
        <w:t>AGI</w:t>
      </w:r>
      <w:r w:rsidR="00DB612A">
        <w:rPr>
          <w:color w:val="000000"/>
        </w:rPr>
        <w:t xml:space="preserve"> </w:t>
      </w:r>
      <w:r w:rsidR="00FC7F94">
        <w:rPr>
          <w:color w:val="000000"/>
        </w:rPr>
        <w:t xml:space="preserve">Tax </w:t>
      </w:r>
      <w:r w:rsidR="00DB612A">
        <w:rPr>
          <w:color w:val="000000"/>
        </w:rPr>
        <w:t xml:space="preserve">and </w:t>
      </w:r>
      <w:r w:rsidR="00FC7F94">
        <w:rPr>
          <w:color w:val="000000"/>
        </w:rPr>
        <w:t>Income Surt</w:t>
      </w:r>
      <w:r>
        <w:rPr>
          <w:color w:val="000000"/>
        </w:rPr>
        <w:t xml:space="preserve">ax </w:t>
      </w:r>
      <w:r w:rsidR="00DB612A">
        <w:rPr>
          <w:color w:val="000000"/>
        </w:rPr>
        <w:t>bases are 0.67 and 0.65</w:t>
      </w:r>
      <w:r>
        <w:rPr>
          <w:color w:val="000000"/>
        </w:rPr>
        <w:t xml:space="preserve">, </w:t>
      </w:r>
      <w:r w:rsidR="00DB612A">
        <w:rPr>
          <w:color w:val="000000"/>
        </w:rPr>
        <w:t>respectively, while the</w:t>
      </w:r>
      <w:r>
        <w:rPr>
          <w:color w:val="000000"/>
        </w:rPr>
        <w:t xml:space="preserve"> correlation </w:t>
      </w:r>
      <w:r w:rsidR="00DB612A">
        <w:rPr>
          <w:color w:val="000000"/>
        </w:rPr>
        <w:t xml:space="preserve">with the Payroll Tax base per capita is 0.26. These correlations are consistent with the relationship between the taxes and the </w:t>
      </w:r>
      <w:r w:rsidR="00FC7F94">
        <w:rPr>
          <w:color w:val="000000"/>
        </w:rPr>
        <w:t xml:space="preserve">index of </w:t>
      </w:r>
      <w:r w:rsidR="00DB612A">
        <w:rPr>
          <w:color w:val="000000"/>
        </w:rPr>
        <w:t xml:space="preserve">fiscal </w:t>
      </w:r>
      <w:r w:rsidR="00FC7F94">
        <w:rPr>
          <w:color w:val="000000"/>
        </w:rPr>
        <w:t>disparities</w:t>
      </w:r>
      <w:r w:rsidR="00512704">
        <w:rPr>
          <w:color w:val="000000"/>
        </w:rPr>
        <w:t>, that is, the income taxes will not, in general, reduce the level of fiscal disparity</w:t>
      </w:r>
      <w:r w:rsidR="00DB612A">
        <w:rPr>
          <w:color w:val="000000"/>
        </w:rPr>
        <w:t>.</w:t>
      </w:r>
    </w:p>
    <w:p w14:paraId="1C34A1CF" w14:textId="05F1C7D0" w:rsidR="005D700F" w:rsidRPr="00813BF8" w:rsidRDefault="00DE60F7" w:rsidP="00EF1C56">
      <w:pPr>
        <w:pStyle w:val="Heading2"/>
      </w:pPr>
      <w:bookmarkStart w:id="110" w:name="_Toc433373675"/>
      <w:r w:rsidRPr="00813BF8">
        <w:t xml:space="preserve">Summary </w:t>
      </w:r>
      <w:r w:rsidR="005D700F" w:rsidRPr="00813BF8">
        <w:t>Discussion Regarding Adopting a Local Income Tax</w:t>
      </w:r>
      <w:bookmarkEnd w:id="110"/>
      <w:r w:rsidR="005D700F" w:rsidRPr="00813BF8">
        <w:t xml:space="preserve"> </w:t>
      </w:r>
    </w:p>
    <w:p w14:paraId="65FA6531" w14:textId="77777777" w:rsidR="00DE60F7" w:rsidRDefault="005D700F" w:rsidP="00D422A0">
      <w:pPr>
        <w:spacing w:after="0" w:line="360" w:lineRule="auto"/>
        <w:ind w:firstLine="360"/>
        <w:rPr>
          <w:color w:val="000000"/>
        </w:rPr>
      </w:pPr>
      <w:r w:rsidRPr="00DE60F7">
        <w:rPr>
          <w:color w:val="000000"/>
        </w:rPr>
        <w:t xml:space="preserve">The </w:t>
      </w:r>
      <w:r w:rsidR="00DE60F7" w:rsidRPr="00DE60F7">
        <w:rPr>
          <w:color w:val="000000"/>
        </w:rPr>
        <w:t xml:space="preserve">following are relevant points in considering the adoption of local income taxes. </w:t>
      </w:r>
    </w:p>
    <w:p w14:paraId="0E33E976" w14:textId="696390DC" w:rsidR="00DE60F7" w:rsidRDefault="00DE60F7" w:rsidP="00D422A0">
      <w:pPr>
        <w:pStyle w:val="ListParagraph"/>
        <w:numPr>
          <w:ilvl w:val="0"/>
          <w:numId w:val="3"/>
        </w:numPr>
        <w:spacing w:after="0" w:line="360" w:lineRule="auto"/>
        <w:rPr>
          <w:color w:val="000000"/>
        </w:rPr>
      </w:pPr>
      <w:r>
        <w:rPr>
          <w:color w:val="000000"/>
        </w:rPr>
        <w:t xml:space="preserve">The </w:t>
      </w:r>
      <w:r w:rsidR="005D700F" w:rsidRPr="00DE60F7">
        <w:rPr>
          <w:color w:val="000000"/>
        </w:rPr>
        <w:t xml:space="preserve">principal reasons for adopting </w:t>
      </w:r>
      <w:r w:rsidR="00813BF8">
        <w:rPr>
          <w:color w:val="000000"/>
        </w:rPr>
        <w:t xml:space="preserve">a </w:t>
      </w:r>
      <w:r w:rsidR="005D700F" w:rsidRPr="00DE60F7">
        <w:rPr>
          <w:color w:val="000000"/>
        </w:rPr>
        <w:t xml:space="preserve">local </w:t>
      </w:r>
      <w:r w:rsidR="00FF23F5" w:rsidRPr="00DE60F7">
        <w:rPr>
          <w:color w:val="000000"/>
        </w:rPr>
        <w:t>income</w:t>
      </w:r>
      <w:r w:rsidR="005D700F" w:rsidRPr="00DE60F7">
        <w:rPr>
          <w:color w:val="000000"/>
        </w:rPr>
        <w:t xml:space="preserve"> tax is that </w:t>
      </w:r>
      <w:r w:rsidR="00813BF8">
        <w:rPr>
          <w:color w:val="000000"/>
        </w:rPr>
        <w:t>it will</w:t>
      </w:r>
      <w:r w:rsidR="005D700F" w:rsidRPr="00DE60F7">
        <w:rPr>
          <w:color w:val="000000"/>
        </w:rPr>
        <w:t xml:space="preserve"> diversity the local revenue structure and </w:t>
      </w:r>
      <w:r w:rsidR="00512704">
        <w:rPr>
          <w:color w:val="000000"/>
        </w:rPr>
        <w:t xml:space="preserve">the revenue </w:t>
      </w:r>
      <w:r w:rsidR="005D700F" w:rsidRPr="00DE60F7">
        <w:rPr>
          <w:color w:val="000000"/>
        </w:rPr>
        <w:t>can</w:t>
      </w:r>
      <w:r w:rsidR="00512704">
        <w:rPr>
          <w:color w:val="000000"/>
        </w:rPr>
        <w:t xml:space="preserve"> be used to</w:t>
      </w:r>
      <w:r w:rsidR="005D700F" w:rsidRPr="00DE60F7">
        <w:rPr>
          <w:color w:val="000000"/>
        </w:rPr>
        <w:t xml:space="preserve"> reduce the property tax burden. </w:t>
      </w:r>
    </w:p>
    <w:p w14:paraId="0D14DF13" w14:textId="0FC78AA0" w:rsidR="00DE60F7" w:rsidRDefault="001E6F0E" w:rsidP="00D422A0">
      <w:pPr>
        <w:pStyle w:val="ListParagraph"/>
        <w:numPr>
          <w:ilvl w:val="0"/>
          <w:numId w:val="3"/>
        </w:numPr>
        <w:spacing w:after="0" w:line="360" w:lineRule="auto"/>
        <w:rPr>
          <w:color w:val="000000"/>
        </w:rPr>
      </w:pPr>
      <w:r>
        <w:rPr>
          <w:color w:val="000000"/>
        </w:rPr>
        <w:t>Given the estimated income tax revenue,</w:t>
      </w:r>
      <w:r w:rsidR="00FF23F5" w:rsidRPr="00DE60F7">
        <w:rPr>
          <w:color w:val="000000"/>
        </w:rPr>
        <w:t xml:space="preserve"> a</w:t>
      </w:r>
      <w:r w:rsidR="005D700F" w:rsidRPr="00DE60F7">
        <w:rPr>
          <w:color w:val="000000"/>
        </w:rPr>
        <w:t xml:space="preserve"> local </w:t>
      </w:r>
      <w:r w:rsidR="00FF23F5" w:rsidRPr="00DE60F7">
        <w:rPr>
          <w:color w:val="000000"/>
        </w:rPr>
        <w:t>income</w:t>
      </w:r>
      <w:r w:rsidR="005D700F" w:rsidRPr="00DE60F7">
        <w:rPr>
          <w:color w:val="000000"/>
        </w:rPr>
        <w:t xml:space="preserve"> tax, if adopted </w:t>
      </w:r>
      <w:r w:rsidR="00B702CE">
        <w:rPr>
          <w:color w:val="000000"/>
        </w:rPr>
        <w:t>by all towns</w:t>
      </w:r>
      <w:r w:rsidR="005D700F" w:rsidRPr="00DE60F7">
        <w:rPr>
          <w:color w:val="000000"/>
        </w:rPr>
        <w:t xml:space="preserve"> and used just for property tax relief, could reduce property taxes by about </w:t>
      </w:r>
      <w:r w:rsidR="00FA376D">
        <w:rPr>
          <w:color w:val="000000"/>
        </w:rPr>
        <w:t xml:space="preserve">11.5 </w:t>
      </w:r>
      <w:r w:rsidR="005D700F" w:rsidRPr="00DE60F7">
        <w:rPr>
          <w:color w:val="000000"/>
        </w:rPr>
        <w:t xml:space="preserve">percent. </w:t>
      </w:r>
      <w:r w:rsidR="00FA376D">
        <w:rPr>
          <w:color w:val="000000"/>
        </w:rPr>
        <w:t>However, there are large difference between towns in the potential for reducing property taxes, and the differences depend on which income tax is adopted.</w:t>
      </w:r>
    </w:p>
    <w:p w14:paraId="00DBC695" w14:textId="7454B373" w:rsidR="00DE60F7" w:rsidRDefault="00944992" w:rsidP="00D422A0">
      <w:pPr>
        <w:pStyle w:val="ListParagraph"/>
        <w:numPr>
          <w:ilvl w:val="0"/>
          <w:numId w:val="3"/>
        </w:numPr>
        <w:spacing w:after="0" w:line="360" w:lineRule="auto"/>
        <w:rPr>
          <w:color w:val="000000"/>
        </w:rPr>
      </w:pPr>
      <w:r w:rsidRPr="00DE60F7">
        <w:rPr>
          <w:color w:val="000000"/>
        </w:rPr>
        <w:t>The cost of administration and compliance</w:t>
      </w:r>
      <w:r w:rsidR="001E6F0E">
        <w:rPr>
          <w:color w:val="000000"/>
        </w:rPr>
        <w:t>, assuming state administration,</w:t>
      </w:r>
      <w:r w:rsidRPr="00DE60F7">
        <w:rPr>
          <w:color w:val="000000"/>
        </w:rPr>
        <w:t xml:space="preserve"> would be small for </w:t>
      </w:r>
      <w:r w:rsidR="005C6CC4" w:rsidRPr="00DE60F7">
        <w:rPr>
          <w:color w:val="000000"/>
        </w:rPr>
        <w:t>a local income tax that is based on state AGI or s</w:t>
      </w:r>
      <w:r w:rsidRPr="00DE60F7">
        <w:rPr>
          <w:color w:val="000000"/>
        </w:rPr>
        <w:t>tate tax liability</w:t>
      </w:r>
      <w:r w:rsidR="005D700F" w:rsidRPr="00DE60F7">
        <w:rPr>
          <w:color w:val="000000"/>
        </w:rPr>
        <w:t>.</w:t>
      </w:r>
      <w:r w:rsidRPr="00DE60F7">
        <w:rPr>
          <w:color w:val="000000"/>
        </w:rPr>
        <w:t xml:space="preserve"> The administrative cost</w:t>
      </w:r>
      <w:r w:rsidR="005D700F" w:rsidRPr="00DE60F7">
        <w:rPr>
          <w:color w:val="000000"/>
        </w:rPr>
        <w:t xml:space="preserve"> </w:t>
      </w:r>
      <w:r w:rsidRPr="00DE60F7">
        <w:rPr>
          <w:color w:val="000000"/>
        </w:rPr>
        <w:t>for an earned income tax administrated by each town will be large</w:t>
      </w:r>
      <w:r w:rsidR="001E6F0E">
        <w:rPr>
          <w:color w:val="000000"/>
        </w:rPr>
        <w:t xml:space="preserve"> and would </w:t>
      </w:r>
      <w:r w:rsidRPr="00DE60F7">
        <w:rPr>
          <w:color w:val="000000"/>
        </w:rPr>
        <w:t>require significant administrative capabilities.</w:t>
      </w:r>
      <w:r w:rsidR="0073042B">
        <w:rPr>
          <w:color w:val="000000"/>
        </w:rPr>
        <w:t xml:space="preserve"> </w:t>
      </w:r>
      <w:r w:rsidRPr="00DE60F7">
        <w:rPr>
          <w:color w:val="000000"/>
        </w:rPr>
        <w:t xml:space="preserve">Given the size of many of the towns </w:t>
      </w:r>
      <w:r w:rsidRPr="00DE60F7">
        <w:rPr>
          <w:color w:val="000000"/>
        </w:rPr>
        <w:lastRenderedPageBreak/>
        <w:t xml:space="preserve">in Connecticut, we suspect that administrating such a tax </w:t>
      </w:r>
      <w:r w:rsidR="001E6F0E">
        <w:rPr>
          <w:color w:val="000000"/>
        </w:rPr>
        <w:t xml:space="preserve">for many towns </w:t>
      </w:r>
      <w:r w:rsidRPr="00DE60F7">
        <w:rPr>
          <w:color w:val="000000"/>
        </w:rPr>
        <w:t xml:space="preserve">would be a challenge. </w:t>
      </w:r>
      <w:r w:rsidR="00B702CE">
        <w:rPr>
          <w:color w:val="000000"/>
        </w:rPr>
        <w:t>Regional administration of an earnings tax would overcome some of the administrative issues associated with the administration by town.</w:t>
      </w:r>
    </w:p>
    <w:p w14:paraId="5153909A" w14:textId="1BAAC782" w:rsidR="00DE60F7" w:rsidRDefault="00FF23F5" w:rsidP="00D422A0">
      <w:pPr>
        <w:pStyle w:val="ListParagraph"/>
        <w:numPr>
          <w:ilvl w:val="0"/>
          <w:numId w:val="3"/>
        </w:numPr>
        <w:spacing w:after="0" w:line="360" w:lineRule="auto"/>
        <w:rPr>
          <w:color w:val="000000"/>
        </w:rPr>
      </w:pPr>
      <w:r w:rsidRPr="00DE60F7">
        <w:rPr>
          <w:color w:val="000000"/>
        </w:rPr>
        <w:t xml:space="preserve">If the tax is based on </w:t>
      </w:r>
      <w:r w:rsidR="00FA376D">
        <w:rPr>
          <w:color w:val="000000"/>
        </w:rPr>
        <w:t>payroll</w:t>
      </w:r>
      <w:r w:rsidRPr="00DE60F7">
        <w:rPr>
          <w:color w:val="000000"/>
        </w:rPr>
        <w:t>, the tax wou</w:t>
      </w:r>
      <w:r w:rsidR="005D700F" w:rsidRPr="00DE60F7">
        <w:rPr>
          <w:color w:val="000000"/>
        </w:rPr>
        <w:t>ld generate tax revenue from commuters, and thus offset some of the service costs associated with commuters and visitors.</w:t>
      </w:r>
      <w:r w:rsidR="0073042B">
        <w:rPr>
          <w:color w:val="000000"/>
        </w:rPr>
        <w:t xml:space="preserve"> </w:t>
      </w:r>
    </w:p>
    <w:p w14:paraId="4A059623" w14:textId="78B882DA" w:rsidR="00DE60F7" w:rsidRDefault="00FF23F5" w:rsidP="00D422A0">
      <w:pPr>
        <w:pStyle w:val="ListParagraph"/>
        <w:numPr>
          <w:ilvl w:val="0"/>
          <w:numId w:val="3"/>
        </w:numPr>
        <w:spacing w:after="0" w:line="360" w:lineRule="auto"/>
        <w:rPr>
          <w:color w:val="000000"/>
        </w:rPr>
      </w:pPr>
      <w:r w:rsidRPr="00DE60F7">
        <w:rPr>
          <w:color w:val="000000"/>
        </w:rPr>
        <w:t>Income</w:t>
      </w:r>
      <w:r w:rsidR="005D700F" w:rsidRPr="00DE60F7">
        <w:rPr>
          <w:color w:val="000000"/>
        </w:rPr>
        <w:t xml:space="preserve"> tax revenue per c</w:t>
      </w:r>
      <w:r w:rsidR="00FA376D">
        <w:rPr>
          <w:color w:val="000000"/>
        </w:rPr>
        <w:t>apita var</w:t>
      </w:r>
      <w:r w:rsidR="00512704">
        <w:rPr>
          <w:color w:val="000000"/>
        </w:rPr>
        <w:t>ies</w:t>
      </w:r>
      <w:r w:rsidR="00FA376D">
        <w:rPr>
          <w:color w:val="000000"/>
        </w:rPr>
        <w:t xml:space="preserve"> widely across towns, with the difference depending on which tax is adopted.</w:t>
      </w:r>
    </w:p>
    <w:p w14:paraId="44F3CCBE" w14:textId="5980EA0B" w:rsidR="00DE60F7" w:rsidRDefault="005D700F" w:rsidP="00D422A0">
      <w:pPr>
        <w:pStyle w:val="ListParagraph"/>
        <w:numPr>
          <w:ilvl w:val="0"/>
          <w:numId w:val="3"/>
        </w:numPr>
        <w:spacing w:after="0" w:line="360" w:lineRule="auto"/>
        <w:rPr>
          <w:color w:val="000000"/>
        </w:rPr>
      </w:pPr>
      <w:r w:rsidRPr="00DE60F7">
        <w:rPr>
          <w:color w:val="000000"/>
        </w:rPr>
        <w:t xml:space="preserve">Estimated </w:t>
      </w:r>
      <w:r w:rsidR="00944992" w:rsidRPr="00DE60F7">
        <w:rPr>
          <w:color w:val="000000"/>
        </w:rPr>
        <w:t>income</w:t>
      </w:r>
      <w:r w:rsidRPr="00DE60F7">
        <w:rPr>
          <w:color w:val="000000"/>
        </w:rPr>
        <w:t xml:space="preserve"> tax revenue per capita </w:t>
      </w:r>
      <w:r w:rsidR="00FA376D">
        <w:rPr>
          <w:color w:val="000000"/>
        </w:rPr>
        <w:t xml:space="preserve">is </w:t>
      </w:r>
      <w:r w:rsidR="00813BF8">
        <w:rPr>
          <w:color w:val="000000"/>
        </w:rPr>
        <w:t xml:space="preserve">negatively </w:t>
      </w:r>
      <w:r w:rsidRPr="00DE60F7">
        <w:rPr>
          <w:color w:val="000000"/>
        </w:rPr>
        <w:t>correlated with a measu</w:t>
      </w:r>
      <w:r w:rsidR="00DA5C66">
        <w:rPr>
          <w:color w:val="000000"/>
        </w:rPr>
        <w:t xml:space="preserve">re of fiscal </w:t>
      </w:r>
      <w:r w:rsidR="00FF4666">
        <w:rPr>
          <w:color w:val="000000"/>
        </w:rPr>
        <w:t>disparity</w:t>
      </w:r>
      <w:r w:rsidRPr="00DE60F7">
        <w:rPr>
          <w:color w:val="000000"/>
        </w:rPr>
        <w:t>.</w:t>
      </w:r>
      <w:r w:rsidR="0073042B">
        <w:rPr>
          <w:color w:val="000000"/>
        </w:rPr>
        <w:t xml:space="preserve"> </w:t>
      </w:r>
      <w:r w:rsidR="00FA376D">
        <w:rPr>
          <w:color w:val="000000"/>
        </w:rPr>
        <w:t>This means that local income taxes will not reduce fiscal disparities.</w:t>
      </w:r>
    </w:p>
    <w:p w14:paraId="317440BE" w14:textId="77777777" w:rsidR="00FA376D" w:rsidRDefault="005D700F" w:rsidP="00D422A0">
      <w:pPr>
        <w:pStyle w:val="ListParagraph"/>
        <w:numPr>
          <w:ilvl w:val="0"/>
          <w:numId w:val="3"/>
        </w:numPr>
        <w:spacing w:after="0" w:line="360" w:lineRule="auto"/>
        <w:rPr>
          <w:color w:val="000000"/>
        </w:rPr>
      </w:pPr>
      <w:r w:rsidRPr="00DE60F7">
        <w:rPr>
          <w:color w:val="000000"/>
        </w:rPr>
        <w:t xml:space="preserve">The </w:t>
      </w:r>
      <w:r w:rsidR="00944992" w:rsidRPr="00DE60F7">
        <w:rPr>
          <w:color w:val="000000"/>
        </w:rPr>
        <w:t>income</w:t>
      </w:r>
      <w:r w:rsidRPr="00DE60F7">
        <w:rPr>
          <w:color w:val="000000"/>
        </w:rPr>
        <w:t xml:space="preserve"> tax </w:t>
      </w:r>
      <w:r w:rsidR="00944992" w:rsidRPr="00DE60F7">
        <w:rPr>
          <w:color w:val="000000"/>
        </w:rPr>
        <w:t xml:space="preserve">based on AGI or state tax liability </w:t>
      </w:r>
      <w:r w:rsidRPr="00DE60F7">
        <w:rPr>
          <w:color w:val="000000"/>
        </w:rPr>
        <w:t xml:space="preserve">is </w:t>
      </w:r>
      <w:r w:rsidR="00944992" w:rsidRPr="00DE60F7">
        <w:rPr>
          <w:color w:val="000000"/>
        </w:rPr>
        <w:t xml:space="preserve">progressive, while an earned income tax is less </w:t>
      </w:r>
      <w:r w:rsidRPr="00DE60F7">
        <w:rPr>
          <w:color w:val="000000"/>
        </w:rPr>
        <w:t>regressive than the property tax</w:t>
      </w:r>
      <w:r w:rsidR="00944992" w:rsidRPr="00DE60F7">
        <w:rPr>
          <w:color w:val="000000"/>
        </w:rPr>
        <w:t xml:space="preserve"> or a sales tax</w:t>
      </w:r>
      <w:r w:rsidRPr="00DE60F7">
        <w:rPr>
          <w:color w:val="000000"/>
        </w:rPr>
        <w:t xml:space="preserve">. </w:t>
      </w:r>
    </w:p>
    <w:p w14:paraId="30B75258" w14:textId="371DB550" w:rsidR="0040060F" w:rsidRPr="00FC7F94" w:rsidRDefault="00944992" w:rsidP="004C1BAF">
      <w:pPr>
        <w:pStyle w:val="ListParagraph"/>
        <w:numPr>
          <w:ilvl w:val="0"/>
          <w:numId w:val="3"/>
        </w:numPr>
        <w:spacing w:after="0" w:line="360" w:lineRule="auto"/>
        <w:rPr>
          <w:b/>
          <w:caps/>
        </w:rPr>
      </w:pPr>
      <w:r w:rsidRPr="00495617">
        <w:rPr>
          <w:color w:val="000000"/>
        </w:rPr>
        <w:t>An earned income tax</w:t>
      </w:r>
      <w:r w:rsidR="00FA376D" w:rsidRPr="00495617">
        <w:rPr>
          <w:color w:val="000000"/>
        </w:rPr>
        <w:t xml:space="preserve"> based on payroll</w:t>
      </w:r>
      <w:r w:rsidRPr="00495617">
        <w:rPr>
          <w:color w:val="000000"/>
        </w:rPr>
        <w:t xml:space="preserve"> is likely to be reduce employment </w:t>
      </w:r>
      <w:r w:rsidR="005909BD" w:rsidRPr="00495617">
        <w:rPr>
          <w:color w:val="000000"/>
        </w:rPr>
        <w:t xml:space="preserve">by a small amount </w:t>
      </w:r>
      <w:r w:rsidRPr="00495617">
        <w:rPr>
          <w:color w:val="000000"/>
        </w:rPr>
        <w:t xml:space="preserve">in any town that adopts </w:t>
      </w:r>
      <w:r w:rsidR="00775756" w:rsidRPr="00495617">
        <w:rPr>
          <w:color w:val="000000"/>
        </w:rPr>
        <w:t>it, particularly if neighboring towns do not adopt an earned income tax</w:t>
      </w:r>
      <w:r w:rsidR="005909BD" w:rsidRPr="00495617">
        <w:rPr>
          <w:color w:val="000000"/>
        </w:rPr>
        <w:t xml:space="preserve">. </w:t>
      </w:r>
    </w:p>
    <w:p w14:paraId="7A831161" w14:textId="351639E2" w:rsidR="005959A4" w:rsidRPr="009F624A" w:rsidRDefault="005959A4" w:rsidP="00835F98">
      <w:pPr>
        <w:pStyle w:val="Heading1"/>
      </w:pPr>
      <w:bookmarkStart w:id="111" w:name="_Toc433373676"/>
      <w:r w:rsidRPr="009F624A">
        <w:t>User Charges and Fees</w:t>
      </w:r>
      <w:bookmarkEnd w:id="111"/>
    </w:p>
    <w:p w14:paraId="432DA8C7" w14:textId="258C6776" w:rsidR="005959A4" w:rsidRPr="00813BF8" w:rsidRDefault="005959A4" w:rsidP="00835F98">
      <w:pPr>
        <w:pStyle w:val="Heading2"/>
      </w:pPr>
      <w:bookmarkStart w:id="112" w:name="_Toc433373677"/>
      <w:r w:rsidRPr="00813BF8">
        <w:t>Reliance on User Charges and Fees</w:t>
      </w:r>
      <w:bookmarkEnd w:id="112"/>
    </w:p>
    <w:p w14:paraId="7FA44855" w14:textId="208E1FF4" w:rsidR="00F341DB" w:rsidRDefault="00141924" w:rsidP="00D422A0">
      <w:pPr>
        <w:spacing w:after="0" w:line="360" w:lineRule="auto"/>
        <w:ind w:firstLine="720"/>
      </w:pPr>
      <w:r>
        <w:t xml:space="preserve">Table </w:t>
      </w:r>
      <w:r w:rsidR="00813BF8">
        <w:t>10</w:t>
      </w:r>
      <w:r>
        <w:t xml:space="preserve"> shows </w:t>
      </w:r>
      <w:r w:rsidR="00F341DB">
        <w:t xml:space="preserve">local government revenue from </w:t>
      </w:r>
      <w:r w:rsidRPr="00710363">
        <w:t xml:space="preserve">current charges </w:t>
      </w:r>
      <w:r w:rsidR="00F341DB">
        <w:t xml:space="preserve">as a share of OSR </w:t>
      </w:r>
      <w:r>
        <w:t xml:space="preserve">by </w:t>
      </w:r>
      <w:r w:rsidRPr="00710363">
        <w:t>state</w:t>
      </w:r>
      <w:r w:rsidR="00F341DB">
        <w:t>.</w:t>
      </w:r>
      <w:r w:rsidR="00744212">
        <w:rPr>
          <w:rStyle w:val="FootnoteReference"/>
        </w:rPr>
        <w:footnoteReference w:id="19"/>
      </w:r>
      <w:r w:rsidR="00F341DB">
        <w:t xml:space="preserve"> </w:t>
      </w:r>
      <w:r w:rsidR="00CF385E">
        <w:t>T</w:t>
      </w:r>
      <w:r>
        <w:t xml:space="preserve">he District of Columbia </w:t>
      </w:r>
      <w:r w:rsidR="00CF385E">
        <w:t xml:space="preserve">and Connecticut </w:t>
      </w:r>
      <w:r w:rsidRPr="00710363">
        <w:t xml:space="preserve">have the lowest share of </w:t>
      </w:r>
      <w:r w:rsidR="00F341DB">
        <w:t xml:space="preserve">current </w:t>
      </w:r>
      <w:r w:rsidRPr="00710363">
        <w:t>charges overall</w:t>
      </w:r>
      <w:r w:rsidR="00F341DB">
        <w:t xml:space="preserve"> at 8.</w:t>
      </w:r>
      <w:r w:rsidR="00FB48B3">
        <w:t>5</w:t>
      </w:r>
      <w:r w:rsidR="00CF385E">
        <w:t xml:space="preserve"> and 8.</w:t>
      </w:r>
      <w:r w:rsidR="00FB48B3">
        <w:t>6</w:t>
      </w:r>
      <w:r w:rsidR="00F341DB">
        <w:t xml:space="preserve"> percent,</w:t>
      </w:r>
      <w:r w:rsidR="00CF385E">
        <w:t xml:space="preserve"> respectively, </w:t>
      </w:r>
      <w:r w:rsidR="00F341DB">
        <w:t xml:space="preserve">while </w:t>
      </w:r>
      <w:r w:rsidR="00CF385E">
        <w:t xml:space="preserve">in </w:t>
      </w:r>
      <w:r w:rsidR="00F341DB">
        <w:t>Mississippi</w:t>
      </w:r>
      <w:r w:rsidRPr="00710363">
        <w:t xml:space="preserve"> </w:t>
      </w:r>
      <w:r w:rsidR="00744212">
        <w:t xml:space="preserve">current charges account for over </w:t>
      </w:r>
      <w:r w:rsidR="00CF385E">
        <w:t>50</w:t>
      </w:r>
      <w:r w:rsidR="00744212">
        <w:t xml:space="preserve"> percent of </w:t>
      </w:r>
      <w:r w:rsidR="00CF385E">
        <w:t>local</w:t>
      </w:r>
      <w:r w:rsidR="00744212">
        <w:t xml:space="preserve"> own source revenue. On average, local governments in the U.S. generate 2</w:t>
      </w:r>
      <w:r w:rsidR="00CF385E">
        <w:t>2.9</w:t>
      </w:r>
      <w:r w:rsidR="00744212">
        <w:t xml:space="preserve"> percent of their OSR from current charges. </w:t>
      </w:r>
      <w:r w:rsidR="00E97236">
        <w:t xml:space="preserve">It is worth noting that for </w:t>
      </w:r>
      <w:r w:rsidR="00E025FB">
        <w:t>more than</w:t>
      </w:r>
      <w:r w:rsidR="00E97236">
        <w:t xml:space="preserve"> half of the states</w:t>
      </w:r>
      <w:r w:rsidR="00DB48E2">
        <w:t>,</w:t>
      </w:r>
      <w:r w:rsidR="00E97236">
        <w:t xml:space="preserve"> current charges as a share of OSR ranges from 20 percent to 30 percent.</w:t>
      </w:r>
    </w:p>
    <w:p w14:paraId="70E78268" w14:textId="77777777" w:rsidR="00813BF8" w:rsidRDefault="00813BF8" w:rsidP="00D422A0">
      <w:pPr>
        <w:spacing w:after="0" w:line="360" w:lineRule="auto"/>
        <w:ind w:firstLine="720"/>
      </w:pPr>
    </w:p>
    <w:p w14:paraId="7338458B" w14:textId="1077DCC2" w:rsidR="002F5F09" w:rsidRPr="00744212" w:rsidRDefault="00744212" w:rsidP="005831B2">
      <w:pPr>
        <w:pStyle w:val="Heading4"/>
      </w:pPr>
      <w:bookmarkStart w:id="113" w:name="_Toc433373698"/>
      <w:r w:rsidRPr="00744212">
        <w:lastRenderedPageBreak/>
        <w:t xml:space="preserve">Table </w:t>
      </w:r>
      <w:r w:rsidR="00813BF8">
        <w:t>10</w:t>
      </w:r>
      <w:r w:rsidRPr="00744212">
        <w:t>. Current Charges as a Share of OSR, 2012</w:t>
      </w:r>
      <w:bookmarkEnd w:id="113"/>
    </w:p>
    <w:tbl>
      <w:tblPr>
        <w:tblW w:w="8100" w:type="dxa"/>
        <w:tblInd w:w="108" w:type="dxa"/>
        <w:tblLook w:val="04A0" w:firstRow="1" w:lastRow="0" w:firstColumn="1" w:lastColumn="0" w:noHBand="0" w:noVBand="1"/>
      </w:tblPr>
      <w:tblGrid>
        <w:gridCol w:w="1890"/>
        <w:gridCol w:w="1980"/>
        <w:gridCol w:w="2090"/>
        <w:gridCol w:w="2140"/>
      </w:tblGrid>
      <w:tr w:rsidR="002F5F09" w:rsidRPr="00744212" w14:paraId="34BABB88" w14:textId="1AFA8527" w:rsidTr="00BA7354">
        <w:trPr>
          <w:trHeight w:val="288"/>
        </w:trPr>
        <w:tc>
          <w:tcPr>
            <w:tcW w:w="1890" w:type="dxa"/>
            <w:tcBorders>
              <w:bottom w:val="single" w:sz="4" w:space="0" w:color="auto"/>
            </w:tcBorders>
            <w:shd w:val="clear" w:color="auto" w:fill="auto"/>
            <w:noWrap/>
            <w:vAlign w:val="bottom"/>
          </w:tcPr>
          <w:p w14:paraId="2D0935FD" w14:textId="77777777" w:rsidR="002F5F09" w:rsidRPr="00744212" w:rsidRDefault="002F5F09" w:rsidP="00D422A0">
            <w:pPr>
              <w:spacing w:after="0" w:line="240" w:lineRule="auto"/>
              <w:rPr>
                <w:b/>
                <w:color w:val="000000"/>
                <w:sz w:val="22"/>
                <w:szCs w:val="22"/>
                <w:lang w:bidi="ar-SA"/>
              </w:rPr>
            </w:pPr>
          </w:p>
        </w:tc>
        <w:tc>
          <w:tcPr>
            <w:tcW w:w="1980" w:type="dxa"/>
            <w:tcBorders>
              <w:bottom w:val="single" w:sz="4" w:space="0" w:color="auto"/>
            </w:tcBorders>
            <w:shd w:val="clear" w:color="auto" w:fill="auto"/>
            <w:noWrap/>
            <w:vAlign w:val="bottom"/>
          </w:tcPr>
          <w:p w14:paraId="5568E8E0" w14:textId="7AB9284B" w:rsidR="002F5F09" w:rsidRPr="00744212" w:rsidRDefault="002F5F09" w:rsidP="00D422A0">
            <w:pPr>
              <w:spacing w:after="0" w:line="240" w:lineRule="auto"/>
              <w:jc w:val="right"/>
              <w:rPr>
                <w:b/>
                <w:color w:val="000000"/>
                <w:sz w:val="22"/>
                <w:szCs w:val="22"/>
                <w:lang w:bidi="ar-SA"/>
              </w:rPr>
            </w:pPr>
            <w:r w:rsidRPr="00744212">
              <w:rPr>
                <w:b/>
                <w:color w:val="000000"/>
                <w:sz w:val="22"/>
                <w:szCs w:val="22"/>
                <w:lang w:bidi="ar-SA"/>
              </w:rPr>
              <w:t>Current Charges as a Share of OSR</w:t>
            </w:r>
          </w:p>
        </w:tc>
        <w:tc>
          <w:tcPr>
            <w:tcW w:w="2090" w:type="dxa"/>
            <w:tcBorders>
              <w:bottom w:val="single" w:sz="4" w:space="0" w:color="auto"/>
            </w:tcBorders>
          </w:tcPr>
          <w:p w14:paraId="1108679D" w14:textId="77777777" w:rsidR="002F5F09" w:rsidRPr="00744212" w:rsidRDefault="002F5F09" w:rsidP="00D422A0">
            <w:pPr>
              <w:spacing w:after="0" w:line="240" w:lineRule="auto"/>
              <w:jc w:val="right"/>
              <w:rPr>
                <w:b/>
                <w:color w:val="000000"/>
                <w:sz w:val="22"/>
                <w:szCs w:val="22"/>
                <w:lang w:bidi="ar-SA"/>
              </w:rPr>
            </w:pPr>
          </w:p>
        </w:tc>
        <w:tc>
          <w:tcPr>
            <w:tcW w:w="2140" w:type="dxa"/>
            <w:tcBorders>
              <w:bottom w:val="single" w:sz="4" w:space="0" w:color="auto"/>
            </w:tcBorders>
          </w:tcPr>
          <w:p w14:paraId="17D2EB08" w14:textId="5C1508B7" w:rsidR="002F5F09" w:rsidRPr="00744212" w:rsidRDefault="003B02A4" w:rsidP="00D422A0">
            <w:pPr>
              <w:spacing w:after="0" w:line="240" w:lineRule="auto"/>
              <w:jc w:val="right"/>
              <w:rPr>
                <w:b/>
                <w:color w:val="000000"/>
                <w:sz w:val="22"/>
                <w:szCs w:val="22"/>
                <w:lang w:bidi="ar-SA"/>
              </w:rPr>
            </w:pPr>
            <w:r w:rsidRPr="00744212">
              <w:rPr>
                <w:b/>
                <w:color w:val="000000"/>
                <w:sz w:val="22"/>
                <w:szCs w:val="22"/>
                <w:lang w:bidi="ar-SA"/>
              </w:rPr>
              <w:t>Current Charges as a Share of OSR</w:t>
            </w:r>
          </w:p>
        </w:tc>
      </w:tr>
      <w:tr w:rsidR="00014112" w:rsidRPr="00744212" w14:paraId="3CD68D43" w14:textId="118F5EC9" w:rsidTr="00BA7354">
        <w:trPr>
          <w:trHeight w:val="288"/>
        </w:trPr>
        <w:tc>
          <w:tcPr>
            <w:tcW w:w="1890" w:type="dxa"/>
            <w:tcBorders>
              <w:top w:val="single" w:sz="4" w:space="0" w:color="auto"/>
            </w:tcBorders>
            <w:shd w:val="clear" w:color="auto" w:fill="auto"/>
            <w:noWrap/>
            <w:vAlign w:val="bottom"/>
          </w:tcPr>
          <w:p w14:paraId="2E0554BA" w14:textId="229D7CC9" w:rsidR="00014112" w:rsidRPr="00014112" w:rsidRDefault="00014112" w:rsidP="00D422A0">
            <w:pPr>
              <w:spacing w:after="0" w:line="240" w:lineRule="auto"/>
              <w:rPr>
                <w:color w:val="000000"/>
                <w:sz w:val="22"/>
                <w:szCs w:val="22"/>
                <w:lang w:bidi="ar-SA"/>
              </w:rPr>
            </w:pPr>
            <w:r w:rsidRPr="00014112">
              <w:rPr>
                <w:color w:val="000000"/>
                <w:sz w:val="22"/>
                <w:szCs w:val="22"/>
              </w:rPr>
              <w:t>Mississippi</w:t>
            </w:r>
          </w:p>
        </w:tc>
        <w:tc>
          <w:tcPr>
            <w:tcW w:w="1980" w:type="dxa"/>
            <w:tcBorders>
              <w:top w:val="single" w:sz="4" w:space="0" w:color="auto"/>
            </w:tcBorders>
            <w:shd w:val="clear" w:color="auto" w:fill="auto"/>
            <w:noWrap/>
            <w:vAlign w:val="bottom"/>
          </w:tcPr>
          <w:p w14:paraId="1D901DDE" w14:textId="58A735C5" w:rsidR="00014112" w:rsidRPr="00014112" w:rsidRDefault="00014112" w:rsidP="00D422A0">
            <w:pPr>
              <w:spacing w:after="0" w:line="240" w:lineRule="auto"/>
              <w:jc w:val="right"/>
              <w:rPr>
                <w:color w:val="000000"/>
                <w:sz w:val="22"/>
                <w:szCs w:val="22"/>
                <w:lang w:bidi="ar-SA"/>
              </w:rPr>
            </w:pPr>
            <w:r w:rsidRPr="00014112">
              <w:rPr>
                <w:color w:val="000000"/>
                <w:sz w:val="22"/>
                <w:szCs w:val="22"/>
              </w:rPr>
              <w:t>51.1%</w:t>
            </w:r>
          </w:p>
        </w:tc>
        <w:tc>
          <w:tcPr>
            <w:tcW w:w="2090" w:type="dxa"/>
            <w:tcBorders>
              <w:top w:val="single" w:sz="4" w:space="0" w:color="auto"/>
            </w:tcBorders>
            <w:vAlign w:val="bottom"/>
          </w:tcPr>
          <w:p w14:paraId="43BA6D93" w14:textId="34E7E350" w:rsidR="00014112" w:rsidRPr="00014112" w:rsidRDefault="00014112" w:rsidP="00D422A0">
            <w:pPr>
              <w:spacing w:after="0" w:line="240" w:lineRule="auto"/>
              <w:jc w:val="right"/>
              <w:rPr>
                <w:color w:val="000000"/>
                <w:sz w:val="22"/>
                <w:szCs w:val="22"/>
                <w:lang w:bidi="ar-SA"/>
              </w:rPr>
            </w:pPr>
            <w:r w:rsidRPr="00014112">
              <w:rPr>
                <w:color w:val="000000"/>
                <w:sz w:val="22"/>
                <w:szCs w:val="22"/>
              </w:rPr>
              <w:t>Utah</w:t>
            </w:r>
          </w:p>
        </w:tc>
        <w:tc>
          <w:tcPr>
            <w:tcW w:w="2140" w:type="dxa"/>
            <w:tcBorders>
              <w:top w:val="single" w:sz="4" w:space="0" w:color="auto"/>
            </w:tcBorders>
            <w:vAlign w:val="bottom"/>
          </w:tcPr>
          <w:p w14:paraId="4434066F" w14:textId="6171E343" w:rsidR="00014112" w:rsidRPr="00014112" w:rsidRDefault="00014112" w:rsidP="00D422A0">
            <w:pPr>
              <w:spacing w:after="0" w:line="240" w:lineRule="auto"/>
              <w:jc w:val="right"/>
              <w:rPr>
                <w:color w:val="000000"/>
                <w:sz w:val="22"/>
                <w:szCs w:val="22"/>
                <w:lang w:bidi="ar-SA"/>
              </w:rPr>
            </w:pPr>
            <w:r w:rsidRPr="00014112">
              <w:rPr>
                <w:color w:val="000000"/>
                <w:sz w:val="22"/>
                <w:szCs w:val="22"/>
              </w:rPr>
              <w:t>24.1%</w:t>
            </w:r>
          </w:p>
        </w:tc>
      </w:tr>
      <w:tr w:rsidR="00014112" w:rsidRPr="00744212" w14:paraId="1EE98213" w14:textId="1AE799C2" w:rsidTr="00BA7354">
        <w:trPr>
          <w:trHeight w:val="288"/>
        </w:trPr>
        <w:tc>
          <w:tcPr>
            <w:tcW w:w="1890" w:type="dxa"/>
            <w:shd w:val="clear" w:color="auto" w:fill="auto"/>
            <w:noWrap/>
            <w:vAlign w:val="bottom"/>
          </w:tcPr>
          <w:p w14:paraId="0DF62559" w14:textId="0EC8ED09" w:rsidR="00014112" w:rsidRPr="00014112" w:rsidRDefault="00014112" w:rsidP="00D422A0">
            <w:pPr>
              <w:spacing w:after="0" w:line="240" w:lineRule="auto"/>
              <w:rPr>
                <w:color w:val="000000"/>
                <w:sz w:val="22"/>
                <w:szCs w:val="22"/>
                <w:lang w:bidi="ar-SA"/>
              </w:rPr>
            </w:pPr>
            <w:r w:rsidRPr="00014112">
              <w:rPr>
                <w:color w:val="000000"/>
                <w:sz w:val="22"/>
                <w:szCs w:val="22"/>
              </w:rPr>
              <w:t>Wyoming</w:t>
            </w:r>
          </w:p>
        </w:tc>
        <w:tc>
          <w:tcPr>
            <w:tcW w:w="1980" w:type="dxa"/>
            <w:shd w:val="clear" w:color="auto" w:fill="auto"/>
            <w:noWrap/>
            <w:vAlign w:val="bottom"/>
          </w:tcPr>
          <w:p w14:paraId="3703914A" w14:textId="21C6B95C" w:rsidR="00014112" w:rsidRPr="00014112" w:rsidRDefault="00014112" w:rsidP="00D422A0">
            <w:pPr>
              <w:spacing w:after="0" w:line="240" w:lineRule="auto"/>
              <w:jc w:val="right"/>
              <w:rPr>
                <w:color w:val="000000"/>
                <w:sz w:val="22"/>
                <w:szCs w:val="22"/>
                <w:lang w:bidi="ar-SA"/>
              </w:rPr>
            </w:pPr>
            <w:r w:rsidRPr="00014112">
              <w:rPr>
                <w:color w:val="000000"/>
                <w:sz w:val="22"/>
                <w:szCs w:val="22"/>
              </w:rPr>
              <w:t>38.1%</w:t>
            </w:r>
          </w:p>
        </w:tc>
        <w:tc>
          <w:tcPr>
            <w:tcW w:w="2090" w:type="dxa"/>
            <w:vAlign w:val="bottom"/>
          </w:tcPr>
          <w:p w14:paraId="4568408F" w14:textId="3F083EB1" w:rsidR="00014112" w:rsidRPr="00014112" w:rsidRDefault="00014112" w:rsidP="00D422A0">
            <w:pPr>
              <w:spacing w:after="0" w:line="240" w:lineRule="auto"/>
              <w:jc w:val="right"/>
              <w:rPr>
                <w:color w:val="000000"/>
                <w:sz w:val="22"/>
                <w:szCs w:val="22"/>
                <w:lang w:bidi="ar-SA"/>
              </w:rPr>
            </w:pPr>
            <w:r w:rsidRPr="00014112">
              <w:rPr>
                <w:color w:val="000000"/>
                <w:sz w:val="22"/>
                <w:szCs w:val="22"/>
              </w:rPr>
              <w:t>New Mexico</w:t>
            </w:r>
          </w:p>
        </w:tc>
        <w:tc>
          <w:tcPr>
            <w:tcW w:w="2140" w:type="dxa"/>
            <w:vAlign w:val="bottom"/>
          </w:tcPr>
          <w:p w14:paraId="42025B41" w14:textId="69286DC2" w:rsidR="00014112" w:rsidRPr="00014112" w:rsidRDefault="00014112" w:rsidP="00D422A0">
            <w:pPr>
              <w:spacing w:after="0" w:line="240" w:lineRule="auto"/>
              <w:jc w:val="right"/>
              <w:rPr>
                <w:color w:val="000000"/>
                <w:sz w:val="22"/>
                <w:szCs w:val="22"/>
                <w:lang w:bidi="ar-SA"/>
              </w:rPr>
            </w:pPr>
            <w:r w:rsidRPr="00014112">
              <w:rPr>
                <w:color w:val="000000"/>
                <w:sz w:val="22"/>
                <w:szCs w:val="22"/>
              </w:rPr>
              <w:t>23.6%</w:t>
            </w:r>
          </w:p>
        </w:tc>
      </w:tr>
      <w:tr w:rsidR="00014112" w:rsidRPr="00744212" w14:paraId="5E713D64" w14:textId="6F7393CB" w:rsidTr="00BA7354">
        <w:trPr>
          <w:trHeight w:val="288"/>
        </w:trPr>
        <w:tc>
          <w:tcPr>
            <w:tcW w:w="1890" w:type="dxa"/>
            <w:shd w:val="clear" w:color="auto" w:fill="auto"/>
            <w:noWrap/>
            <w:vAlign w:val="bottom"/>
          </w:tcPr>
          <w:p w14:paraId="7F2FE399" w14:textId="4D3A26B8" w:rsidR="00014112" w:rsidRPr="00014112" w:rsidRDefault="00014112" w:rsidP="00D422A0">
            <w:pPr>
              <w:spacing w:after="0" w:line="240" w:lineRule="auto"/>
              <w:rPr>
                <w:color w:val="000000"/>
                <w:sz w:val="22"/>
                <w:szCs w:val="22"/>
                <w:lang w:bidi="ar-SA"/>
              </w:rPr>
            </w:pPr>
            <w:r w:rsidRPr="00014112">
              <w:rPr>
                <w:color w:val="000000"/>
                <w:sz w:val="22"/>
                <w:szCs w:val="22"/>
              </w:rPr>
              <w:t>Indiana</w:t>
            </w:r>
          </w:p>
        </w:tc>
        <w:tc>
          <w:tcPr>
            <w:tcW w:w="1980" w:type="dxa"/>
            <w:shd w:val="clear" w:color="auto" w:fill="auto"/>
            <w:noWrap/>
            <w:vAlign w:val="bottom"/>
          </w:tcPr>
          <w:p w14:paraId="6B3B5679" w14:textId="5FC1BC63" w:rsidR="00014112" w:rsidRPr="00014112" w:rsidRDefault="00014112" w:rsidP="00D422A0">
            <w:pPr>
              <w:spacing w:after="0" w:line="240" w:lineRule="auto"/>
              <w:jc w:val="right"/>
              <w:rPr>
                <w:color w:val="000000"/>
                <w:sz w:val="22"/>
                <w:szCs w:val="22"/>
                <w:lang w:bidi="ar-SA"/>
              </w:rPr>
            </w:pPr>
            <w:r w:rsidRPr="00014112">
              <w:rPr>
                <w:color w:val="000000"/>
                <w:sz w:val="22"/>
                <w:szCs w:val="22"/>
              </w:rPr>
              <w:t>37.0%</w:t>
            </w:r>
          </w:p>
        </w:tc>
        <w:tc>
          <w:tcPr>
            <w:tcW w:w="2090" w:type="dxa"/>
            <w:vAlign w:val="bottom"/>
          </w:tcPr>
          <w:p w14:paraId="44A79205" w14:textId="3A59E2D8" w:rsidR="00014112" w:rsidRPr="00014112" w:rsidRDefault="00014112" w:rsidP="00D422A0">
            <w:pPr>
              <w:spacing w:after="0" w:line="240" w:lineRule="auto"/>
              <w:jc w:val="right"/>
              <w:rPr>
                <w:color w:val="000000"/>
                <w:sz w:val="22"/>
                <w:szCs w:val="22"/>
                <w:lang w:bidi="ar-SA"/>
              </w:rPr>
            </w:pPr>
            <w:r w:rsidRPr="00014112">
              <w:rPr>
                <w:color w:val="000000"/>
                <w:sz w:val="22"/>
                <w:szCs w:val="22"/>
              </w:rPr>
              <w:t>Ohio</w:t>
            </w:r>
          </w:p>
        </w:tc>
        <w:tc>
          <w:tcPr>
            <w:tcW w:w="2140" w:type="dxa"/>
            <w:vAlign w:val="bottom"/>
          </w:tcPr>
          <w:p w14:paraId="3FF9C204" w14:textId="4F07A54F" w:rsidR="00014112" w:rsidRPr="00014112" w:rsidRDefault="00014112" w:rsidP="00D422A0">
            <w:pPr>
              <w:spacing w:after="0" w:line="240" w:lineRule="auto"/>
              <w:jc w:val="right"/>
              <w:rPr>
                <w:color w:val="000000"/>
                <w:sz w:val="22"/>
                <w:szCs w:val="22"/>
                <w:lang w:bidi="ar-SA"/>
              </w:rPr>
            </w:pPr>
            <w:r w:rsidRPr="00014112">
              <w:rPr>
                <w:color w:val="000000"/>
                <w:sz w:val="22"/>
                <w:szCs w:val="22"/>
              </w:rPr>
              <w:t>22.8%</w:t>
            </w:r>
          </w:p>
        </w:tc>
      </w:tr>
      <w:tr w:rsidR="00014112" w:rsidRPr="00744212" w14:paraId="63443035" w14:textId="6B94E340" w:rsidTr="00BA7354">
        <w:trPr>
          <w:trHeight w:val="288"/>
        </w:trPr>
        <w:tc>
          <w:tcPr>
            <w:tcW w:w="1890" w:type="dxa"/>
            <w:shd w:val="clear" w:color="auto" w:fill="auto"/>
            <w:noWrap/>
            <w:vAlign w:val="bottom"/>
          </w:tcPr>
          <w:p w14:paraId="394D12A6" w14:textId="4AEC4061" w:rsidR="00014112" w:rsidRPr="00014112" w:rsidRDefault="00014112" w:rsidP="00D422A0">
            <w:pPr>
              <w:spacing w:after="0" w:line="240" w:lineRule="auto"/>
              <w:rPr>
                <w:color w:val="000000"/>
                <w:sz w:val="22"/>
                <w:szCs w:val="22"/>
                <w:lang w:bidi="ar-SA"/>
              </w:rPr>
            </w:pPr>
            <w:r w:rsidRPr="00014112">
              <w:rPr>
                <w:color w:val="000000"/>
                <w:sz w:val="22"/>
                <w:szCs w:val="22"/>
              </w:rPr>
              <w:t>Idaho</w:t>
            </w:r>
          </w:p>
        </w:tc>
        <w:tc>
          <w:tcPr>
            <w:tcW w:w="1980" w:type="dxa"/>
            <w:shd w:val="clear" w:color="auto" w:fill="auto"/>
            <w:noWrap/>
            <w:vAlign w:val="bottom"/>
          </w:tcPr>
          <w:p w14:paraId="5CD144AB" w14:textId="2665041F" w:rsidR="00014112" w:rsidRPr="00014112" w:rsidRDefault="00014112" w:rsidP="00D422A0">
            <w:pPr>
              <w:spacing w:after="0" w:line="240" w:lineRule="auto"/>
              <w:jc w:val="right"/>
              <w:rPr>
                <w:color w:val="000000"/>
                <w:sz w:val="22"/>
                <w:szCs w:val="22"/>
                <w:lang w:bidi="ar-SA"/>
              </w:rPr>
            </w:pPr>
            <w:r w:rsidRPr="00014112">
              <w:rPr>
                <w:color w:val="000000"/>
                <w:sz w:val="22"/>
                <w:szCs w:val="22"/>
              </w:rPr>
              <w:t>34.6%</w:t>
            </w:r>
          </w:p>
        </w:tc>
        <w:tc>
          <w:tcPr>
            <w:tcW w:w="2090" w:type="dxa"/>
            <w:vAlign w:val="bottom"/>
          </w:tcPr>
          <w:p w14:paraId="7E3F8BAF" w14:textId="25604A71" w:rsidR="00014112" w:rsidRPr="00014112" w:rsidRDefault="00014112" w:rsidP="00D422A0">
            <w:pPr>
              <w:spacing w:after="0" w:line="240" w:lineRule="auto"/>
              <w:jc w:val="right"/>
              <w:rPr>
                <w:color w:val="000000"/>
                <w:sz w:val="22"/>
                <w:szCs w:val="22"/>
                <w:lang w:bidi="ar-SA"/>
              </w:rPr>
            </w:pPr>
            <w:r w:rsidRPr="00014112">
              <w:rPr>
                <w:color w:val="000000"/>
                <w:sz w:val="22"/>
                <w:szCs w:val="22"/>
              </w:rPr>
              <w:t>Wisconsin</w:t>
            </w:r>
          </w:p>
        </w:tc>
        <w:tc>
          <w:tcPr>
            <w:tcW w:w="2140" w:type="dxa"/>
            <w:vAlign w:val="bottom"/>
          </w:tcPr>
          <w:p w14:paraId="49DEF93F" w14:textId="735DAEDF" w:rsidR="00014112" w:rsidRPr="00014112" w:rsidRDefault="00014112" w:rsidP="00D422A0">
            <w:pPr>
              <w:spacing w:after="0" w:line="240" w:lineRule="auto"/>
              <w:jc w:val="right"/>
              <w:rPr>
                <w:color w:val="000000"/>
                <w:sz w:val="22"/>
                <w:szCs w:val="22"/>
                <w:lang w:bidi="ar-SA"/>
              </w:rPr>
            </w:pPr>
            <w:r w:rsidRPr="00014112">
              <w:rPr>
                <w:color w:val="000000"/>
                <w:sz w:val="22"/>
                <w:szCs w:val="22"/>
              </w:rPr>
              <w:t>22.7%</w:t>
            </w:r>
          </w:p>
        </w:tc>
      </w:tr>
      <w:tr w:rsidR="00014112" w:rsidRPr="00744212" w14:paraId="571DB77D" w14:textId="0A0CCE6A" w:rsidTr="00BA7354">
        <w:trPr>
          <w:trHeight w:val="288"/>
        </w:trPr>
        <w:tc>
          <w:tcPr>
            <w:tcW w:w="1890" w:type="dxa"/>
            <w:shd w:val="clear" w:color="auto" w:fill="auto"/>
            <w:noWrap/>
            <w:vAlign w:val="bottom"/>
          </w:tcPr>
          <w:p w14:paraId="49FA4429" w14:textId="646E936A" w:rsidR="00014112" w:rsidRPr="00014112" w:rsidRDefault="00014112" w:rsidP="00D422A0">
            <w:pPr>
              <w:spacing w:after="0" w:line="240" w:lineRule="auto"/>
              <w:rPr>
                <w:color w:val="000000"/>
                <w:sz w:val="22"/>
                <w:szCs w:val="22"/>
                <w:lang w:bidi="ar-SA"/>
              </w:rPr>
            </w:pPr>
            <w:r w:rsidRPr="00014112">
              <w:rPr>
                <w:color w:val="000000"/>
                <w:sz w:val="22"/>
                <w:szCs w:val="22"/>
              </w:rPr>
              <w:t>Tennessee</w:t>
            </w:r>
          </w:p>
        </w:tc>
        <w:tc>
          <w:tcPr>
            <w:tcW w:w="1980" w:type="dxa"/>
            <w:shd w:val="clear" w:color="auto" w:fill="auto"/>
            <w:noWrap/>
            <w:vAlign w:val="bottom"/>
          </w:tcPr>
          <w:p w14:paraId="2115A9BF" w14:textId="0C5BF128" w:rsidR="00014112" w:rsidRPr="00014112" w:rsidRDefault="00014112" w:rsidP="00D422A0">
            <w:pPr>
              <w:spacing w:after="0" w:line="240" w:lineRule="auto"/>
              <w:jc w:val="right"/>
              <w:rPr>
                <w:color w:val="000000"/>
                <w:sz w:val="22"/>
                <w:szCs w:val="22"/>
                <w:lang w:bidi="ar-SA"/>
              </w:rPr>
            </w:pPr>
            <w:r w:rsidRPr="00014112">
              <w:rPr>
                <w:color w:val="000000"/>
                <w:sz w:val="22"/>
                <w:szCs w:val="22"/>
              </w:rPr>
              <w:t>33.8%</w:t>
            </w:r>
          </w:p>
        </w:tc>
        <w:tc>
          <w:tcPr>
            <w:tcW w:w="2090" w:type="dxa"/>
            <w:vAlign w:val="bottom"/>
          </w:tcPr>
          <w:p w14:paraId="0AD36B7D" w14:textId="7A149FF2" w:rsidR="00014112" w:rsidRPr="00014112" w:rsidRDefault="00014112" w:rsidP="00D422A0">
            <w:pPr>
              <w:spacing w:after="0" w:line="240" w:lineRule="auto"/>
              <w:jc w:val="right"/>
              <w:rPr>
                <w:color w:val="000000"/>
                <w:sz w:val="22"/>
                <w:szCs w:val="22"/>
                <w:lang w:bidi="ar-SA"/>
              </w:rPr>
            </w:pPr>
            <w:r w:rsidRPr="00014112">
              <w:rPr>
                <w:color w:val="000000"/>
                <w:sz w:val="22"/>
                <w:szCs w:val="22"/>
              </w:rPr>
              <w:t>South Carolina</w:t>
            </w:r>
          </w:p>
        </w:tc>
        <w:tc>
          <w:tcPr>
            <w:tcW w:w="2140" w:type="dxa"/>
            <w:vAlign w:val="bottom"/>
          </w:tcPr>
          <w:p w14:paraId="28577AE5" w14:textId="6C0AA5C8" w:rsidR="00014112" w:rsidRPr="00014112" w:rsidRDefault="00014112" w:rsidP="00D422A0">
            <w:pPr>
              <w:spacing w:after="0" w:line="240" w:lineRule="auto"/>
              <w:jc w:val="right"/>
              <w:rPr>
                <w:color w:val="000000"/>
                <w:sz w:val="22"/>
                <w:szCs w:val="22"/>
                <w:lang w:bidi="ar-SA"/>
              </w:rPr>
            </w:pPr>
            <w:r w:rsidRPr="00014112">
              <w:rPr>
                <w:color w:val="000000"/>
                <w:sz w:val="22"/>
                <w:szCs w:val="22"/>
              </w:rPr>
              <w:t>22.5%</w:t>
            </w:r>
          </w:p>
        </w:tc>
      </w:tr>
      <w:tr w:rsidR="00014112" w:rsidRPr="00744212" w14:paraId="180FE9E8" w14:textId="3F127A7C" w:rsidTr="00BA7354">
        <w:trPr>
          <w:trHeight w:val="288"/>
        </w:trPr>
        <w:tc>
          <w:tcPr>
            <w:tcW w:w="1890" w:type="dxa"/>
            <w:shd w:val="clear" w:color="auto" w:fill="auto"/>
            <w:noWrap/>
            <w:vAlign w:val="bottom"/>
          </w:tcPr>
          <w:p w14:paraId="2A150B9B" w14:textId="011A42F9" w:rsidR="00014112" w:rsidRPr="00014112" w:rsidRDefault="00014112" w:rsidP="00D422A0">
            <w:pPr>
              <w:spacing w:after="0" w:line="240" w:lineRule="auto"/>
              <w:rPr>
                <w:color w:val="000000"/>
                <w:sz w:val="22"/>
                <w:szCs w:val="22"/>
                <w:lang w:bidi="ar-SA"/>
              </w:rPr>
            </w:pPr>
            <w:r w:rsidRPr="00014112">
              <w:rPr>
                <w:color w:val="000000"/>
                <w:sz w:val="22"/>
                <w:szCs w:val="22"/>
              </w:rPr>
              <w:t>North Carolina</w:t>
            </w:r>
          </w:p>
        </w:tc>
        <w:tc>
          <w:tcPr>
            <w:tcW w:w="1980" w:type="dxa"/>
            <w:shd w:val="clear" w:color="auto" w:fill="auto"/>
            <w:noWrap/>
            <w:vAlign w:val="bottom"/>
          </w:tcPr>
          <w:p w14:paraId="046B00F2" w14:textId="3E3F417B" w:rsidR="00014112" w:rsidRPr="00014112" w:rsidRDefault="00014112" w:rsidP="00D422A0">
            <w:pPr>
              <w:spacing w:after="0" w:line="240" w:lineRule="auto"/>
              <w:jc w:val="right"/>
              <w:rPr>
                <w:color w:val="000000"/>
                <w:sz w:val="22"/>
                <w:szCs w:val="22"/>
                <w:lang w:bidi="ar-SA"/>
              </w:rPr>
            </w:pPr>
            <w:r w:rsidRPr="00014112">
              <w:rPr>
                <w:color w:val="000000"/>
                <w:sz w:val="22"/>
                <w:szCs w:val="22"/>
              </w:rPr>
              <w:t>33.3%</w:t>
            </w:r>
          </w:p>
        </w:tc>
        <w:tc>
          <w:tcPr>
            <w:tcW w:w="2090" w:type="dxa"/>
            <w:vAlign w:val="bottom"/>
          </w:tcPr>
          <w:p w14:paraId="0D55D356" w14:textId="04491163" w:rsidR="00014112" w:rsidRPr="00014112" w:rsidRDefault="00014112" w:rsidP="00D422A0">
            <w:pPr>
              <w:spacing w:after="0" w:line="240" w:lineRule="auto"/>
              <w:jc w:val="right"/>
              <w:rPr>
                <w:color w:val="000000"/>
                <w:sz w:val="22"/>
                <w:szCs w:val="22"/>
                <w:lang w:bidi="ar-SA"/>
              </w:rPr>
            </w:pPr>
            <w:r w:rsidRPr="00014112">
              <w:rPr>
                <w:color w:val="000000"/>
                <w:sz w:val="22"/>
                <w:szCs w:val="22"/>
              </w:rPr>
              <w:t>Arizona</w:t>
            </w:r>
          </w:p>
        </w:tc>
        <w:tc>
          <w:tcPr>
            <w:tcW w:w="2140" w:type="dxa"/>
            <w:vAlign w:val="bottom"/>
          </w:tcPr>
          <w:p w14:paraId="42F1B1FA" w14:textId="6F86E4C3" w:rsidR="00014112" w:rsidRPr="00014112" w:rsidRDefault="00014112" w:rsidP="00D422A0">
            <w:pPr>
              <w:spacing w:after="0" w:line="240" w:lineRule="auto"/>
              <w:jc w:val="right"/>
              <w:rPr>
                <w:color w:val="000000"/>
                <w:sz w:val="22"/>
                <w:szCs w:val="22"/>
                <w:lang w:bidi="ar-SA"/>
              </w:rPr>
            </w:pPr>
            <w:r w:rsidRPr="00014112">
              <w:rPr>
                <w:color w:val="000000"/>
                <w:sz w:val="22"/>
                <w:szCs w:val="22"/>
              </w:rPr>
              <w:t>22.5%</w:t>
            </w:r>
          </w:p>
        </w:tc>
      </w:tr>
      <w:tr w:rsidR="00014112" w:rsidRPr="00744212" w14:paraId="0D86CC0F" w14:textId="4D458FDF" w:rsidTr="00BA7354">
        <w:trPr>
          <w:trHeight w:val="288"/>
        </w:trPr>
        <w:tc>
          <w:tcPr>
            <w:tcW w:w="1890" w:type="dxa"/>
            <w:shd w:val="clear" w:color="auto" w:fill="auto"/>
            <w:noWrap/>
            <w:vAlign w:val="bottom"/>
          </w:tcPr>
          <w:p w14:paraId="358D2048" w14:textId="6787E86D" w:rsidR="00014112" w:rsidRPr="00014112" w:rsidRDefault="00014112" w:rsidP="00D422A0">
            <w:pPr>
              <w:spacing w:after="0" w:line="240" w:lineRule="auto"/>
              <w:rPr>
                <w:color w:val="000000"/>
                <w:sz w:val="22"/>
                <w:szCs w:val="22"/>
                <w:lang w:bidi="ar-SA"/>
              </w:rPr>
            </w:pPr>
            <w:r w:rsidRPr="00014112">
              <w:rPr>
                <w:color w:val="000000"/>
                <w:sz w:val="22"/>
                <w:szCs w:val="22"/>
              </w:rPr>
              <w:t>Iowa</w:t>
            </w:r>
          </w:p>
        </w:tc>
        <w:tc>
          <w:tcPr>
            <w:tcW w:w="1980" w:type="dxa"/>
            <w:shd w:val="clear" w:color="auto" w:fill="auto"/>
            <w:noWrap/>
            <w:vAlign w:val="bottom"/>
          </w:tcPr>
          <w:p w14:paraId="021C2A13" w14:textId="1BBFDD22" w:rsidR="00014112" w:rsidRPr="00014112" w:rsidRDefault="00014112" w:rsidP="00D422A0">
            <w:pPr>
              <w:spacing w:after="0" w:line="240" w:lineRule="auto"/>
              <w:jc w:val="right"/>
              <w:rPr>
                <w:color w:val="000000"/>
                <w:sz w:val="22"/>
                <w:szCs w:val="22"/>
                <w:lang w:bidi="ar-SA"/>
              </w:rPr>
            </w:pPr>
            <w:r w:rsidRPr="00014112">
              <w:rPr>
                <w:color w:val="000000"/>
                <w:sz w:val="22"/>
                <w:szCs w:val="22"/>
              </w:rPr>
              <w:t>32.7%</w:t>
            </w:r>
          </w:p>
        </w:tc>
        <w:tc>
          <w:tcPr>
            <w:tcW w:w="2090" w:type="dxa"/>
            <w:vAlign w:val="bottom"/>
          </w:tcPr>
          <w:p w14:paraId="01465481" w14:textId="022CA9DB" w:rsidR="00014112" w:rsidRPr="00014112" w:rsidRDefault="00014112" w:rsidP="00D422A0">
            <w:pPr>
              <w:spacing w:after="0" w:line="240" w:lineRule="auto"/>
              <w:jc w:val="right"/>
              <w:rPr>
                <w:color w:val="000000"/>
                <w:sz w:val="22"/>
                <w:szCs w:val="22"/>
                <w:lang w:bidi="ar-SA"/>
              </w:rPr>
            </w:pPr>
            <w:r w:rsidRPr="00014112">
              <w:rPr>
                <w:color w:val="000000"/>
                <w:sz w:val="22"/>
                <w:szCs w:val="22"/>
              </w:rPr>
              <w:t>Hawaii</w:t>
            </w:r>
          </w:p>
        </w:tc>
        <w:tc>
          <w:tcPr>
            <w:tcW w:w="2140" w:type="dxa"/>
            <w:vAlign w:val="bottom"/>
          </w:tcPr>
          <w:p w14:paraId="00AD45DE" w14:textId="2502F777" w:rsidR="00014112" w:rsidRPr="00014112" w:rsidRDefault="00014112" w:rsidP="00D422A0">
            <w:pPr>
              <w:spacing w:after="0" w:line="240" w:lineRule="auto"/>
              <w:jc w:val="right"/>
              <w:rPr>
                <w:color w:val="000000"/>
                <w:sz w:val="22"/>
                <w:szCs w:val="22"/>
                <w:lang w:bidi="ar-SA"/>
              </w:rPr>
            </w:pPr>
            <w:r w:rsidRPr="00014112">
              <w:rPr>
                <w:color w:val="000000"/>
                <w:sz w:val="22"/>
                <w:szCs w:val="22"/>
              </w:rPr>
              <w:t>22.4%</w:t>
            </w:r>
          </w:p>
        </w:tc>
      </w:tr>
      <w:tr w:rsidR="00014112" w:rsidRPr="00744212" w14:paraId="2E32CD82" w14:textId="125DFFB0" w:rsidTr="00BA7354">
        <w:trPr>
          <w:trHeight w:val="288"/>
        </w:trPr>
        <w:tc>
          <w:tcPr>
            <w:tcW w:w="1890" w:type="dxa"/>
            <w:shd w:val="clear" w:color="auto" w:fill="auto"/>
            <w:noWrap/>
            <w:vAlign w:val="bottom"/>
          </w:tcPr>
          <w:p w14:paraId="074F14ED" w14:textId="63EC909D" w:rsidR="00014112" w:rsidRPr="00014112" w:rsidRDefault="00014112" w:rsidP="00D422A0">
            <w:pPr>
              <w:spacing w:after="0" w:line="240" w:lineRule="auto"/>
              <w:rPr>
                <w:color w:val="000000"/>
                <w:sz w:val="22"/>
                <w:szCs w:val="22"/>
                <w:lang w:bidi="ar-SA"/>
              </w:rPr>
            </w:pPr>
            <w:r w:rsidRPr="00014112">
              <w:rPr>
                <w:color w:val="000000"/>
                <w:sz w:val="22"/>
                <w:szCs w:val="22"/>
              </w:rPr>
              <w:t>Nevada</w:t>
            </w:r>
          </w:p>
        </w:tc>
        <w:tc>
          <w:tcPr>
            <w:tcW w:w="1980" w:type="dxa"/>
            <w:shd w:val="clear" w:color="auto" w:fill="auto"/>
            <w:noWrap/>
            <w:vAlign w:val="bottom"/>
          </w:tcPr>
          <w:p w14:paraId="7FE2786C" w14:textId="2A9325D6" w:rsidR="00014112" w:rsidRPr="00014112" w:rsidRDefault="00014112" w:rsidP="00D422A0">
            <w:pPr>
              <w:spacing w:after="0" w:line="240" w:lineRule="auto"/>
              <w:jc w:val="right"/>
              <w:rPr>
                <w:color w:val="000000"/>
                <w:sz w:val="22"/>
                <w:szCs w:val="22"/>
                <w:lang w:bidi="ar-SA"/>
              </w:rPr>
            </w:pPr>
            <w:r w:rsidRPr="00014112">
              <w:rPr>
                <w:color w:val="000000"/>
                <w:sz w:val="22"/>
                <w:szCs w:val="22"/>
              </w:rPr>
              <w:t>32.4%</w:t>
            </w:r>
          </w:p>
        </w:tc>
        <w:tc>
          <w:tcPr>
            <w:tcW w:w="2090" w:type="dxa"/>
            <w:vAlign w:val="bottom"/>
          </w:tcPr>
          <w:p w14:paraId="4DF2453F" w14:textId="067CF474" w:rsidR="00014112" w:rsidRPr="00014112" w:rsidRDefault="00014112" w:rsidP="00D422A0">
            <w:pPr>
              <w:spacing w:after="0" w:line="240" w:lineRule="auto"/>
              <w:jc w:val="right"/>
              <w:rPr>
                <w:color w:val="000000"/>
                <w:sz w:val="22"/>
                <w:szCs w:val="22"/>
                <w:lang w:bidi="ar-SA"/>
              </w:rPr>
            </w:pPr>
            <w:r w:rsidRPr="00014112">
              <w:rPr>
                <w:color w:val="000000"/>
                <w:sz w:val="22"/>
                <w:szCs w:val="22"/>
              </w:rPr>
              <w:t>Texas</w:t>
            </w:r>
          </w:p>
        </w:tc>
        <w:tc>
          <w:tcPr>
            <w:tcW w:w="2140" w:type="dxa"/>
            <w:vAlign w:val="bottom"/>
          </w:tcPr>
          <w:p w14:paraId="3B26B298" w14:textId="7DDC55FC" w:rsidR="00014112" w:rsidRPr="00014112" w:rsidRDefault="00014112" w:rsidP="00D422A0">
            <w:pPr>
              <w:spacing w:after="0" w:line="240" w:lineRule="auto"/>
              <w:jc w:val="right"/>
              <w:rPr>
                <w:color w:val="000000"/>
                <w:sz w:val="22"/>
                <w:szCs w:val="22"/>
                <w:lang w:bidi="ar-SA"/>
              </w:rPr>
            </w:pPr>
            <w:r w:rsidRPr="00014112">
              <w:rPr>
                <w:color w:val="000000"/>
                <w:sz w:val="22"/>
                <w:szCs w:val="22"/>
              </w:rPr>
              <w:t>22.1%</w:t>
            </w:r>
          </w:p>
        </w:tc>
      </w:tr>
      <w:tr w:rsidR="00014112" w:rsidRPr="00744212" w14:paraId="1570015D" w14:textId="569E4447" w:rsidTr="00BA7354">
        <w:trPr>
          <w:trHeight w:val="288"/>
        </w:trPr>
        <w:tc>
          <w:tcPr>
            <w:tcW w:w="1890" w:type="dxa"/>
            <w:shd w:val="clear" w:color="auto" w:fill="auto"/>
            <w:noWrap/>
            <w:vAlign w:val="bottom"/>
          </w:tcPr>
          <w:p w14:paraId="6E02BAE2" w14:textId="0574B560" w:rsidR="00014112" w:rsidRPr="00014112" w:rsidRDefault="00014112" w:rsidP="00D422A0">
            <w:pPr>
              <w:spacing w:after="0" w:line="240" w:lineRule="auto"/>
              <w:rPr>
                <w:color w:val="000000"/>
                <w:sz w:val="22"/>
                <w:szCs w:val="22"/>
                <w:lang w:bidi="ar-SA"/>
              </w:rPr>
            </w:pPr>
            <w:r w:rsidRPr="00014112">
              <w:rPr>
                <w:color w:val="000000"/>
                <w:sz w:val="22"/>
                <w:szCs w:val="22"/>
              </w:rPr>
              <w:t>Oklahoma</w:t>
            </w:r>
          </w:p>
        </w:tc>
        <w:tc>
          <w:tcPr>
            <w:tcW w:w="1980" w:type="dxa"/>
            <w:shd w:val="clear" w:color="auto" w:fill="auto"/>
            <w:noWrap/>
            <w:vAlign w:val="bottom"/>
          </w:tcPr>
          <w:p w14:paraId="79C854F4" w14:textId="6A1F5D54" w:rsidR="00014112" w:rsidRPr="00014112" w:rsidRDefault="00014112" w:rsidP="00D422A0">
            <w:pPr>
              <w:spacing w:after="0" w:line="240" w:lineRule="auto"/>
              <w:jc w:val="right"/>
              <w:rPr>
                <w:color w:val="000000"/>
                <w:sz w:val="22"/>
                <w:szCs w:val="22"/>
                <w:lang w:bidi="ar-SA"/>
              </w:rPr>
            </w:pPr>
            <w:r w:rsidRPr="00014112">
              <w:rPr>
                <w:color w:val="000000"/>
                <w:sz w:val="22"/>
                <w:szCs w:val="22"/>
              </w:rPr>
              <w:t>32.1%</w:t>
            </w:r>
          </w:p>
        </w:tc>
        <w:tc>
          <w:tcPr>
            <w:tcW w:w="2090" w:type="dxa"/>
            <w:vAlign w:val="bottom"/>
          </w:tcPr>
          <w:p w14:paraId="4BC44095" w14:textId="02BABAF9" w:rsidR="00014112" w:rsidRPr="00014112" w:rsidRDefault="00014112" w:rsidP="00D422A0">
            <w:pPr>
              <w:spacing w:after="0" w:line="240" w:lineRule="auto"/>
              <w:jc w:val="right"/>
              <w:rPr>
                <w:color w:val="000000"/>
                <w:sz w:val="22"/>
                <w:szCs w:val="22"/>
                <w:lang w:bidi="ar-SA"/>
              </w:rPr>
            </w:pPr>
            <w:r w:rsidRPr="00014112">
              <w:rPr>
                <w:color w:val="000000"/>
                <w:sz w:val="22"/>
                <w:szCs w:val="22"/>
              </w:rPr>
              <w:t>South Dakota</w:t>
            </w:r>
          </w:p>
        </w:tc>
        <w:tc>
          <w:tcPr>
            <w:tcW w:w="2140" w:type="dxa"/>
            <w:vAlign w:val="bottom"/>
          </w:tcPr>
          <w:p w14:paraId="10AE2BDE" w14:textId="08DBA8E0" w:rsidR="00014112" w:rsidRPr="00014112" w:rsidRDefault="00014112" w:rsidP="00D422A0">
            <w:pPr>
              <w:spacing w:after="0" w:line="240" w:lineRule="auto"/>
              <w:jc w:val="right"/>
              <w:rPr>
                <w:color w:val="000000"/>
                <w:sz w:val="22"/>
                <w:szCs w:val="22"/>
                <w:lang w:bidi="ar-SA"/>
              </w:rPr>
            </w:pPr>
            <w:r w:rsidRPr="00014112">
              <w:rPr>
                <w:color w:val="000000"/>
                <w:sz w:val="22"/>
                <w:szCs w:val="22"/>
              </w:rPr>
              <w:t>22.0%</w:t>
            </w:r>
          </w:p>
        </w:tc>
      </w:tr>
      <w:tr w:rsidR="00014112" w:rsidRPr="00744212" w14:paraId="347358FE" w14:textId="04D58F7C" w:rsidTr="00BA7354">
        <w:trPr>
          <w:trHeight w:val="288"/>
        </w:trPr>
        <w:tc>
          <w:tcPr>
            <w:tcW w:w="1890" w:type="dxa"/>
            <w:shd w:val="clear" w:color="auto" w:fill="auto"/>
            <w:noWrap/>
            <w:vAlign w:val="bottom"/>
          </w:tcPr>
          <w:p w14:paraId="04F115D8" w14:textId="695ECB49" w:rsidR="00014112" w:rsidRPr="00014112" w:rsidRDefault="00014112" w:rsidP="00D422A0">
            <w:pPr>
              <w:spacing w:after="0" w:line="240" w:lineRule="auto"/>
              <w:rPr>
                <w:color w:val="000000"/>
                <w:sz w:val="22"/>
                <w:szCs w:val="22"/>
                <w:lang w:bidi="ar-SA"/>
              </w:rPr>
            </w:pPr>
            <w:r w:rsidRPr="00014112">
              <w:rPr>
                <w:color w:val="000000"/>
                <w:sz w:val="22"/>
                <w:szCs w:val="22"/>
              </w:rPr>
              <w:t>Michigan</w:t>
            </w:r>
          </w:p>
        </w:tc>
        <w:tc>
          <w:tcPr>
            <w:tcW w:w="1980" w:type="dxa"/>
            <w:shd w:val="clear" w:color="auto" w:fill="auto"/>
            <w:noWrap/>
            <w:vAlign w:val="bottom"/>
          </w:tcPr>
          <w:p w14:paraId="2FDFB6C4" w14:textId="504C5082" w:rsidR="00014112" w:rsidRPr="00014112" w:rsidRDefault="00014112" w:rsidP="00D422A0">
            <w:pPr>
              <w:spacing w:after="0" w:line="240" w:lineRule="auto"/>
              <w:jc w:val="right"/>
              <w:rPr>
                <w:color w:val="000000"/>
                <w:sz w:val="22"/>
                <w:szCs w:val="22"/>
                <w:lang w:bidi="ar-SA"/>
              </w:rPr>
            </w:pPr>
            <w:r w:rsidRPr="00014112">
              <w:rPr>
                <w:color w:val="000000"/>
                <w:sz w:val="22"/>
                <w:szCs w:val="22"/>
              </w:rPr>
              <w:t>31.9%</w:t>
            </w:r>
          </w:p>
        </w:tc>
        <w:tc>
          <w:tcPr>
            <w:tcW w:w="2090" w:type="dxa"/>
            <w:vAlign w:val="bottom"/>
          </w:tcPr>
          <w:p w14:paraId="5233DB4A" w14:textId="50A388BC" w:rsidR="00014112" w:rsidRPr="00014112" w:rsidRDefault="00014112" w:rsidP="00D422A0">
            <w:pPr>
              <w:spacing w:after="0" w:line="240" w:lineRule="auto"/>
              <w:jc w:val="right"/>
              <w:rPr>
                <w:color w:val="000000"/>
                <w:sz w:val="22"/>
                <w:szCs w:val="22"/>
                <w:lang w:bidi="ar-SA"/>
              </w:rPr>
            </w:pPr>
            <w:r w:rsidRPr="00014112">
              <w:rPr>
                <w:color w:val="000000"/>
                <w:sz w:val="22"/>
                <w:szCs w:val="22"/>
              </w:rPr>
              <w:t>North Dakota</w:t>
            </w:r>
          </w:p>
        </w:tc>
        <w:tc>
          <w:tcPr>
            <w:tcW w:w="2140" w:type="dxa"/>
            <w:vAlign w:val="bottom"/>
          </w:tcPr>
          <w:p w14:paraId="0FEE457E" w14:textId="6DEA4475" w:rsidR="00014112" w:rsidRPr="00014112" w:rsidRDefault="00014112" w:rsidP="00D422A0">
            <w:pPr>
              <w:spacing w:after="0" w:line="240" w:lineRule="auto"/>
              <w:jc w:val="right"/>
              <w:rPr>
                <w:color w:val="000000"/>
                <w:sz w:val="22"/>
                <w:szCs w:val="22"/>
                <w:lang w:bidi="ar-SA"/>
              </w:rPr>
            </w:pPr>
            <w:r w:rsidRPr="00014112">
              <w:rPr>
                <w:color w:val="000000"/>
                <w:sz w:val="22"/>
                <w:szCs w:val="22"/>
              </w:rPr>
              <w:t>20.9%</w:t>
            </w:r>
          </w:p>
        </w:tc>
      </w:tr>
      <w:tr w:rsidR="00014112" w:rsidRPr="00744212" w14:paraId="103FAC17" w14:textId="42ECA427" w:rsidTr="00BA7354">
        <w:trPr>
          <w:trHeight w:val="288"/>
        </w:trPr>
        <w:tc>
          <w:tcPr>
            <w:tcW w:w="1890" w:type="dxa"/>
            <w:shd w:val="clear" w:color="auto" w:fill="auto"/>
            <w:noWrap/>
            <w:vAlign w:val="bottom"/>
          </w:tcPr>
          <w:p w14:paraId="4829CF4E" w14:textId="74A99E30" w:rsidR="00014112" w:rsidRPr="00014112" w:rsidRDefault="00014112" w:rsidP="00D422A0">
            <w:pPr>
              <w:spacing w:after="0" w:line="240" w:lineRule="auto"/>
              <w:rPr>
                <w:color w:val="000000"/>
                <w:sz w:val="22"/>
                <w:szCs w:val="22"/>
                <w:lang w:bidi="ar-SA"/>
              </w:rPr>
            </w:pPr>
            <w:r w:rsidRPr="00014112">
              <w:rPr>
                <w:color w:val="000000"/>
                <w:sz w:val="22"/>
                <w:szCs w:val="22"/>
              </w:rPr>
              <w:t>Alaska</w:t>
            </w:r>
          </w:p>
        </w:tc>
        <w:tc>
          <w:tcPr>
            <w:tcW w:w="1980" w:type="dxa"/>
            <w:shd w:val="clear" w:color="auto" w:fill="auto"/>
            <w:noWrap/>
            <w:vAlign w:val="bottom"/>
          </w:tcPr>
          <w:p w14:paraId="0702C4AC" w14:textId="1AB961C5" w:rsidR="00014112" w:rsidRPr="00014112" w:rsidRDefault="00014112" w:rsidP="00D422A0">
            <w:pPr>
              <w:spacing w:after="0" w:line="240" w:lineRule="auto"/>
              <w:jc w:val="right"/>
              <w:rPr>
                <w:color w:val="000000"/>
                <w:sz w:val="22"/>
                <w:szCs w:val="22"/>
                <w:lang w:bidi="ar-SA"/>
              </w:rPr>
            </w:pPr>
            <w:r w:rsidRPr="00014112">
              <w:rPr>
                <w:color w:val="000000"/>
                <w:sz w:val="22"/>
                <w:szCs w:val="22"/>
              </w:rPr>
              <w:t>30.0%</w:t>
            </w:r>
          </w:p>
        </w:tc>
        <w:tc>
          <w:tcPr>
            <w:tcW w:w="2090" w:type="dxa"/>
            <w:vAlign w:val="bottom"/>
          </w:tcPr>
          <w:p w14:paraId="37E0D964" w14:textId="2CC17E47" w:rsidR="00014112" w:rsidRPr="00014112" w:rsidRDefault="00014112" w:rsidP="00D422A0">
            <w:pPr>
              <w:spacing w:after="0" w:line="240" w:lineRule="auto"/>
              <w:jc w:val="right"/>
              <w:rPr>
                <w:color w:val="000000"/>
                <w:sz w:val="22"/>
                <w:szCs w:val="22"/>
                <w:lang w:bidi="ar-SA"/>
              </w:rPr>
            </w:pPr>
            <w:r w:rsidRPr="00014112">
              <w:rPr>
                <w:color w:val="000000"/>
                <w:sz w:val="22"/>
                <w:szCs w:val="22"/>
              </w:rPr>
              <w:t>Delaware</w:t>
            </w:r>
          </w:p>
        </w:tc>
        <w:tc>
          <w:tcPr>
            <w:tcW w:w="2140" w:type="dxa"/>
            <w:vAlign w:val="bottom"/>
          </w:tcPr>
          <w:p w14:paraId="0B623A8C" w14:textId="4F51275A" w:rsidR="00014112" w:rsidRPr="00014112" w:rsidRDefault="00014112" w:rsidP="00D422A0">
            <w:pPr>
              <w:spacing w:after="0" w:line="240" w:lineRule="auto"/>
              <w:jc w:val="right"/>
              <w:rPr>
                <w:color w:val="000000"/>
                <w:sz w:val="22"/>
                <w:szCs w:val="22"/>
                <w:lang w:bidi="ar-SA"/>
              </w:rPr>
            </w:pPr>
            <w:r w:rsidRPr="00014112">
              <w:rPr>
                <w:color w:val="000000"/>
                <w:sz w:val="22"/>
                <w:szCs w:val="22"/>
              </w:rPr>
              <w:t>20.5%</w:t>
            </w:r>
          </w:p>
        </w:tc>
      </w:tr>
      <w:tr w:rsidR="00014112" w:rsidRPr="00744212" w14:paraId="7EA1FC55" w14:textId="526CC02F" w:rsidTr="00BA7354">
        <w:trPr>
          <w:trHeight w:val="288"/>
        </w:trPr>
        <w:tc>
          <w:tcPr>
            <w:tcW w:w="1890" w:type="dxa"/>
            <w:shd w:val="clear" w:color="auto" w:fill="auto"/>
            <w:noWrap/>
            <w:vAlign w:val="bottom"/>
          </w:tcPr>
          <w:p w14:paraId="75B9AB45" w14:textId="2A267C25" w:rsidR="00014112" w:rsidRPr="00014112" w:rsidRDefault="00014112" w:rsidP="00D422A0">
            <w:pPr>
              <w:spacing w:after="0" w:line="240" w:lineRule="auto"/>
              <w:rPr>
                <w:color w:val="000000"/>
                <w:sz w:val="22"/>
                <w:szCs w:val="22"/>
                <w:lang w:bidi="ar-SA"/>
              </w:rPr>
            </w:pPr>
            <w:r w:rsidRPr="00014112">
              <w:rPr>
                <w:color w:val="000000"/>
                <w:sz w:val="22"/>
                <w:szCs w:val="22"/>
              </w:rPr>
              <w:t>Minnesota</w:t>
            </w:r>
          </w:p>
        </w:tc>
        <w:tc>
          <w:tcPr>
            <w:tcW w:w="1980" w:type="dxa"/>
            <w:shd w:val="clear" w:color="auto" w:fill="auto"/>
            <w:noWrap/>
            <w:vAlign w:val="bottom"/>
          </w:tcPr>
          <w:p w14:paraId="6EEC69C1" w14:textId="54E89489" w:rsidR="00014112" w:rsidRPr="00014112" w:rsidRDefault="00014112" w:rsidP="00D422A0">
            <w:pPr>
              <w:spacing w:after="0" w:line="240" w:lineRule="auto"/>
              <w:jc w:val="right"/>
              <w:rPr>
                <w:color w:val="000000"/>
                <w:sz w:val="22"/>
                <w:szCs w:val="22"/>
                <w:lang w:bidi="ar-SA"/>
              </w:rPr>
            </w:pPr>
            <w:r w:rsidRPr="00014112">
              <w:rPr>
                <w:color w:val="000000"/>
                <w:sz w:val="22"/>
                <w:szCs w:val="22"/>
              </w:rPr>
              <w:t>29.5%</w:t>
            </w:r>
          </w:p>
        </w:tc>
        <w:tc>
          <w:tcPr>
            <w:tcW w:w="2090" w:type="dxa"/>
            <w:vAlign w:val="bottom"/>
          </w:tcPr>
          <w:p w14:paraId="5A1B602A" w14:textId="1616358C" w:rsidR="00014112" w:rsidRPr="00014112" w:rsidRDefault="00014112" w:rsidP="00D422A0">
            <w:pPr>
              <w:spacing w:after="0" w:line="240" w:lineRule="auto"/>
              <w:jc w:val="right"/>
              <w:rPr>
                <w:color w:val="000000"/>
                <w:sz w:val="22"/>
                <w:szCs w:val="22"/>
                <w:lang w:bidi="ar-SA"/>
              </w:rPr>
            </w:pPr>
            <w:r w:rsidRPr="00014112">
              <w:rPr>
                <w:color w:val="000000"/>
                <w:sz w:val="22"/>
                <w:szCs w:val="22"/>
              </w:rPr>
              <w:t>Alabama</w:t>
            </w:r>
          </w:p>
        </w:tc>
        <w:tc>
          <w:tcPr>
            <w:tcW w:w="2140" w:type="dxa"/>
            <w:vAlign w:val="bottom"/>
          </w:tcPr>
          <w:p w14:paraId="3115B52D" w14:textId="775F826E" w:rsidR="00014112" w:rsidRPr="00014112" w:rsidRDefault="00014112" w:rsidP="00D422A0">
            <w:pPr>
              <w:spacing w:after="0" w:line="240" w:lineRule="auto"/>
              <w:jc w:val="right"/>
              <w:rPr>
                <w:color w:val="000000"/>
                <w:sz w:val="22"/>
                <w:szCs w:val="22"/>
                <w:lang w:bidi="ar-SA"/>
              </w:rPr>
            </w:pPr>
            <w:r w:rsidRPr="00014112">
              <w:rPr>
                <w:color w:val="000000"/>
                <w:sz w:val="22"/>
                <w:szCs w:val="22"/>
              </w:rPr>
              <w:t>20.0%</w:t>
            </w:r>
          </w:p>
        </w:tc>
      </w:tr>
      <w:tr w:rsidR="00014112" w:rsidRPr="00744212" w14:paraId="51736B2B" w14:textId="28D43A9E" w:rsidTr="00BA7354">
        <w:trPr>
          <w:trHeight w:val="288"/>
        </w:trPr>
        <w:tc>
          <w:tcPr>
            <w:tcW w:w="1890" w:type="dxa"/>
            <w:shd w:val="clear" w:color="auto" w:fill="auto"/>
            <w:noWrap/>
            <w:vAlign w:val="bottom"/>
          </w:tcPr>
          <w:p w14:paraId="275A4663" w14:textId="21754FB7" w:rsidR="00014112" w:rsidRPr="00014112" w:rsidRDefault="00014112" w:rsidP="00D422A0">
            <w:pPr>
              <w:spacing w:after="0" w:line="240" w:lineRule="auto"/>
              <w:rPr>
                <w:color w:val="000000"/>
                <w:sz w:val="22"/>
                <w:szCs w:val="22"/>
                <w:lang w:bidi="ar-SA"/>
              </w:rPr>
            </w:pPr>
            <w:r w:rsidRPr="00014112">
              <w:rPr>
                <w:color w:val="000000"/>
                <w:sz w:val="22"/>
                <w:szCs w:val="22"/>
              </w:rPr>
              <w:t>California</w:t>
            </w:r>
          </w:p>
        </w:tc>
        <w:tc>
          <w:tcPr>
            <w:tcW w:w="1980" w:type="dxa"/>
            <w:shd w:val="clear" w:color="auto" w:fill="auto"/>
            <w:noWrap/>
            <w:vAlign w:val="bottom"/>
          </w:tcPr>
          <w:p w14:paraId="4D4B0108" w14:textId="79974107" w:rsidR="00014112" w:rsidRPr="00014112" w:rsidRDefault="00014112" w:rsidP="00D422A0">
            <w:pPr>
              <w:spacing w:after="0" w:line="240" w:lineRule="auto"/>
              <w:jc w:val="right"/>
              <w:rPr>
                <w:color w:val="000000"/>
                <w:sz w:val="22"/>
                <w:szCs w:val="22"/>
                <w:lang w:bidi="ar-SA"/>
              </w:rPr>
            </w:pPr>
            <w:r w:rsidRPr="00014112">
              <w:rPr>
                <w:color w:val="000000"/>
                <w:sz w:val="22"/>
                <w:szCs w:val="22"/>
              </w:rPr>
              <w:t>29.3%</w:t>
            </w:r>
          </w:p>
        </w:tc>
        <w:tc>
          <w:tcPr>
            <w:tcW w:w="2090" w:type="dxa"/>
            <w:vAlign w:val="bottom"/>
          </w:tcPr>
          <w:p w14:paraId="627ECC99" w14:textId="6D1107D6" w:rsidR="00014112" w:rsidRPr="00014112" w:rsidRDefault="00014112" w:rsidP="00D422A0">
            <w:pPr>
              <w:spacing w:after="0" w:line="240" w:lineRule="auto"/>
              <w:jc w:val="right"/>
              <w:rPr>
                <w:color w:val="000000"/>
                <w:sz w:val="22"/>
                <w:szCs w:val="22"/>
                <w:lang w:bidi="ar-SA"/>
              </w:rPr>
            </w:pPr>
            <w:r w:rsidRPr="00014112">
              <w:rPr>
                <w:color w:val="000000"/>
                <w:sz w:val="22"/>
                <w:szCs w:val="22"/>
              </w:rPr>
              <w:t>Georgia</w:t>
            </w:r>
          </w:p>
        </w:tc>
        <w:tc>
          <w:tcPr>
            <w:tcW w:w="2140" w:type="dxa"/>
            <w:vAlign w:val="bottom"/>
          </w:tcPr>
          <w:p w14:paraId="70D98CDF" w14:textId="261BB4E4" w:rsidR="00014112" w:rsidRPr="00014112" w:rsidRDefault="00014112" w:rsidP="00D422A0">
            <w:pPr>
              <w:spacing w:after="0" w:line="240" w:lineRule="auto"/>
              <w:jc w:val="right"/>
              <w:rPr>
                <w:color w:val="000000"/>
                <w:sz w:val="22"/>
                <w:szCs w:val="22"/>
                <w:lang w:bidi="ar-SA"/>
              </w:rPr>
            </w:pPr>
            <w:r w:rsidRPr="00014112">
              <w:rPr>
                <w:color w:val="000000"/>
                <w:sz w:val="22"/>
                <w:szCs w:val="22"/>
              </w:rPr>
              <w:t>18.4%</w:t>
            </w:r>
          </w:p>
        </w:tc>
      </w:tr>
      <w:tr w:rsidR="00014112" w:rsidRPr="00744212" w14:paraId="7322782E" w14:textId="64FE402B" w:rsidTr="00BA7354">
        <w:trPr>
          <w:trHeight w:val="288"/>
        </w:trPr>
        <w:tc>
          <w:tcPr>
            <w:tcW w:w="1890" w:type="dxa"/>
            <w:shd w:val="clear" w:color="auto" w:fill="auto"/>
            <w:noWrap/>
            <w:vAlign w:val="bottom"/>
          </w:tcPr>
          <w:p w14:paraId="53E3339A" w14:textId="2C7FE2C5" w:rsidR="00014112" w:rsidRPr="00014112" w:rsidRDefault="00014112" w:rsidP="00D422A0">
            <w:pPr>
              <w:spacing w:after="0" w:line="240" w:lineRule="auto"/>
              <w:rPr>
                <w:color w:val="000000"/>
                <w:sz w:val="22"/>
                <w:szCs w:val="22"/>
                <w:lang w:bidi="ar-SA"/>
              </w:rPr>
            </w:pPr>
            <w:r w:rsidRPr="00014112">
              <w:rPr>
                <w:color w:val="000000"/>
                <w:sz w:val="22"/>
                <w:szCs w:val="22"/>
              </w:rPr>
              <w:t>Florida</w:t>
            </w:r>
          </w:p>
        </w:tc>
        <w:tc>
          <w:tcPr>
            <w:tcW w:w="1980" w:type="dxa"/>
            <w:shd w:val="clear" w:color="auto" w:fill="auto"/>
            <w:noWrap/>
            <w:vAlign w:val="bottom"/>
          </w:tcPr>
          <w:p w14:paraId="4E3F72C3" w14:textId="3AA6B403" w:rsidR="00014112" w:rsidRPr="00014112" w:rsidRDefault="00014112" w:rsidP="00D422A0">
            <w:pPr>
              <w:spacing w:after="0" w:line="240" w:lineRule="auto"/>
              <w:jc w:val="right"/>
              <w:rPr>
                <w:color w:val="000000"/>
                <w:sz w:val="22"/>
                <w:szCs w:val="22"/>
                <w:lang w:bidi="ar-SA"/>
              </w:rPr>
            </w:pPr>
            <w:r w:rsidRPr="00014112">
              <w:rPr>
                <w:color w:val="000000"/>
                <w:sz w:val="22"/>
                <w:szCs w:val="22"/>
              </w:rPr>
              <w:t>28.3%</w:t>
            </w:r>
          </w:p>
        </w:tc>
        <w:tc>
          <w:tcPr>
            <w:tcW w:w="2090" w:type="dxa"/>
            <w:vAlign w:val="bottom"/>
          </w:tcPr>
          <w:p w14:paraId="71A1A06C" w14:textId="41667DA0" w:rsidR="00014112" w:rsidRPr="00014112" w:rsidRDefault="00014112" w:rsidP="00D422A0">
            <w:pPr>
              <w:spacing w:after="0" w:line="240" w:lineRule="auto"/>
              <w:jc w:val="right"/>
              <w:rPr>
                <w:color w:val="000000"/>
                <w:sz w:val="22"/>
                <w:szCs w:val="22"/>
                <w:lang w:bidi="ar-SA"/>
              </w:rPr>
            </w:pPr>
            <w:r w:rsidRPr="00014112">
              <w:rPr>
                <w:color w:val="000000"/>
                <w:sz w:val="22"/>
                <w:szCs w:val="22"/>
              </w:rPr>
              <w:t>Maryland</w:t>
            </w:r>
          </w:p>
        </w:tc>
        <w:tc>
          <w:tcPr>
            <w:tcW w:w="2140" w:type="dxa"/>
            <w:vAlign w:val="bottom"/>
          </w:tcPr>
          <w:p w14:paraId="08F0A6E3" w14:textId="0FF75D48" w:rsidR="00014112" w:rsidRPr="00014112" w:rsidRDefault="00014112" w:rsidP="00D422A0">
            <w:pPr>
              <w:spacing w:after="0" w:line="240" w:lineRule="auto"/>
              <w:jc w:val="right"/>
              <w:rPr>
                <w:color w:val="000000"/>
                <w:sz w:val="22"/>
                <w:szCs w:val="22"/>
                <w:lang w:bidi="ar-SA"/>
              </w:rPr>
            </w:pPr>
            <w:r w:rsidRPr="00014112">
              <w:rPr>
                <w:color w:val="000000"/>
                <w:sz w:val="22"/>
                <w:szCs w:val="22"/>
              </w:rPr>
              <w:t>18.2%</w:t>
            </w:r>
          </w:p>
        </w:tc>
      </w:tr>
      <w:tr w:rsidR="00014112" w:rsidRPr="00744212" w14:paraId="2CCE8E93" w14:textId="133F1035" w:rsidTr="00BA7354">
        <w:trPr>
          <w:trHeight w:val="288"/>
        </w:trPr>
        <w:tc>
          <w:tcPr>
            <w:tcW w:w="1890" w:type="dxa"/>
            <w:shd w:val="clear" w:color="auto" w:fill="auto"/>
            <w:noWrap/>
            <w:vAlign w:val="bottom"/>
          </w:tcPr>
          <w:p w14:paraId="0C6978A5" w14:textId="412B5763" w:rsidR="00014112" w:rsidRPr="00014112" w:rsidRDefault="00014112" w:rsidP="00D422A0">
            <w:pPr>
              <w:spacing w:after="0" w:line="240" w:lineRule="auto"/>
              <w:rPr>
                <w:color w:val="000000"/>
                <w:sz w:val="22"/>
                <w:szCs w:val="22"/>
                <w:lang w:bidi="ar-SA"/>
              </w:rPr>
            </w:pPr>
            <w:r w:rsidRPr="00014112">
              <w:rPr>
                <w:color w:val="000000"/>
                <w:sz w:val="22"/>
                <w:szCs w:val="22"/>
              </w:rPr>
              <w:t>Arkansas</w:t>
            </w:r>
          </w:p>
        </w:tc>
        <w:tc>
          <w:tcPr>
            <w:tcW w:w="1980" w:type="dxa"/>
            <w:shd w:val="clear" w:color="auto" w:fill="auto"/>
            <w:noWrap/>
            <w:vAlign w:val="bottom"/>
          </w:tcPr>
          <w:p w14:paraId="45461633" w14:textId="2854A458" w:rsidR="00014112" w:rsidRPr="00014112" w:rsidRDefault="00014112" w:rsidP="00D422A0">
            <w:pPr>
              <w:spacing w:after="0" w:line="240" w:lineRule="auto"/>
              <w:jc w:val="right"/>
              <w:rPr>
                <w:color w:val="000000"/>
                <w:sz w:val="22"/>
                <w:szCs w:val="22"/>
                <w:lang w:bidi="ar-SA"/>
              </w:rPr>
            </w:pPr>
            <w:r w:rsidRPr="00014112">
              <w:rPr>
                <w:color w:val="000000"/>
                <w:sz w:val="22"/>
                <w:szCs w:val="22"/>
              </w:rPr>
              <w:t>27.8%</w:t>
            </w:r>
          </w:p>
        </w:tc>
        <w:tc>
          <w:tcPr>
            <w:tcW w:w="2090" w:type="dxa"/>
            <w:vAlign w:val="bottom"/>
          </w:tcPr>
          <w:p w14:paraId="342B73D9" w14:textId="13EE37B9" w:rsidR="00014112" w:rsidRPr="00014112" w:rsidRDefault="00014112" w:rsidP="00D422A0">
            <w:pPr>
              <w:spacing w:after="0" w:line="240" w:lineRule="auto"/>
              <w:jc w:val="right"/>
              <w:rPr>
                <w:color w:val="000000"/>
                <w:sz w:val="22"/>
                <w:szCs w:val="22"/>
                <w:lang w:bidi="ar-SA"/>
              </w:rPr>
            </w:pPr>
            <w:r w:rsidRPr="00014112">
              <w:rPr>
                <w:color w:val="000000"/>
                <w:sz w:val="22"/>
                <w:szCs w:val="22"/>
              </w:rPr>
              <w:t>Illinois</w:t>
            </w:r>
          </w:p>
        </w:tc>
        <w:tc>
          <w:tcPr>
            <w:tcW w:w="2140" w:type="dxa"/>
            <w:vAlign w:val="bottom"/>
          </w:tcPr>
          <w:p w14:paraId="755D8E81" w14:textId="1FC24D74" w:rsidR="00014112" w:rsidRPr="00014112" w:rsidRDefault="00014112" w:rsidP="00D422A0">
            <w:pPr>
              <w:spacing w:after="0" w:line="240" w:lineRule="auto"/>
              <w:jc w:val="right"/>
              <w:rPr>
                <w:color w:val="000000"/>
                <w:sz w:val="22"/>
                <w:szCs w:val="22"/>
                <w:lang w:bidi="ar-SA"/>
              </w:rPr>
            </w:pPr>
            <w:r w:rsidRPr="00014112">
              <w:rPr>
                <w:color w:val="000000"/>
                <w:sz w:val="22"/>
                <w:szCs w:val="22"/>
              </w:rPr>
              <w:t>16.2%</w:t>
            </w:r>
          </w:p>
        </w:tc>
      </w:tr>
      <w:tr w:rsidR="00014112" w:rsidRPr="00744212" w14:paraId="12493AB6" w14:textId="2130CF1F" w:rsidTr="00BA7354">
        <w:trPr>
          <w:trHeight w:val="288"/>
        </w:trPr>
        <w:tc>
          <w:tcPr>
            <w:tcW w:w="1890" w:type="dxa"/>
            <w:shd w:val="clear" w:color="auto" w:fill="auto"/>
            <w:noWrap/>
            <w:vAlign w:val="bottom"/>
          </w:tcPr>
          <w:p w14:paraId="0B407466" w14:textId="36C4572B" w:rsidR="00014112" w:rsidRPr="00014112" w:rsidRDefault="00014112" w:rsidP="00D422A0">
            <w:pPr>
              <w:spacing w:after="0" w:line="240" w:lineRule="auto"/>
              <w:rPr>
                <w:color w:val="000000"/>
                <w:sz w:val="22"/>
                <w:szCs w:val="22"/>
                <w:lang w:bidi="ar-SA"/>
              </w:rPr>
            </w:pPr>
            <w:r w:rsidRPr="00014112">
              <w:rPr>
                <w:color w:val="000000"/>
                <w:sz w:val="22"/>
                <w:szCs w:val="22"/>
              </w:rPr>
              <w:t>Kentucky</w:t>
            </w:r>
          </w:p>
        </w:tc>
        <w:tc>
          <w:tcPr>
            <w:tcW w:w="1980" w:type="dxa"/>
            <w:shd w:val="clear" w:color="auto" w:fill="auto"/>
            <w:noWrap/>
            <w:vAlign w:val="bottom"/>
          </w:tcPr>
          <w:p w14:paraId="42BE1C1C" w14:textId="523181DC" w:rsidR="00014112" w:rsidRPr="00014112" w:rsidRDefault="00014112" w:rsidP="00D422A0">
            <w:pPr>
              <w:spacing w:after="0" w:line="240" w:lineRule="auto"/>
              <w:jc w:val="right"/>
              <w:rPr>
                <w:color w:val="000000"/>
                <w:sz w:val="22"/>
                <w:szCs w:val="22"/>
                <w:lang w:bidi="ar-SA"/>
              </w:rPr>
            </w:pPr>
            <w:r w:rsidRPr="00014112">
              <w:rPr>
                <w:color w:val="000000"/>
                <w:sz w:val="22"/>
                <w:szCs w:val="22"/>
              </w:rPr>
              <w:t>27.4%</w:t>
            </w:r>
          </w:p>
        </w:tc>
        <w:tc>
          <w:tcPr>
            <w:tcW w:w="2090" w:type="dxa"/>
            <w:vAlign w:val="bottom"/>
          </w:tcPr>
          <w:p w14:paraId="0B63C2A3" w14:textId="34DC6A75" w:rsidR="00014112" w:rsidRPr="00014112" w:rsidRDefault="00014112" w:rsidP="00D422A0">
            <w:pPr>
              <w:spacing w:after="0" w:line="240" w:lineRule="auto"/>
              <w:jc w:val="right"/>
              <w:rPr>
                <w:color w:val="000000"/>
                <w:sz w:val="22"/>
                <w:szCs w:val="22"/>
                <w:lang w:bidi="ar-SA"/>
              </w:rPr>
            </w:pPr>
            <w:r w:rsidRPr="00014112">
              <w:rPr>
                <w:color w:val="000000"/>
                <w:sz w:val="22"/>
                <w:szCs w:val="22"/>
              </w:rPr>
              <w:t>Pennsylvania</w:t>
            </w:r>
          </w:p>
        </w:tc>
        <w:tc>
          <w:tcPr>
            <w:tcW w:w="2140" w:type="dxa"/>
            <w:vAlign w:val="bottom"/>
          </w:tcPr>
          <w:p w14:paraId="68868D3C" w14:textId="7C221AC0" w:rsidR="00014112" w:rsidRPr="00014112" w:rsidRDefault="00014112" w:rsidP="00D422A0">
            <w:pPr>
              <w:spacing w:after="0" w:line="240" w:lineRule="auto"/>
              <w:jc w:val="right"/>
              <w:rPr>
                <w:color w:val="000000"/>
                <w:sz w:val="22"/>
                <w:szCs w:val="22"/>
                <w:lang w:bidi="ar-SA"/>
              </w:rPr>
            </w:pPr>
            <w:r w:rsidRPr="00014112">
              <w:rPr>
                <w:color w:val="000000"/>
                <w:sz w:val="22"/>
                <w:szCs w:val="22"/>
              </w:rPr>
              <w:t>15.9%</w:t>
            </w:r>
          </w:p>
        </w:tc>
      </w:tr>
      <w:tr w:rsidR="00014112" w:rsidRPr="00744212" w14:paraId="2A91F2F6" w14:textId="0CE520C0" w:rsidTr="00BA7354">
        <w:trPr>
          <w:trHeight w:val="288"/>
        </w:trPr>
        <w:tc>
          <w:tcPr>
            <w:tcW w:w="1890" w:type="dxa"/>
            <w:shd w:val="clear" w:color="auto" w:fill="auto"/>
            <w:noWrap/>
            <w:vAlign w:val="bottom"/>
          </w:tcPr>
          <w:p w14:paraId="1E5E181C" w14:textId="2550DD2C" w:rsidR="00014112" w:rsidRPr="00014112" w:rsidRDefault="00014112" w:rsidP="00D422A0">
            <w:pPr>
              <w:spacing w:after="0" w:line="240" w:lineRule="auto"/>
              <w:rPr>
                <w:color w:val="000000"/>
                <w:sz w:val="22"/>
                <w:szCs w:val="22"/>
                <w:lang w:bidi="ar-SA"/>
              </w:rPr>
            </w:pPr>
            <w:r w:rsidRPr="00014112">
              <w:rPr>
                <w:color w:val="000000"/>
                <w:sz w:val="22"/>
                <w:szCs w:val="22"/>
              </w:rPr>
              <w:t>Louisiana</w:t>
            </w:r>
          </w:p>
        </w:tc>
        <w:tc>
          <w:tcPr>
            <w:tcW w:w="1980" w:type="dxa"/>
            <w:shd w:val="clear" w:color="auto" w:fill="auto"/>
            <w:noWrap/>
            <w:vAlign w:val="bottom"/>
          </w:tcPr>
          <w:p w14:paraId="1ACFA24C" w14:textId="504FB01C" w:rsidR="00014112" w:rsidRPr="00014112" w:rsidRDefault="00014112" w:rsidP="00D422A0">
            <w:pPr>
              <w:spacing w:after="0" w:line="240" w:lineRule="auto"/>
              <w:jc w:val="right"/>
              <w:rPr>
                <w:color w:val="000000"/>
                <w:sz w:val="22"/>
                <w:szCs w:val="22"/>
                <w:lang w:bidi="ar-SA"/>
              </w:rPr>
            </w:pPr>
            <w:r w:rsidRPr="00014112">
              <w:rPr>
                <w:color w:val="000000"/>
                <w:sz w:val="22"/>
                <w:szCs w:val="22"/>
              </w:rPr>
              <w:t>26.9%</w:t>
            </w:r>
          </w:p>
        </w:tc>
        <w:tc>
          <w:tcPr>
            <w:tcW w:w="2090" w:type="dxa"/>
            <w:vAlign w:val="bottom"/>
          </w:tcPr>
          <w:p w14:paraId="50CEB702" w14:textId="06ECD177" w:rsidR="00014112" w:rsidRPr="00014112" w:rsidRDefault="00014112" w:rsidP="00D422A0">
            <w:pPr>
              <w:spacing w:after="0" w:line="240" w:lineRule="auto"/>
              <w:jc w:val="right"/>
              <w:rPr>
                <w:color w:val="000000"/>
                <w:sz w:val="22"/>
                <w:szCs w:val="22"/>
                <w:lang w:bidi="ar-SA"/>
              </w:rPr>
            </w:pPr>
            <w:r w:rsidRPr="00014112">
              <w:rPr>
                <w:color w:val="000000"/>
                <w:sz w:val="22"/>
                <w:szCs w:val="22"/>
              </w:rPr>
              <w:t>Massachusetts</w:t>
            </w:r>
          </w:p>
        </w:tc>
        <w:tc>
          <w:tcPr>
            <w:tcW w:w="2140" w:type="dxa"/>
            <w:vAlign w:val="bottom"/>
          </w:tcPr>
          <w:p w14:paraId="4D261315" w14:textId="4369401F" w:rsidR="00014112" w:rsidRPr="00014112" w:rsidRDefault="00014112" w:rsidP="00D422A0">
            <w:pPr>
              <w:spacing w:after="0" w:line="240" w:lineRule="auto"/>
              <w:jc w:val="right"/>
              <w:rPr>
                <w:color w:val="000000"/>
                <w:sz w:val="22"/>
                <w:szCs w:val="22"/>
                <w:lang w:bidi="ar-SA"/>
              </w:rPr>
            </w:pPr>
            <w:r w:rsidRPr="00014112">
              <w:rPr>
                <w:color w:val="000000"/>
                <w:sz w:val="22"/>
                <w:szCs w:val="22"/>
              </w:rPr>
              <w:t>15.3%</w:t>
            </w:r>
          </w:p>
        </w:tc>
      </w:tr>
      <w:tr w:rsidR="00014112" w:rsidRPr="00744212" w14:paraId="3EF5F619" w14:textId="48B6E259" w:rsidTr="00BA7354">
        <w:trPr>
          <w:trHeight w:val="288"/>
        </w:trPr>
        <w:tc>
          <w:tcPr>
            <w:tcW w:w="1890" w:type="dxa"/>
            <w:shd w:val="clear" w:color="auto" w:fill="auto"/>
            <w:noWrap/>
            <w:vAlign w:val="bottom"/>
          </w:tcPr>
          <w:p w14:paraId="3C22876E" w14:textId="2A419E94" w:rsidR="00014112" w:rsidRPr="00014112" w:rsidRDefault="00014112" w:rsidP="00D422A0">
            <w:pPr>
              <w:spacing w:after="0" w:line="240" w:lineRule="auto"/>
              <w:rPr>
                <w:color w:val="000000"/>
                <w:sz w:val="22"/>
                <w:szCs w:val="22"/>
                <w:lang w:bidi="ar-SA"/>
              </w:rPr>
            </w:pPr>
            <w:r w:rsidRPr="00014112">
              <w:rPr>
                <w:color w:val="000000"/>
                <w:sz w:val="22"/>
                <w:szCs w:val="22"/>
              </w:rPr>
              <w:t>West Virginia</w:t>
            </w:r>
          </w:p>
        </w:tc>
        <w:tc>
          <w:tcPr>
            <w:tcW w:w="1980" w:type="dxa"/>
            <w:shd w:val="clear" w:color="auto" w:fill="auto"/>
            <w:noWrap/>
            <w:vAlign w:val="bottom"/>
          </w:tcPr>
          <w:p w14:paraId="13B26C6B" w14:textId="1C23FE30" w:rsidR="00014112" w:rsidRPr="00014112" w:rsidRDefault="00014112" w:rsidP="00D422A0">
            <w:pPr>
              <w:spacing w:after="0" w:line="240" w:lineRule="auto"/>
              <w:jc w:val="right"/>
              <w:rPr>
                <w:color w:val="000000"/>
                <w:sz w:val="22"/>
                <w:szCs w:val="22"/>
                <w:lang w:bidi="ar-SA"/>
              </w:rPr>
            </w:pPr>
            <w:r w:rsidRPr="00014112">
              <w:rPr>
                <w:color w:val="000000"/>
                <w:sz w:val="22"/>
                <w:szCs w:val="22"/>
              </w:rPr>
              <w:t>26.7%</w:t>
            </w:r>
          </w:p>
        </w:tc>
        <w:tc>
          <w:tcPr>
            <w:tcW w:w="2090" w:type="dxa"/>
            <w:vAlign w:val="bottom"/>
          </w:tcPr>
          <w:p w14:paraId="7B6FD7E0" w14:textId="462C763B" w:rsidR="00014112" w:rsidRPr="00014112" w:rsidRDefault="00014112" w:rsidP="00D422A0">
            <w:pPr>
              <w:spacing w:after="0" w:line="240" w:lineRule="auto"/>
              <w:jc w:val="right"/>
              <w:rPr>
                <w:color w:val="000000"/>
                <w:sz w:val="22"/>
                <w:szCs w:val="22"/>
                <w:lang w:bidi="ar-SA"/>
              </w:rPr>
            </w:pPr>
            <w:r w:rsidRPr="00014112">
              <w:rPr>
                <w:color w:val="000000"/>
                <w:sz w:val="22"/>
                <w:szCs w:val="22"/>
              </w:rPr>
              <w:t>Virginia</w:t>
            </w:r>
          </w:p>
        </w:tc>
        <w:tc>
          <w:tcPr>
            <w:tcW w:w="2140" w:type="dxa"/>
            <w:vAlign w:val="bottom"/>
          </w:tcPr>
          <w:p w14:paraId="2B164261" w14:textId="37CDAF37" w:rsidR="00014112" w:rsidRPr="00014112" w:rsidRDefault="00014112" w:rsidP="00D422A0">
            <w:pPr>
              <w:spacing w:after="0" w:line="240" w:lineRule="auto"/>
              <w:jc w:val="right"/>
              <w:rPr>
                <w:color w:val="000000"/>
                <w:sz w:val="22"/>
                <w:szCs w:val="22"/>
                <w:lang w:bidi="ar-SA"/>
              </w:rPr>
            </w:pPr>
            <w:r w:rsidRPr="00014112">
              <w:rPr>
                <w:color w:val="000000"/>
                <w:sz w:val="22"/>
                <w:szCs w:val="22"/>
              </w:rPr>
              <w:t>14.8%</w:t>
            </w:r>
          </w:p>
        </w:tc>
      </w:tr>
      <w:tr w:rsidR="00014112" w:rsidRPr="00744212" w14:paraId="356A3755" w14:textId="0FFD591C" w:rsidTr="00BA7354">
        <w:trPr>
          <w:trHeight w:val="288"/>
        </w:trPr>
        <w:tc>
          <w:tcPr>
            <w:tcW w:w="1890" w:type="dxa"/>
            <w:shd w:val="clear" w:color="auto" w:fill="auto"/>
            <w:noWrap/>
            <w:vAlign w:val="bottom"/>
          </w:tcPr>
          <w:p w14:paraId="7CEF03E1" w14:textId="326D5315" w:rsidR="00014112" w:rsidRPr="00014112" w:rsidRDefault="00014112" w:rsidP="00D422A0">
            <w:pPr>
              <w:spacing w:after="0" w:line="240" w:lineRule="auto"/>
              <w:rPr>
                <w:color w:val="000000"/>
                <w:sz w:val="22"/>
                <w:szCs w:val="22"/>
                <w:lang w:bidi="ar-SA"/>
              </w:rPr>
            </w:pPr>
            <w:r w:rsidRPr="00014112">
              <w:rPr>
                <w:color w:val="000000"/>
                <w:sz w:val="22"/>
                <w:szCs w:val="22"/>
              </w:rPr>
              <w:t>Oregon</w:t>
            </w:r>
          </w:p>
        </w:tc>
        <w:tc>
          <w:tcPr>
            <w:tcW w:w="1980" w:type="dxa"/>
            <w:shd w:val="clear" w:color="auto" w:fill="auto"/>
            <w:noWrap/>
            <w:vAlign w:val="bottom"/>
          </w:tcPr>
          <w:p w14:paraId="7874D708" w14:textId="2BDB2D03" w:rsidR="00014112" w:rsidRPr="00014112" w:rsidRDefault="00014112" w:rsidP="00D422A0">
            <w:pPr>
              <w:spacing w:after="0" w:line="240" w:lineRule="auto"/>
              <w:jc w:val="right"/>
              <w:rPr>
                <w:color w:val="000000"/>
                <w:sz w:val="22"/>
                <w:szCs w:val="22"/>
                <w:lang w:bidi="ar-SA"/>
              </w:rPr>
            </w:pPr>
            <w:r w:rsidRPr="00014112">
              <w:rPr>
                <w:color w:val="000000"/>
                <w:sz w:val="22"/>
                <w:szCs w:val="22"/>
              </w:rPr>
              <w:t>26.2%</w:t>
            </w:r>
          </w:p>
        </w:tc>
        <w:tc>
          <w:tcPr>
            <w:tcW w:w="2090" w:type="dxa"/>
            <w:vAlign w:val="bottom"/>
          </w:tcPr>
          <w:p w14:paraId="47023F69" w14:textId="32C09186" w:rsidR="00014112" w:rsidRPr="00014112" w:rsidRDefault="00014112" w:rsidP="00D422A0">
            <w:pPr>
              <w:spacing w:after="0" w:line="240" w:lineRule="auto"/>
              <w:jc w:val="right"/>
              <w:rPr>
                <w:color w:val="000000"/>
                <w:sz w:val="22"/>
                <w:szCs w:val="22"/>
                <w:lang w:bidi="ar-SA"/>
              </w:rPr>
            </w:pPr>
            <w:r w:rsidRPr="00014112">
              <w:rPr>
                <w:color w:val="000000"/>
                <w:sz w:val="22"/>
                <w:szCs w:val="22"/>
              </w:rPr>
              <w:t>New York</w:t>
            </w:r>
          </w:p>
        </w:tc>
        <w:tc>
          <w:tcPr>
            <w:tcW w:w="2140" w:type="dxa"/>
            <w:vAlign w:val="bottom"/>
          </w:tcPr>
          <w:p w14:paraId="055040CC" w14:textId="68C7B588" w:rsidR="00014112" w:rsidRPr="00014112" w:rsidRDefault="00014112" w:rsidP="00D422A0">
            <w:pPr>
              <w:spacing w:after="0" w:line="240" w:lineRule="auto"/>
              <w:jc w:val="right"/>
              <w:rPr>
                <w:color w:val="000000"/>
                <w:sz w:val="22"/>
                <w:szCs w:val="22"/>
                <w:lang w:bidi="ar-SA"/>
              </w:rPr>
            </w:pPr>
            <w:r w:rsidRPr="00014112">
              <w:rPr>
                <w:color w:val="000000"/>
                <w:sz w:val="22"/>
                <w:szCs w:val="22"/>
              </w:rPr>
              <w:t>14.6%</w:t>
            </w:r>
          </w:p>
        </w:tc>
      </w:tr>
      <w:tr w:rsidR="00014112" w:rsidRPr="00744212" w14:paraId="2301CE66" w14:textId="72D2795E" w:rsidTr="00BA7354">
        <w:trPr>
          <w:trHeight w:val="288"/>
        </w:trPr>
        <w:tc>
          <w:tcPr>
            <w:tcW w:w="1890" w:type="dxa"/>
            <w:shd w:val="clear" w:color="auto" w:fill="auto"/>
            <w:noWrap/>
            <w:vAlign w:val="bottom"/>
          </w:tcPr>
          <w:p w14:paraId="46D9813C" w14:textId="271912C3" w:rsidR="00014112" w:rsidRPr="00014112" w:rsidRDefault="00014112" w:rsidP="00D422A0">
            <w:pPr>
              <w:spacing w:after="0" w:line="240" w:lineRule="auto"/>
              <w:rPr>
                <w:color w:val="000000"/>
                <w:sz w:val="22"/>
                <w:szCs w:val="22"/>
                <w:lang w:bidi="ar-SA"/>
              </w:rPr>
            </w:pPr>
            <w:r w:rsidRPr="00014112">
              <w:rPr>
                <w:color w:val="000000"/>
                <w:sz w:val="22"/>
                <w:szCs w:val="22"/>
              </w:rPr>
              <w:t>Montana</w:t>
            </w:r>
          </w:p>
        </w:tc>
        <w:tc>
          <w:tcPr>
            <w:tcW w:w="1980" w:type="dxa"/>
            <w:shd w:val="clear" w:color="auto" w:fill="auto"/>
            <w:noWrap/>
            <w:vAlign w:val="bottom"/>
          </w:tcPr>
          <w:p w14:paraId="213FADF8" w14:textId="125AA110" w:rsidR="00014112" w:rsidRPr="00014112" w:rsidRDefault="00014112" w:rsidP="00D422A0">
            <w:pPr>
              <w:spacing w:after="0" w:line="240" w:lineRule="auto"/>
              <w:jc w:val="right"/>
              <w:rPr>
                <w:color w:val="000000"/>
                <w:sz w:val="22"/>
                <w:szCs w:val="22"/>
                <w:lang w:bidi="ar-SA"/>
              </w:rPr>
            </w:pPr>
            <w:r w:rsidRPr="00014112">
              <w:rPr>
                <w:color w:val="000000"/>
                <w:sz w:val="22"/>
                <w:szCs w:val="22"/>
              </w:rPr>
              <w:t>25.8%</w:t>
            </w:r>
          </w:p>
        </w:tc>
        <w:tc>
          <w:tcPr>
            <w:tcW w:w="2090" w:type="dxa"/>
            <w:vAlign w:val="bottom"/>
          </w:tcPr>
          <w:p w14:paraId="1D97461C" w14:textId="209B7E39" w:rsidR="00014112" w:rsidRPr="00014112" w:rsidRDefault="00014112" w:rsidP="00D422A0">
            <w:pPr>
              <w:spacing w:after="0" w:line="240" w:lineRule="auto"/>
              <w:jc w:val="right"/>
              <w:rPr>
                <w:color w:val="000000"/>
                <w:sz w:val="22"/>
                <w:szCs w:val="22"/>
                <w:lang w:bidi="ar-SA"/>
              </w:rPr>
            </w:pPr>
            <w:r w:rsidRPr="00014112">
              <w:rPr>
                <w:color w:val="000000"/>
                <w:sz w:val="22"/>
                <w:szCs w:val="22"/>
              </w:rPr>
              <w:t>Maine</w:t>
            </w:r>
          </w:p>
        </w:tc>
        <w:tc>
          <w:tcPr>
            <w:tcW w:w="2140" w:type="dxa"/>
            <w:vAlign w:val="bottom"/>
          </w:tcPr>
          <w:p w14:paraId="0F87123F" w14:textId="508C1977" w:rsidR="00014112" w:rsidRPr="00014112" w:rsidRDefault="00014112" w:rsidP="00D422A0">
            <w:pPr>
              <w:spacing w:after="0" w:line="240" w:lineRule="auto"/>
              <w:jc w:val="right"/>
              <w:rPr>
                <w:color w:val="000000"/>
                <w:sz w:val="22"/>
                <w:szCs w:val="22"/>
                <w:lang w:bidi="ar-SA"/>
              </w:rPr>
            </w:pPr>
            <w:r w:rsidRPr="00014112">
              <w:rPr>
                <w:color w:val="000000"/>
                <w:sz w:val="22"/>
                <w:szCs w:val="22"/>
              </w:rPr>
              <w:t>14.2%</w:t>
            </w:r>
          </w:p>
        </w:tc>
      </w:tr>
      <w:tr w:rsidR="00014112" w:rsidRPr="00744212" w14:paraId="46F97CEE" w14:textId="4BD3C18B" w:rsidTr="00BA7354">
        <w:trPr>
          <w:trHeight w:val="288"/>
        </w:trPr>
        <w:tc>
          <w:tcPr>
            <w:tcW w:w="1890" w:type="dxa"/>
            <w:shd w:val="clear" w:color="auto" w:fill="auto"/>
            <w:noWrap/>
            <w:vAlign w:val="bottom"/>
          </w:tcPr>
          <w:p w14:paraId="1757E797" w14:textId="07F19D48" w:rsidR="00014112" w:rsidRPr="00014112" w:rsidRDefault="00014112" w:rsidP="00D422A0">
            <w:pPr>
              <w:spacing w:after="0" w:line="240" w:lineRule="auto"/>
              <w:rPr>
                <w:color w:val="000000"/>
                <w:sz w:val="22"/>
                <w:szCs w:val="22"/>
                <w:lang w:bidi="ar-SA"/>
              </w:rPr>
            </w:pPr>
            <w:r w:rsidRPr="00014112">
              <w:rPr>
                <w:color w:val="000000"/>
                <w:sz w:val="22"/>
                <w:szCs w:val="22"/>
              </w:rPr>
              <w:t>Colorado</w:t>
            </w:r>
          </w:p>
        </w:tc>
        <w:tc>
          <w:tcPr>
            <w:tcW w:w="1980" w:type="dxa"/>
            <w:shd w:val="clear" w:color="auto" w:fill="auto"/>
            <w:noWrap/>
            <w:vAlign w:val="bottom"/>
          </w:tcPr>
          <w:p w14:paraId="225C38BD" w14:textId="39E1958A" w:rsidR="00014112" w:rsidRPr="00014112" w:rsidRDefault="00014112" w:rsidP="00D422A0">
            <w:pPr>
              <w:spacing w:after="0" w:line="240" w:lineRule="auto"/>
              <w:jc w:val="right"/>
              <w:rPr>
                <w:color w:val="000000"/>
                <w:sz w:val="22"/>
                <w:szCs w:val="22"/>
                <w:lang w:bidi="ar-SA"/>
              </w:rPr>
            </w:pPr>
            <w:r w:rsidRPr="00014112">
              <w:rPr>
                <w:color w:val="000000"/>
                <w:sz w:val="22"/>
                <w:szCs w:val="22"/>
              </w:rPr>
              <w:t>25.7%</w:t>
            </w:r>
          </w:p>
        </w:tc>
        <w:tc>
          <w:tcPr>
            <w:tcW w:w="2090" w:type="dxa"/>
            <w:vAlign w:val="bottom"/>
          </w:tcPr>
          <w:p w14:paraId="1730B3AD" w14:textId="0846218F" w:rsidR="00014112" w:rsidRPr="00014112" w:rsidRDefault="00014112" w:rsidP="00D422A0">
            <w:pPr>
              <w:spacing w:after="0" w:line="240" w:lineRule="auto"/>
              <w:jc w:val="right"/>
              <w:rPr>
                <w:color w:val="000000"/>
                <w:sz w:val="22"/>
                <w:szCs w:val="22"/>
                <w:lang w:bidi="ar-SA"/>
              </w:rPr>
            </w:pPr>
            <w:r w:rsidRPr="00014112">
              <w:rPr>
                <w:color w:val="000000"/>
                <w:sz w:val="22"/>
                <w:szCs w:val="22"/>
              </w:rPr>
              <w:t>New Jersey</w:t>
            </w:r>
          </w:p>
        </w:tc>
        <w:tc>
          <w:tcPr>
            <w:tcW w:w="2140" w:type="dxa"/>
            <w:vAlign w:val="bottom"/>
          </w:tcPr>
          <w:p w14:paraId="15B4D65A" w14:textId="29B9DC20" w:rsidR="00014112" w:rsidRPr="00014112" w:rsidRDefault="00014112" w:rsidP="00D422A0">
            <w:pPr>
              <w:spacing w:after="0" w:line="240" w:lineRule="auto"/>
              <w:jc w:val="right"/>
              <w:rPr>
                <w:color w:val="000000"/>
                <w:sz w:val="22"/>
                <w:szCs w:val="22"/>
                <w:lang w:bidi="ar-SA"/>
              </w:rPr>
            </w:pPr>
            <w:r w:rsidRPr="00014112">
              <w:rPr>
                <w:color w:val="000000"/>
                <w:sz w:val="22"/>
                <w:szCs w:val="22"/>
              </w:rPr>
              <w:t>13.4%</w:t>
            </w:r>
          </w:p>
        </w:tc>
      </w:tr>
      <w:tr w:rsidR="00014112" w:rsidRPr="00744212" w14:paraId="10F52DA0" w14:textId="559000E7" w:rsidTr="00BA7354">
        <w:trPr>
          <w:trHeight w:val="288"/>
        </w:trPr>
        <w:tc>
          <w:tcPr>
            <w:tcW w:w="1890" w:type="dxa"/>
            <w:shd w:val="clear" w:color="auto" w:fill="auto"/>
            <w:noWrap/>
            <w:vAlign w:val="bottom"/>
          </w:tcPr>
          <w:p w14:paraId="6C3AA13B" w14:textId="5B2B8FD9" w:rsidR="00014112" w:rsidRPr="00014112" w:rsidRDefault="00014112" w:rsidP="00D422A0">
            <w:pPr>
              <w:spacing w:after="0" w:line="240" w:lineRule="auto"/>
              <w:rPr>
                <w:color w:val="000000"/>
                <w:sz w:val="22"/>
                <w:szCs w:val="22"/>
                <w:lang w:bidi="ar-SA"/>
              </w:rPr>
            </w:pPr>
            <w:r w:rsidRPr="00014112">
              <w:rPr>
                <w:color w:val="000000"/>
                <w:sz w:val="22"/>
                <w:szCs w:val="22"/>
              </w:rPr>
              <w:t>Vermont</w:t>
            </w:r>
          </w:p>
        </w:tc>
        <w:tc>
          <w:tcPr>
            <w:tcW w:w="1980" w:type="dxa"/>
            <w:shd w:val="clear" w:color="auto" w:fill="auto"/>
            <w:noWrap/>
            <w:vAlign w:val="bottom"/>
          </w:tcPr>
          <w:p w14:paraId="20484E6B" w14:textId="1E32A7DA" w:rsidR="00014112" w:rsidRPr="00014112" w:rsidRDefault="00014112" w:rsidP="00D422A0">
            <w:pPr>
              <w:spacing w:after="0" w:line="240" w:lineRule="auto"/>
              <w:jc w:val="right"/>
              <w:rPr>
                <w:color w:val="000000"/>
                <w:sz w:val="22"/>
                <w:szCs w:val="22"/>
                <w:lang w:bidi="ar-SA"/>
              </w:rPr>
            </w:pPr>
            <w:r w:rsidRPr="00014112">
              <w:rPr>
                <w:color w:val="000000"/>
                <w:sz w:val="22"/>
                <w:szCs w:val="22"/>
              </w:rPr>
              <w:t>25.7%</w:t>
            </w:r>
          </w:p>
        </w:tc>
        <w:tc>
          <w:tcPr>
            <w:tcW w:w="2090" w:type="dxa"/>
            <w:vAlign w:val="bottom"/>
          </w:tcPr>
          <w:p w14:paraId="6DA06627" w14:textId="05821E0E" w:rsidR="00014112" w:rsidRPr="00014112" w:rsidRDefault="00014112" w:rsidP="00D422A0">
            <w:pPr>
              <w:spacing w:after="0" w:line="240" w:lineRule="auto"/>
              <w:jc w:val="right"/>
              <w:rPr>
                <w:color w:val="000000"/>
                <w:sz w:val="22"/>
                <w:szCs w:val="22"/>
                <w:lang w:bidi="ar-SA"/>
              </w:rPr>
            </w:pPr>
            <w:r w:rsidRPr="00014112">
              <w:rPr>
                <w:color w:val="000000"/>
                <w:sz w:val="22"/>
                <w:szCs w:val="22"/>
              </w:rPr>
              <w:t>Rhode Island</w:t>
            </w:r>
          </w:p>
        </w:tc>
        <w:tc>
          <w:tcPr>
            <w:tcW w:w="2140" w:type="dxa"/>
            <w:vAlign w:val="bottom"/>
          </w:tcPr>
          <w:p w14:paraId="107F7F54" w14:textId="5A3E6EB2" w:rsidR="00014112" w:rsidRPr="00014112" w:rsidRDefault="00014112" w:rsidP="00D422A0">
            <w:pPr>
              <w:spacing w:after="0" w:line="240" w:lineRule="auto"/>
              <w:jc w:val="right"/>
              <w:rPr>
                <w:color w:val="000000"/>
                <w:sz w:val="22"/>
                <w:szCs w:val="22"/>
                <w:lang w:bidi="ar-SA"/>
              </w:rPr>
            </w:pPr>
            <w:r w:rsidRPr="00014112">
              <w:rPr>
                <w:color w:val="000000"/>
                <w:sz w:val="22"/>
                <w:szCs w:val="22"/>
              </w:rPr>
              <w:t>12.1%</w:t>
            </w:r>
          </w:p>
        </w:tc>
      </w:tr>
      <w:tr w:rsidR="00014112" w:rsidRPr="00744212" w14:paraId="1D292926" w14:textId="06447217" w:rsidTr="00BA7354">
        <w:trPr>
          <w:trHeight w:val="288"/>
        </w:trPr>
        <w:tc>
          <w:tcPr>
            <w:tcW w:w="1890" w:type="dxa"/>
            <w:shd w:val="clear" w:color="auto" w:fill="auto"/>
            <w:noWrap/>
            <w:vAlign w:val="bottom"/>
          </w:tcPr>
          <w:p w14:paraId="28E402EE" w14:textId="313A569E" w:rsidR="00014112" w:rsidRPr="00014112" w:rsidRDefault="00014112" w:rsidP="00D422A0">
            <w:pPr>
              <w:spacing w:after="0" w:line="240" w:lineRule="auto"/>
              <w:rPr>
                <w:color w:val="000000"/>
                <w:sz w:val="22"/>
                <w:szCs w:val="22"/>
                <w:lang w:bidi="ar-SA"/>
              </w:rPr>
            </w:pPr>
            <w:r w:rsidRPr="00014112">
              <w:rPr>
                <w:color w:val="000000"/>
                <w:sz w:val="22"/>
                <w:szCs w:val="22"/>
              </w:rPr>
              <w:t>Missouri</w:t>
            </w:r>
          </w:p>
        </w:tc>
        <w:tc>
          <w:tcPr>
            <w:tcW w:w="1980" w:type="dxa"/>
            <w:shd w:val="clear" w:color="auto" w:fill="auto"/>
            <w:noWrap/>
            <w:vAlign w:val="bottom"/>
          </w:tcPr>
          <w:p w14:paraId="4E5139F4" w14:textId="185E0C12" w:rsidR="00014112" w:rsidRPr="00014112" w:rsidRDefault="00014112" w:rsidP="00D422A0">
            <w:pPr>
              <w:spacing w:after="0" w:line="240" w:lineRule="auto"/>
              <w:jc w:val="right"/>
              <w:rPr>
                <w:color w:val="000000"/>
                <w:sz w:val="22"/>
                <w:szCs w:val="22"/>
                <w:lang w:bidi="ar-SA"/>
              </w:rPr>
            </w:pPr>
            <w:r w:rsidRPr="00014112">
              <w:rPr>
                <w:color w:val="000000"/>
                <w:sz w:val="22"/>
                <w:szCs w:val="22"/>
              </w:rPr>
              <w:t>25.4%</w:t>
            </w:r>
          </w:p>
        </w:tc>
        <w:tc>
          <w:tcPr>
            <w:tcW w:w="2090" w:type="dxa"/>
            <w:vAlign w:val="bottom"/>
          </w:tcPr>
          <w:p w14:paraId="548104D9" w14:textId="6BC7ADEA" w:rsidR="00014112" w:rsidRPr="00014112" w:rsidRDefault="00014112" w:rsidP="00D422A0">
            <w:pPr>
              <w:spacing w:after="0" w:line="240" w:lineRule="auto"/>
              <w:jc w:val="right"/>
              <w:rPr>
                <w:color w:val="000000"/>
                <w:sz w:val="22"/>
                <w:szCs w:val="22"/>
                <w:lang w:bidi="ar-SA"/>
              </w:rPr>
            </w:pPr>
            <w:r w:rsidRPr="00014112">
              <w:rPr>
                <w:color w:val="000000"/>
                <w:sz w:val="22"/>
                <w:szCs w:val="22"/>
              </w:rPr>
              <w:t>New Hampshire</w:t>
            </w:r>
          </w:p>
        </w:tc>
        <w:tc>
          <w:tcPr>
            <w:tcW w:w="2140" w:type="dxa"/>
            <w:vAlign w:val="bottom"/>
          </w:tcPr>
          <w:p w14:paraId="0AD99528" w14:textId="28298FE9" w:rsidR="00014112" w:rsidRPr="00014112" w:rsidRDefault="00014112" w:rsidP="00D422A0">
            <w:pPr>
              <w:spacing w:after="0" w:line="240" w:lineRule="auto"/>
              <w:jc w:val="right"/>
              <w:rPr>
                <w:color w:val="000000"/>
                <w:sz w:val="22"/>
                <w:szCs w:val="22"/>
                <w:lang w:bidi="ar-SA"/>
              </w:rPr>
            </w:pPr>
            <w:r w:rsidRPr="00014112">
              <w:rPr>
                <w:color w:val="000000"/>
                <w:sz w:val="22"/>
                <w:szCs w:val="22"/>
              </w:rPr>
              <w:t>11.0%</w:t>
            </w:r>
          </w:p>
        </w:tc>
      </w:tr>
      <w:tr w:rsidR="00014112" w:rsidRPr="00744212" w14:paraId="68685B28" w14:textId="583BC6DE" w:rsidTr="00BA7354">
        <w:trPr>
          <w:trHeight w:val="288"/>
        </w:trPr>
        <w:tc>
          <w:tcPr>
            <w:tcW w:w="1890" w:type="dxa"/>
            <w:shd w:val="clear" w:color="auto" w:fill="auto"/>
            <w:noWrap/>
            <w:vAlign w:val="bottom"/>
          </w:tcPr>
          <w:p w14:paraId="4F1C52AC" w14:textId="2619BC9F" w:rsidR="00014112" w:rsidRPr="00014112" w:rsidRDefault="00014112" w:rsidP="00D422A0">
            <w:pPr>
              <w:spacing w:after="0" w:line="240" w:lineRule="auto"/>
              <w:rPr>
                <w:color w:val="000000"/>
                <w:sz w:val="22"/>
                <w:szCs w:val="22"/>
                <w:lang w:bidi="ar-SA"/>
              </w:rPr>
            </w:pPr>
            <w:r w:rsidRPr="00014112">
              <w:rPr>
                <w:color w:val="000000"/>
                <w:sz w:val="22"/>
                <w:szCs w:val="22"/>
              </w:rPr>
              <w:t>Nebraska</w:t>
            </w:r>
          </w:p>
        </w:tc>
        <w:tc>
          <w:tcPr>
            <w:tcW w:w="1980" w:type="dxa"/>
            <w:shd w:val="clear" w:color="auto" w:fill="auto"/>
            <w:noWrap/>
            <w:vAlign w:val="bottom"/>
          </w:tcPr>
          <w:p w14:paraId="0C9C6F59" w14:textId="6B01D904" w:rsidR="00014112" w:rsidRPr="00014112" w:rsidRDefault="00014112" w:rsidP="00D422A0">
            <w:pPr>
              <w:spacing w:after="0" w:line="240" w:lineRule="auto"/>
              <w:jc w:val="right"/>
              <w:rPr>
                <w:color w:val="000000"/>
                <w:sz w:val="22"/>
                <w:szCs w:val="22"/>
                <w:lang w:bidi="ar-SA"/>
              </w:rPr>
            </w:pPr>
            <w:r w:rsidRPr="00014112">
              <w:rPr>
                <w:color w:val="000000"/>
                <w:sz w:val="22"/>
                <w:szCs w:val="22"/>
              </w:rPr>
              <w:t>25.3%</w:t>
            </w:r>
          </w:p>
        </w:tc>
        <w:tc>
          <w:tcPr>
            <w:tcW w:w="2090" w:type="dxa"/>
            <w:vAlign w:val="bottom"/>
          </w:tcPr>
          <w:p w14:paraId="4CE6F5DF" w14:textId="6667D800" w:rsidR="00014112" w:rsidRPr="00014112" w:rsidRDefault="00014112" w:rsidP="00D422A0">
            <w:pPr>
              <w:spacing w:after="0" w:line="240" w:lineRule="auto"/>
              <w:jc w:val="right"/>
              <w:rPr>
                <w:b/>
                <w:color w:val="000000"/>
                <w:sz w:val="22"/>
                <w:szCs w:val="22"/>
                <w:lang w:bidi="ar-SA"/>
              </w:rPr>
            </w:pPr>
            <w:r w:rsidRPr="00014112">
              <w:rPr>
                <w:b/>
                <w:color w:val="000000"/>
                <w:sz w:val="22"/>
                <w:szCs w:val="22"/>
              </w:rPr>
              <w:t>Connecticut</w:t>
            </w:r>
          </w:p>
        </w:tc>
        <w:tc>
          <w:tcPr>
            <w:tcW w:w="2140" w:type="dxa"/>
            <w:vAlign w:val="bottom"/>
          </w:tcPr>
          <w:p w14:paraId="08491A5A" w14:textId="5D82B10A" w:rsidR="00014112" w:rsidRPr="00014112" w:rsidRDefault="00014112" w:rsidP="00D422A0">
            <w:pPr>
              <w:spacing w:after="0" w:line="240" w:lineRule="auto"/>
              <w:jc w:val="right"/>
              <w:rPr>
                <w:b/>
                <w:color w:val="000000"/>
                <w:sz w:val="22"/>
                <w:szCs w:val="22"/>
                <w:lang w:bidi="ar-SA"/>
              </w:rPr>
            </w:pPr>
            <w:r w:rsidRPr="00014112">
              <w:rPr>
                <w:b/>
                <w:color w:val="000000"/>
                <w:sz w:val="22"/>
                <w:szCs w:val="22"/>
              </w:rPr>
              <w:t>8.6%</w:t>
            </w:r>
          </w:p>
        </w:tc>
      </w:tr>
      <w:tr w:rsidR="00014112" w:rsidRPr="00744212" w14:paraId="52C6DF2E" w14:textId="7784B127" w:rsidTr="00BA7354">
        <w:trPr>
          <w:trHeight w:val="288"/>
        </w:trPr>
        <w:tc>
          <w:tcPr>
            <w:tcW w:w="1890" w:type="dxa"/>
            <w:shd w:val="clear" w:color="auto" w:fill="auto"/>
            <w:noWrap/>
            <w:vAlign w:val="bottom"/>
          </w:tcPr>
          <w:p w14:paraId="067E05B8" w14:textId="4465F5B4" w:rsidR="00014112" w:rsidRPr="00014112" w:rsidRDefault="00014112" w:rsidP="00D422A0">
            <w:pPr>
              <w:spacing w:after="0" w:line="240" w:lineRule="auto"/>
              <w:rPr>
                <w:color w:val="000000"/>
                <w:sz w:val="22"/>
                <w:szCs w:val="22"/>
                <w:lang w:bidi="ar-SA"/>
              </w:rPr>
            </w:pPr>
            <w:r w:rsidRPr="00014112">
              <w:rPr>
                <w:color w:val="000000"/>
                <w:sz w:val="22"/>
                <w:szCs w:val="22"/>
              </w:rPr>
              <w:t>Washington</w:t>
            </w:r>
          </w:p>
        </w:tc>
        <w:tc>
          <w:tcPr>
            <w:tcW w:w="1980" w:type="dxa"/>
            <w:shd w:val="clear" w:color="auto" w:fill="auto"/>
            <w:noWrap/>
            <w:vAlign w:val="bottom"/>
          </w:tcPr>
          <w:p w14:paraId="2BAE24CF" w14:textId="40EF5D6C" w:rsidR="00014112" w:rsidRPr="00014112" w:rsidRDefault="00014112" w:rsidP="00D422A0">
            <w:pPr>
              <w:spacing w:after="0" w:line="240" w:lineRule="auto"/>
              <w:jc w:val="right"/>
              <w:rPr>
                <w:color w:val="000000"/>
                <w:sz w:val="22"/>
                <w:szCs w:val="22"/>
                <w:lang w:bidi="ar-SA"/>
              </w:rPr>
            </w:pPr>
            <w:r w:rsidRPr="00014112">
              <w:rPr>
                <w:color w:val="000000"/>
                <w:sz w:val="22"/>
                <w:szCs w:val="22"/>
              </w:rPr>
              <w:t>25.2%</w:t>
            </w:r>
          </w:p>
        </w:tc>
        <w:tc>
          <w:tcPr>
            <w:tcW w:w="2090" w:type="dxa"/>
            <w:vAlign w:val="bottom"/>
          </w:tcPr>
          <w:p w14:paraId="070F5C19" w14:textId="256671DE" w:rsidR="00014112" w:rsidRPr="00014112" w:rsidRDefault="00014112" w:rsidP="00D422A0">
            <w:pPr>
              <w:spacing w:after="0" w:line="240" w:lineRule="auto"/>
              <w:jc w:val="right"/>
              <w:rPr>
                <w:color w:val="000000"/>
                <w:sz w:val="22"/>
                <w:szCs w:val="22"/>
                <w:lang w:bidi="ar-SA"/>
              </w:rPr>
            </w:pPr>
            <w:r w:rsidRPr="00014112">
              <w:rPr>
                <w:color w:val="000000"/>
                <w:sz w:val="22"/>
                <w:szCs w:val="22"/>
              </w:rPr>
              <w:t>District of Columbia</w:t>
            </w:r>
          </w:p>
        </w:tc>
        <w:tc>
          <w:tcPr>
            <w:tcW w:w="2140" w:type="dxa"/>
            <w:vAlign w:val="bottom"/>
          </w:tcPr>
          <w:p w14:paraId="388D29CB" w14:textId="79CEACD6" w:rsidR="00014112" w:rsidRPr="00014112" w:rsidRDefault="00014112" w:rsidP="00D422A0">
            <w:pPr>
              <w:spacing w:after="0" w:line="240" w:lineRule="auto"/>
              <w:jc w:val="right"/>
              <w:rPr>
                <w:color w:val="000000"/>
                <w:sz w:val="22"/>
                <w:szCs w:val="22"/>
                <w:lang w:bidi="ar-SA"/>
              </w:rPr>
            </w:pPr>
            <w:r w:rsidRPr="00014112">
              <w:rPr>
                <w:color w:val="000000"/>
                <w:sz w:val="22"/>
                <w:szCs w:val="22"/>
              </w:rPr>
              <w:t>8.5%</w:t>
            </w:r>
          </w:p>
        </w:tc>
      </w:tr>
      <w:tr w:rsidR="00014112" w:rsidRPr="00744212" w14:paraId="412EC510" w14:textId="1A8917B5" w:rsidTr="00BA7354">
        <w:trPr>
          <w:trHeight w:val="288"/>
        </w:trPr>
        <w:tc>
          <w:tcPr>
            <w:tcW w:w="1890" w:type="dxa"/>
            <w:tcBorders>
              <w:bottom w:val="single" w:sz="4" w:space="0" w:color="auto"/>
            </w:tcBorders>
            <w:shd w:val="clear" w:color="auto" w:fill="auto"/>
            <w:noWrap/>
            <w:vAlign w:val="bottom"/>
          </w:tcPr>
          <w:p w14:paraId="326CDA94" w14:textId="0E0D8BB8" w:rsidR="00014112" w:rsidRPr="00014112" w:rsidRDefault="00014112" w:rsidP="00D422A0">
            <w:pPr>
              <w:spacing w:after="0" w:line="240" w:lineRule="auto"/>
              <w:rPr>
                <w:color w:val="000000"/>
                <w:sz w:val="22"/>
                <w:szCs w:val="22"/>
                <w:lang w:bidi="ar-SA"/>
              </w:rPr>
            </w:pPr>
            <w:r w:rsidRPr="00014112">
              <w:rPr>
                <w:color w:val="000000"/>
                <w:sz w:val="22"/>
                <w:szCs w:val="22"/>
              </w:rPr>
              <w:t>Kansas</w:t>
            </w:r>
          </w:p>
        </w:tc>
        <w:tc>
          <w:tcPr>
            <w:tcW w:w="1980" w:type="dxa"/>
            <w:tcBorders>
              <w:bottom w:val="single" w:sz="4" w:space="0" w:color="auto"/>
            </w:tcBorders>
            <w:shd w:val="clear" w:color="auto" w:fill="auto"/>
            <w:noWrap/>
            <w:vAlign w:val="bottom"/>
          </w:tcPr>
          <w:p w14:paraId="150A24B4" w14:textId="39DFD286" w:rsidR="00014112" w:rsidRPr="00014112" w:rsidRDefault="00014112" w:rsidP="00D422A0">
            <w:pPr>
              <w:spacing w:after="0" w:line="240" w:lineRule="auto"/>
              <w:jc w:val="right"/>
              <w:rPr>
                <w:color w:val="000000"/>
                <w:sz w:val="22"/>
                <w:szCs w:val="22"/>
                <w:lang w:bidi="ar-SA"/>
              </w:rPr>
            </w:pPr>
            <w:r w:rsidRPr="00014112">
              <w:rPr>
                <w:color w:val="000000"/>
                <w:sz w:val="22"/>
                <w:szCs w:val="22"/>
              </w:rPr>
              <w:t>25.0%</w:t>
            </w:r>
          </w:p>
        </w:tc>
        <w:tc>
          <w:tcPr>
            <w:tcW w:w="2090" w:type="dxa"/>
            <w:tcBorders>
              <w:bottom w:val="single" w:sz="4" w:space="0" w:color="auto"/>
            </w:tcBorders>
            <w:vAlign w:val="bottom"/>
          </w:tcPr>
          <w:p w14:paraId="65E3728D" w14:textId="0191E66E" w:rsidR="00014112" w:rsidRPr="00014112" w:rsidRDefault="00014112" w:rsidP="00D422A0">
            <w:pPr>
              <w:spacing w:after="0" w:line="240" w:lineRule="auto"/>
              <w:jc w:val="right"/>
              <w:rPr>
                <w:color w:val="000000"/>
                <w:sz w:val="22"/>
                <w:szCs w:val="22"/>
                <w:lang w:bidi="ar-SA"/>
              </w:rPr>
            </w:pPr>
            <w:r w:rsidRPr="00014112">
              <w:rPr>
                <w:color w:val="000000"/>
                <w:sz w:val="22"/>
                <w:szCs w:val="22"/>
              </w:rPr>
              <w:t>United States</w:t>
            </w:r>
          </w:p>
        </w:tc>
        <w:tc>
          <w:tcPr>
            <w:tcW w:w="2140" w:type="dxa"/>
            <w:tcBorders>
              <w:bottom w:val="single" w:sz="4" w:space="0" w:color="auto"/>
            </w:tcBorders>
            <w:vAlign w:val="bottom"/>
          </w:tcPr>
          <w:p w14:paraId="185F2EC2" w14:textId="7089AEE2" w:rsidR="00014112" w:rsidRPr="00014112" w:rsidRDefault="00014112" w:rsidP="00D422A0">
            <w:pPr>
              <w:spacing w:after="0" w:line="240" w:lineRule="auto"/>
              <w:jc w:val="right"/>
              <w:rPr>
                <w:color w:val="000000"/>
                <w:sz w:val="22"/>
                <w:szCs w:val="22"/>
                <w:lang w:bidi="ar-SA"/>
              </w:rPr>
            </w:pPr>
            <w:r w:rsidRPr="00014112">
              <w:rPr>
                <w:color w:val="000000"/>
                <w:sz w:val="22"/>
                <w:szCs w:val="22"/>
              </w:rPr>
              <w:t>22.9%</w:t>
            </w:r>
          </w:p>
        </w:tc>
      </w:tr>
    </w:tbl>
    <w:p w14:paraId="0791760C" w14:textId="77777777" w:rsidR="00744212" w:rsidRDefault="00744212" w:rsidP="00D422A0">
      <w:pPr>
        <w:spacing w:after="0" w:line="240" w:lineRule="auto"/>
      </w:pPr>
      <w:r>
        <w:t>Note: Current charges do</w:t>
      </w:r>
      <w:r w:rsidR="007E58C7" w:rsidRPr="007E58C7">
        <w:t xml:space="preserve"> not include utility charges</w:t>
      </w:r>
      <w:r>
        <w:t>.</w:t>
      </w:r>
    </w:p>
    <w:p w14:paraId="25BF31E3" w14:textId="726A60D4" w:rsidR="007E58C7" w:rsidRDefault="007E58C7" w:rsidP="00D422A0">
      <w:pPr>
        <w:spacing w:after="0" w:line="240" w:lineRule="auto"/>
      </w:pPr>
      <w:r w:rsidRPr="007E58C7">
        <w:t>Source: Bureau of the Census, Government Finances: FY 201</w:t>
      </w:r>
      <w:r w:rsidR="00FD2397">
        <w:t>2</w:t>
      </w:r>
      <w:r w:rsidRPr="007E58C7">
        <w:t>.</w:t>
      </w:r>
    </w:p>
    <w:p w14:paraId="7CB7E638" w14:textId="77777777" w:rsidR="005959A4" w:rsidRPr="00710363" w:rsidRDefault="005959A4" w:rsidP="00D422A0">
      <w:pPr>
        <w:pStyle w:val="ListParagraph"/>
        <w:spacing w:after="0" w:line="480" w:lineRule="auto"/>
        <w:ind w:left="0"/>
      </w:pPr>
    </w:p>
    <w:p w14:paraId="606D9409" w14:textId="31371BB1" w:rsidR="0056591D" w:rsidRDefault="005959A4" w:rsidP="00D422A0">
      <w:pPr>
        <w:pStyle w:val="ListParagraph"/>
        <w:spacing w:after="0" w:line="360" w:lineRule="auto"/>
        <w:ind w:left="0" w:firstLine="720"/>
      </w:pPr>
      <w:r w:rsidRPr="00710363">
        <w:t xml:space="preserve">Table </w:t>
      </w:r>
      <w:r w:rsidR="00813BF8">
        <w:t>11</w:t>
      </w:r>
      <w:r w:rsidRPr="00710363">
        <w:t xml:space="preserve"> presents the share of </w:t>
      </w:r>
      <w:r w:rsidR="005A0C27">
        <w:t xml:space="preserve">current </w:t>
      </w:r>
      <w:r w:rsidRPr="00710363">
        <w:t>charge revenue by service category</w:t>
      </w:r>
      <w:r w:rsidR="000526B3">
        <w:t xml:space="preserve"> and the share of the expenditures financed by current charges, both for the U.S. and for Connecticut. </w:t>
      </w:r>
      <w:r w:rsidR="0056591D">
        <w:t>H</w:t>
      </w:r>
      <w:r w:rsidR="0056591D" w:rsidRPr="00710363">
        <w:t>ospital fees, sewerage charges and other charges are the major source of current charge revenue</w:t>
      </w:r>
      <w:r w:rsidR="0056591D">
        <w:t xml:space="preserve"> in the U.S., with ho</w:t>
      </w:r>
      <w:r w:rsidR="0056591D" w:rsidRPr="00710363">
        <w:t>spitals account</w:t>
      </w:r>
      <w:r w:rsidR="0056591D">
        <w:t>ing</w:t>
      </w:r>
      <w:r w:rsidR="0056591D" w:rsidRPr="00710363">
        <w:t xml:space="preserve"> for </w:t>
      </w:r>
      <w:r w:rsidR="0056591D">
        <w:t xml:space="preserve">the largest share of current charges revenue in the U.S. Since public hospitals in Connecticut are a state function, local governments in Connecticut collect no current charge revenue from hospitals. </w:t>
      </w:r>
    </w:p>
    <w:p w14:paraId="69BC78B4" w14:textId="77777777" w:rsidR="003F041B" w:rsidRDefault="003F041B" w:rsidP="00D422A0">
      <w:pPr>
        <w:pStyle w:val="ListParagraph"/>
        <w:spacing w:after="0" w:line="360" w:lineRule="auto"/>
        <w:ind w:left="0" w:firstLine="720"/>
      </w:pPr>
    </w:p>
    <w:p w14:paraId="10685FB5" w14:textId="77777777" w:rsidR="00813BF8" w:rsidRDefault="00813BF8" w:rsidP="00D422A0">
      <w:pPr>
        <w:pStyle w:val="ListParagraph"/>
        <w:spacing w:after="0" w:line="360" w:lineRule="auto"/>
        <w:ind w:left="0" w:firstLine="720"/>
      </w:pPr>
    </w:p>
    <w:tbl>
      <w:tblPr>
        <w:tblW w:w="9827" w:type="dxa"/>
        <w:tblInd w:w="-12" w:type="dxa"/>
        <w:tblLayout w:type="fixed"/>
        <w:tblCellMar>
          <w:left w:w="0" w:type="dxa"/>
          <w:right w:w="0" w:type="dxa"/>
        </w:tblCellMar>
        <w:tblLook w:val="04A0" w:firstRow="1" w:lastRow="0" w:firstColumn="1" w:lastColumn="0" w:noHBand="0" w:noVBand="1"/>
      </w:tblPr>
      <w:tblGrid>
        <w:gridCol w:w="3167"/>
        <w:gridCol w:w="1710"/>
        <w:gridCol w:w="1710"/>
        <w:gridCol w:w="1620"/>
        <w:gridCol w:w="1620"/>
      </w:tblGrid>
      <w:tr w:rsidR="00A166EA" w:rsidRPr="00530545" w14:paraId="031F3758" w14:textId="77777777" w:rsidTr="005831B2">
        <w:trPr>
          <w:trHeight w:hRule="exact" w:val="513"/>
        </w:trPr>
        <w:tc>
          <w:tcPr>
            <w:tcW w:w="9827" w:type="dxa"/>
            <w:gridSpan w:val="5"/>
            <w:tcBorders>
              <w:bottom w:val="single" w:sz="4" w:space="0" w:color="auto"/>
            </w:tcBorders>
          </w:tcPr>
          <w:p w14:paraId="33DEBDAC" w14:textId="34A5D0BB" w:rsidR="00A166EA" w:rsidRPr="00A166EA" w:rsidRDefault="00A166EA" w:rsidP="005831B2">
            <w:pPr>
              <w:pStyle w:val="Heading4"/>
            </w:pPr>
            <w:bookmarkStart w:id="114" w:name="_Toc433373699"/>
            <w:r w:rsidRPr="00A166EA">
              <w:lastRenderedPageBreak/>
              <w:t>Table</w:t>
            </w:r>
            <w:r w:rsidR="00014112">
              <w:t xml:space="preserve"> </w:t>
            </w:r>
            <w:r w:rsidR="00621C0A" w:rsidRPr="00813BF8">
              <w:t>1</w:t>
            </w:r>
            <w:r w:rsidR="00813BF8" w:rsidRPr="00813BF8">
              <w:t>1</w:t>
            </w:r>
            <w:r w:rsidRPr="00A166EA">
              <w:t>. Current Charges</w:t>
            </w:r>
            <w:r w:rsidR="0073042B">
              <w:t xml:space="preserve"> by Function, 2012</w:t>
            </w:r>
            <w:bookmarkEnd w:id="114"/>
          </w:p>
        </w:tc>
      </w:tr>
      <w:tr w:rsidR="00A166EA" w:rsidRPr="00530545" w14:paraId="2BE82033" w14:textId="77777777" w:rsidTr="00BA7354">
        <w:trPr>
          <w:trHeight w:hRule="exact" w:val="790"/>
        </w:trPr>
        <w:tc>
          <w:tcPr>
            <w:tcW w:w="3167" w:type="dxa"/>
            <w:tcBorders>
              <w:top w:val="single" w:sz="4" w:space="0" w:color="auto"/>
            </w:tcBorders>
            <w:shd w:val="clear" w:color="auto" w:fill="auto"/>
            <w:noWrap/>
            <w:tcMar>
              <w:top w:w="15" w:type="dxa"/>
              <w:left w:w="15" w:type="dxa"/>
              <w:bottom w:w="0" w:type="dxa"/>
              <w:right w:w="15" w:type="dxa"/>
            </w:tcMar>
            <w:vAlign w:val="center"/>
          </w:tcPr>
          <w:p w14:paraId="5F9AE5DC" w14:textId="77777777" w:rsidR="00A166EA" w:rsidRPr="00A166EA" w:rsidRDefault="00A166EA" w:rsidP="00D422A0">
            <w:pPr>
              <w:spacing w:after="0"/>
              <w:rPr>
                <w:b/>
                <w:i/>
                <w:iCs/>
                <w:sz w:val="22"/>
                <w:szCs w:val="22"/>
              </w:rPr>
            </w:pPr>
          </w:p>
        </w:tc>
        <w:tc>
          <w:tcPr>
            <w:tcW w:w="3420" w:type="dxa"/>
            <w:gridSpan w:val="2"/>
            <w:tcBorders>
              <w:top w:val="single" w:sz="4" w:space="0" w:color="auto"/>
              <w:bottom w:val="single" w:sz="4" w:space="0" w:color="auto"/>
            </w:tcBorders>
          </w:tcPr>
          <w:p w14:paraId="3DA8B490" w14:textId="77777777" w:rsidR="00BA7354" w:rsidRDefault="00A166EA" w:rsidP="00D422A0">
            <w:pPr>
              <w:spacing w:after="0"/>
              <w:rPr>
                <w:b/>
                <w:sz w:val="22"/>
                <w:szCs w:val="22"/>
              </w:rPr>
            </w:pPr>
            <w:r w:rsidRPr="00A166EA">
              <w:rPr>
                <w:b/>
                <w:sz w:val="22"/>
                <w:szCs w:val="22"/>
              </w:rPr>
              <w:t xml:space="preserve">Current Charges as a </w:t>
            </w:r>
          </w:p>
          <w:p w14:paraId="54712049" w14:textId="1A779352" w:rsidR="00A166EA" w:rsidRPr="00A166EA" w:rsidRDefault="00A166EA" w:rsidP="00D422A0">
            <w:pPr>
              <w:spacing w:after="0"/>
              <w:rPr>
                <w:b/>
                <w:sz w:val="22"/>
                <w:szCs w:val="22"/>
              </w:rPr>
            </w:pPr>
            <w:r w:rsidRPr="00A166EA">
              <w:rPr>
                <w:b/>
                <w:sz w:val="22"/>
                <w:szCs w:val="22"/>
              </w:rPr>
              <w:t>Share of Total</w:t>
            </w:r>
            <w:r w:rsidR="00B702CE">
              <w:rPr>
                <w:b/>
                <w:sz w:val="22"/>
                <w:szCs w:val="22"/>
              </w:rPr>
              <w:t xml:space="preserve"> Charges</w:t>
            </w:r>
          </w:p>
        </w:tc>
        <w:tc>
          <w:tcPr>
            <w:tcW w:w="3240" w:type="dxa"/>
            <w:gridSpan w:val="2"/>
            <w:tcBorders>
              <w:top w:val="single" w:sz="4" w:space="0" w:color="auto"/>
              <w:bottom w:val="single" w:sz="4" w:space="0" w:color="auto"/>
            </w:tcBorders>
          </w:tcPr>
          <w:p w14:paraId="55A0CF92" w14:textId="77777777" w:rsidR="00BA7354" w:rsidRDefault="00A166EA" w:rsidP="00D422A0">
            <w:pPr>
              <w:spacing w:after="0"/>
              <w:rPr>
                <w:b/>
                <w:sz w:val="22"/>
                <w:szCs w:val="22"/>
              </w:rPr>
            </w:pPr>
            <w:r w:rsidRPr="00A166EA">
              <w:rPr>
                <w:b/>
                <w:sz w:val="22"/>
                <w:szCs w:val="22"/>
              </w:rPr>
              <w:t xml:space="preserve">Current Charges as a </w:t>
            </w:r>
          </w:p>
          <w:p w14:paraId="12F06890" w14:textId="1547FEE4" w:rsidR="00A166EA" w:rsidRPr="00A166EA" w:rsidRDefault="00A166EA" w:rsidP="00D422A0">
            <w:pPr>
              <w:spacing w:after="0"/>
              <w:rPr>
                <w:b/>
                <w:sz w:val="22"/>
                <w:szCs w:val="22"/>
              </w:rPr>
            </w:pPr>
            <w:r w:rsidRPr="00A166EA">
              <w:rPr>
                <w:b/>
                <w:sz w:val="22"/>
                <w:szCs w:val="22"/>
              </w:rPr>
              <w:t>Share of Expenditures</w:t>
            </w:r>
          </w:p>
        </w:tc>
      </w:tr>
      <w:tr w:rsidR="00A166EA" w:rsidRPr="00530545" w14:paraId="3774113C" w14:textId="77777777" w:rsidTr="00BA7354">
        <w:trPr>
          <w:trHeight w:hRule="exact" w:val="321"/>
        </w:trPr>
        <w:tc>
          <w:tcPr>
            <w:tcW w:w="3167" w:type="dxa"/>
            <w:tcBorders>
              <w:bottom w:val="single" w:sz="4" w:space="0" w:color="auto"/>
            </w:tcBorders>
            <w:shd w:val="clear" w:color="auto" w:fill="auto"/>
            <w:noWrap/>
            <w:tcMar>
              <w:top w:w="15" w:type="dxa"/>
              <w:left w:w="15" w:type="dxa"/>
              <w:bottom w:w="0" w:type="dxa"/>
              <w:right w:w="15" w:type="dxa"/>
            </w:tcMar>
            <w:vAlign w:val="center"/>
          </w:tcPr>
          <w:p w14:paraId="03280DBC" w14:textId="77777777" w:rsidR="00A166EA" w:rsidRPr="00D40B74" w:rsidRDefault="00A166EA" w:rsidP="00D422A0">
            <w:pPr>
              <w:spacing w:after="0"/>
              <w:rPr>
                <w:b/>
                <w:iCs/>
                <w:sz w:val="22"/>
                <w:szCs w:val="22"/>
              </w:rPr>
            </w:pPr>
            <w:r w:rsidRPr="00D40B74">
              <w:rPr>
                <w:b/>
                <w:iCs/>
                <w:sz w:val="22"/>
                <w:szCs w:val="22"/>
              </w:rPr>
              <w:t>Function</w:t>
            </w:r>
          </w:p>
        </w:tc>
        <w:tc>
          <w:tcPr>
            <w:tcW w:w="1710" w:type="dxa"/>
            <w:tcBorders>
              <w:bottom w:val="single" w:sz="4" w:space="0" w:color="auto"/>
            </w:tcBorders>
          </w:tcPr>
          <w:p w14:paraId="32A3AA88" w14:textId="77777777" w:rsidR="00A166EA" w:rsidRPr="00D40B74" w:rsidRDefault="00A166EA" w:rsidP="00D422A0">
            <w:pPr>
              <w:spacing w:after="0"/>
              <w:rPr>
                <w:b/>
                <w:sz w:val="22"/>
                <w:szCs w:val="22"/>
              </w:rPr>
            </w:pPr>
            <w:r w:rsidRPr="00D40B74">
              <w:rPr>
                <w:b/>
                <w:sz w:val="22"/>
                <w:szCs w:val="22"/>
              </w:rPr>
              <w:t xml:space="preserve"> U.S.</w:t>
            </w:r>
          </w:p>
        </w:tc>
        <w:tc>
          <w:tcPr>
            <w:tcW w:w="1710" w:type="dxa"/>
            <w:tcBorders>
              <w:bottom w:val="single" w:sz="4" w:space="0" w:color="auto"/>
            </w:tcBorders>
          </w:tcPr>
          <w:p w14:paraId="4BD1F6F4" w14:textId="77777777" w:rsidR="00A166EA" w:rsidRPr="00D40B74" w:rsidRDefault="00A166EA" w:rsidP="00D422A0">
            <w:pPr>
              <w:spacing w:after="0"/>
              <w:rPr>
                <w:b/>
                <w:sz w:val="22"/>
                <w:szCs w:val="22"/>
              </w:rPr>
            </w:pPr>
            <w:r w:rsidRPr="00D40B74">
              <w:rPr>
                <w:b/>
                <w:sz w:val="22"/>
                <w:szCs w:val="22"/>
              </w:rPr>
              <w:t xml:space="preserve"> Connecticut</w:t>
            </w:r>
          </w:p>
        </w:tc>
        <w:tc>
          <w:tcPr>
            <w:tcW w:w="1620" w:type="dxa"/>
            <w:tcBorders>
              <w:bottom w:val="single" w:sz="4" w:space="0" w:color="auto"/>
            </w:tcBorders>
          </w:tcPr>
          <w:p w14:paraId="50FBCD6D" w14:textId="77777777" w:rsidR="00A166EA" w:rsidRPr="00D40B74" w:rsidRDefault="00A166EA" w:rsidP="00D422A0">
            <w:pPr>
              <w:spacing w:after="0"/>
              <w:rPr>
                <w:b/>
                <w:sz w:val="22"/>
                <w:szCs w:val="22"/>
              </w:rPr>
            </w:pPr>
            <w:r w:rsidRPr="00D40B74">
              <w:rPr>
                <w:b/>
                <w:sz w:val="22"/>
                <w:szCs w:val="22"/>
              </w:rPr>
              <w:t xml:space="preserve"> U.S.</w:t>
            </w:r>
          </w:p>
        </w:tc>
        <w:tc>
          <w:tcPr>
            <w:tcW w:w="1620" w:type="dxa"/>
            <w:tcBorders>
              <w:bottom w:val="single" w:sz="4" w:space="0" w:color="auto"/>
            </w:tcBorders>
          </w:tcPr>
          <w:p w14:paraId="67049FD1" w14:textId="77777777" w:rsidR="00A166EA" w:rsidRPr="00D40B74" w:rsidRDefault="00A166EA" w:rsidP="00D422A0">
            <w:pPr>
              <w:spacing w:after="0"/>
              <w:rPr>
                <w:b/>
                <w:sz w:val="22"/>
                <w:szCs w:val="22"/>
              </w:rPr>
            </w:pPr>
            <w:r w:rsidRPr="00D40B74">
              <w:rPr>
                <w:b/>
                <w:sz w:val="22"/>
                <w:szCs w:val="22"/>
              </w:rPr>
              <w:t xml:space="preserve"> Connecticut</w:t>
            </w:r>
          </w:p>
        </w:tc>
      </w:tr>
      <w:tr w:rsidR="00D40B74" w:rsidRPr="00530545" w14:paraId="308E30A4" w14:textId="77777777" w:rsidTr="00BA7354">
        <w:trPr>
          <w:trHeight w:hRule="exact" w:val="432"/>
        </w:trPr>
        <w:tc>
          <w:tcPr>
            <w:tcW w:w="3167" w:type="dxa"/>
            <w:tcBorders>
              <w:top w:val="single" w:sz="4" w:space="0" w:color="auto"/>
            </w:tcBorders>
            <w:shd w:val="clear" w:color="auto" w:fill="auto"/>
            <w:noWrap/>
            <w:tcMar>
              <w:top w:w="15" w:type="dxa"/>
              <w:left w:w="15" w:type="dxa"/>
              <w:bottom w:w="0" w:type="dxa"/>
              <w:right w:w="15" w:type="dxa"/>
            </w:tcMar>
            <w:vAlign w:val="center"/>
          </w:tcPr>
          <w:p w14:paraId="7AC5EB62" w14:textId="77777777" w:rsidR="00D40B74" w:rsidRPr="00D40B74" w:rsidRDefault="00D40B74" w:rsidP="00D422A0">
            <w:pPr>
              <w:spacing w:after="0"/>
              <w:rPr>
                <w:sz w:val="22"/>
                <w:szCs w:val="22"/>
              </w:rPr>
            </w:pPr>
            <w:r w:rsidRPr="00D40B74">
              <w:rPr>
                <w:sz w:val="22"/>
                <w:szCs w:val="22"/>
              </w:rPr>
              <w:t>Education</w:t>
            </w:r>
          </w:p>
        </w:tc>
        <w:tc>
          <w:tcPr>
            <w:tcW w:w="1710" w:type="dxa"/>
            <w:tcBorders>
              <w:top w:val="single" w:sz="4" w:space="0" w:color="auto"/>
            </w:tcBorders>
            <w:vAlign w:val="bottom"/>
          </w:tcPr>
          <w:p w14:paraId="15E3FE79" w14:textId="060A250F" w:rsidR="00D40B74" w:rsidRPr="00D40B74" w:rsidRDefault="00D40B74" w:rsidP="00BA7354">
            <w:pPr>
              <w:spacing w:after="0" w:line="240" w:lineRule="auto"/>
              <w:rPr>
                <w:color w:val="000000"/>
                <w:sz w:val="22"/>
                <w:szCs w:val="22"/>
              </w:rPr>
            </w:pPr>
            <w:r w:rsidRPr="00D40B74">
              <w:rPr>
                <w:sz w:val="22"/>
                <w:szCs w:val="22"/>
              </w:rPr>
              <w:t>13.2%</w:t>
            </w:r>
          </w:p>
        </w:tc>
        <w:tc>
          <w:tcPr>
            <w:tcW w:w="1710" w:type="dxa"/>
            <w:tcBorders>
              <w:top w:val="single" w:sz="4" w:space="0" w:color="auto"/>
            </w:tcBorders>
            <w:vAlign w:val="bottom"/>
          </w:tcPr>
          <w:p w14:paraId="66A622C6" w14:textId="4E3C54B7" w:rsidR="00D40B74" w:rsidRPr="00D40B74" w:rsidRDefault="00D40B74" w:rsidP="00BA7354">
            <w:pPr>
              <w:spacing w:after="0" w:line="240" w:lineRule="auto"/>
              <w:rPr>
                <w:color w:val="000000"/>
                <w:sz w:val="22"/>
                <w:szCs w:val="22"/>
              </w:rPr>
            </w:pPr>
            <w:r w:rsidRPr="00D40B74">
              <w:rPr>
                <w:sz w:val="22"/>
                <w:szCs w:val="22"/>
              </w:rPr>
              <w:t>14.0%</w:t>
            </w:r>
          </w:p>
        </w:tc>
        <w:tc>
          <w:tcPr>
            <w:tcW w:w="1620" w:type="dxa"/>
            <w:tcBorders>
              <w:top w:val="single" w:sz="4" w:space="0" w:color="auto"/>
            </w:tcBorders>
            <w:vAlign w:val="bottom"/>
          </w:tcPr>
          <w:p w14:paraId="0E90F653" w14:textId="3BF2FFEB" w:rsidR="00D40B74" w:rsidRPr="00D40B74" w:rsidRDefault="00D40B74" w:rsidP="00D422A0">
            <w:pPr>
              <w:spacing w:after="0"/>
              <w:rPr>
                <w:color w:val="000000"/>
                <w:sz w:val="22"/>
                <w:szCs w:val="22"/>
              </w:rPr>
            </w:pPr>
            <w:r w:rsidRPr="00D40B74">
              <w:rPr>
                <w:sz w:val="22"/>
                <w:szCs w:val="22"/>
              </w:rPr>
              <w:t>4.1%</w:t>
            </w:r>
          </w:p>
        </w:tc>
        <w:tc>
          <w:tcPr>
            <w:tcW w:w="1620" w:type="dxa"/>
            <w:tcBorders>
              <w:top w:val="single" w:sz="4" w:space="0" w:color="auto"/>
            </w:tcBorders>
            <w:vAlign w:val="bottom"/>
          </w:tcPr>
          <w:p w14:paraId="6A46934F" w14:textId="7450B794" w:rsidR="00D40B74" w:rsidRPr="00D40B74" w:rsidRDefault="00D40B74" w:rsidP="00D422A0">
            <w:pPr>
              <w:spacing w:after="0"/>
              <w:rPr>
                <w:color w:val="000000"/>
                <w:sz w:val="22"/>
                <w:szCs w:val="22"/>
              </w:rPr>
            </w:pPr>
            <w:r w:rsidRPr="00D40B74">
              <w:rPr>
                <w:sz w:val="22"/>
                <w:szCs w:val="22"/>
              </w:rPr>
              <w:t>1.4%</w:t>
            </w:r>
          </w:p>
        </w:tc>
      </w:tr>
      <w:tr w:rsidR="00D40B74" w:rsidRPr="00530545" w14:paraId="0DF6323B" w14:textId="77777777" w:rsidTr="00BA7354">
        <w:trPr>
          <w:trHeight w:hRule="exact" w:val="432"/>
        </w:trPr>
        <w:tc>
          <w:tcPr>
            <w:tcW w:w="3167" w:type="dxa"/>
            <w:shd w:val="clear" w:color="auto" w:fill="auto"/>
            <w:noWrap/>
            <w:tcMar>
              <w:top w:w="15" w:type="dxa"/>
              <w:left w:w="15" w:type="dxa"/>
              <w:bottom w:w="0" w:type="dxa"/>
              <w:right w:w="15" w:type="dxa"/>
            </w:tcMar>
            <w:vAlign w:val="center"/>
          </w:tcPr>
          <w:p w14:paraId="59ECCF7B" w14:textId="267A2240" w:rsidR="00D40B74" w:rsidRPr="00D40B74" w:rsidRDefault="00D40B74" w:rsidP="00D422A0">
            <w:pPr>
              <w:spacing w:after="0"/>
              <w:rPr>
                <w:sz w:val="22"/>
                <w:szCs w:val="22"/>
              </w:rPr>
            </w:pPr>
            <w:r w:rsidRPr="00D40B74">
              <w:rPr>
                <w:sz w:val="22"/>
                <w:szCs w:val="22"/>
              </w:rPr>
              <w:t>Hospitals</w:t>
            </w:r>
            <w:r w:rsidR="0073042B">
              <w:rPr>
                <w:sz w:val="22"/>
                <w:szCs w:val="22"/>
              </w:rPr>
              <w:t xml:space="preserve"> </w:t>
            </w:r>
            <w:r w:rsidRPr="00D40B74">
              <w:rPr>
                <w:sz w:val="22"/>
                <w:szCs w:val="22"/>
              </w:rPr>
              <w:t xml:space="preserve"> </w:t>
            </w:r>
          </w:p>
        </w:tc>
        <w:tc>
          <w:tcPr>
            <w:tcW w:w="1710" w:type="dxa"/>
            <w:vAlign w:val="bottom"/>
          </w:tcPr>
          <w:p w14:paraId="6CE07B98" w14:textId="1BA0700B" w:rsidR="00D40B74" w:rsidRPr="00D40B74" w:rsidRDefault="00D40B74" w:rsidP="00D422A0">
            <w:pPr>
              <w:spacing w:after="0"/>
              <w:rPr>
                <w:color w:val="000000"/>
                <w:sz w:val="22"/>
                <w:szCs w:val="22"/>
              </w:rPr>
            </w:pPr>
            <w:r w:rsidRPr="00D40B74">
              <w:rPr>
                <w:sz w:val="22"/>
                <w:szCs w:val="22"/>
              </w:rPr>
              <w:t>22.3%</w:t>
            </w:r>
          </w:p>
        </w:tc>
        <w:tc>
          <w:tcPr>
            <w:tcW w:w="1710" w:type="dxa"/>
            <w:vAlign w:val="bottom"/>
          </w:tcPr>
          <w:p w14:paraId="7AF27538" w14:textId="2AA94AE6" w:rsidR="00D40B74" w:rsidRPr="00D40B74" w:rsidRDefault="00D40B74" w:rsidP="00D422A0">
            <w:pPr>
              <w:spacing w:after="0"/>
              <w:rPr>
                <w:color w:val="000000"/>
                <w:sz w:val="22"/>
                <w:szCs w:val="22"/>
              </w:rPr>
            </w:pPr>
            <w:r w:rsidRPr="00D40B74">
              <w:rPr>
                <w:sz w:val="22"/>
                <w:szCs w:val="22"/>
              </w:rPr>
              <w:t>0.0%</w:t>
            </w:r>
          </w:p>
        </w:tc>
        <w:tc>
          <w:tcPr>
            <w:tcW w:w="1620" w:type="dxa"/>
            <w:vAlign w:val="bottom"/>
          </w:tcPr>
          <w:p w14:paraId="4287E10D" w14:textId="0263BB2E" w:rsidR="00D40B74" w:rsidRPr="00D40B74" w:rsidRDefault="00D40B74" w:rsidP="00D422A0">
            <w:pPr>
              <w:spacing w:after="0"/>
              <w:rPr>
                <w:color w:val="000000"/>
                <w:sz w:val="22"/>
                <w:szCs w:val="22"/>
              </w:rPr>
            </w:pPr>
            <w:r w:rsidRPr="00D40B74">
              <w:rPr>
                <w:sz w:val="22"/>
                <w:szCs w:val="22"/>
              </w:rPr>
              <w:t>75.8%</w:t>
            </w:r>
          </w:p>
        </w:tc>
        <w:tc>
          <w:tcPr>
            <w:tcW w:w="1620" w:type="dxa"/>
            <w:vAlign w:val="bottom"/>
          </w:tcPr>
          <w:p w14:paraId="71D1855D" w14:textId="2B459E80" w:rsidR="00D40B74" w:rsidRPr="00D40B74" w:rsidRDefault="00D40B74" w:rsidP="00D422A0">
            <w:pPr>
              <w:spacing w:after="0"/>
              <w:rPr>
                <w:color w:val="000000"/>
                <w:sz w:val="22"/>
                <w:szCs w:val="22"/>
              </w:rPr>
            </w:pPr>
            <w:r w:rsidRPr="00D40B74">
              <w:rPr>
                <w:sz w:val="22"/>
                <w:szCs w:val="22"/>
              </w:rPr>
              <w:t>N.A.</w:t>
            </w:r>
          </w:p>
        </w:tc>
      </w:tr>
      <w:tr w:rsidR="00D40B74" w:rsidRPr="00530545" w14:paraId="56F29856" w14:textId="77777777" w:rsidTr="00BA7354">
        <w:trPr>
          <w:trHeight w:hRule="exact" w:val="432"/>
        </w:trPr>
        <w:tc>
          <w:tcPr>
            <w:tcW w:w="3167" w:type="dxa"/>
            <w:shd w:val="clear" w:color="auto" w:fill="auto"/>
            <w:noWrap/>
            <w:tcMar>
              <w:top w:w="15" w:type="dxa"/>
              <w:left w:w="15" w:type="dxa"/>
              <w:bottom w:w="0" w:type="dxa"/>
              <w:right w:w="15" w:type="dxa"/>
            </w:tcMar>
            <w:vAlign w:val="center"/>
          </w:tcPr>
          <w:p w14:paraId="38F1B536" w14:textId="022AAF01" w:rsidR="00D40B74" w:rsidRPr="00D40B74" w:rsidRDefault="00D40B74" w:rsidP="00D422A0">
            <w:pPr>
              <w:spacing w:after="0"/>
              <w:rPr>
                <w:sz w:val="22"/>
                <w:szCs w:val="22"/>
              </w:rPr>
            </w:pPr>
            <w:r w:rsidRPr="00D40B74">
              <w:rPr>
                <w:sz w:val="22"/>
                <w:szCs w:val="22"/>
              </w:rPr>
              <w:t>Highways</w:t>
            </w:r>
            <w:r w:rsidR="0073042B">
              <w:rPr>
                <w:sz w:val="22"/>
                <w:szCs w:val="22"/>
              </w:rPr>
              <w:t xml:space="preserve"> </w:t>
            </w:r>
            <w:r w:rsidRPr="00D40B74">
              <w:rPr>
                <w:sz w:val="22"/>
                <w:szCs w:val="22"/>
              </w:rPr>
              <w:t xml:space="preserve"> </w:t>
            </w:r>
          </w:p>
        </w:tc>
        <w:tc>
          <w:tcPr>
            <w:tcW w:w="1710" w:type="dxa"/>
            <w:vAlign w:val="bottom"/>
          </w:tcPr>
          <w:p w14:paraId="2BC19FCD" w14:textId="74F720FF" w:rsidR="00D40B74" w:rsidRPr="00D40B74" w:rsidRDefault="00D40B74" w:rsidP="00D422A0">
            <w:pPr>
              <w:spacing w:after="0"/>
              <w:rPr>
                <w:sz w:val="22"/>
                <w:szCs w:val="22"/>
              </w:rPr>
            </w:pPr>
            <w:r w:rsidRPr="00D40B74">
              <w:rPr>
                <w:sz w:val="22"/>
                <w:szCs w:val="22"/>
              </w:rPr>
              <w:t>1.9%</w:t>
            </w:r>
          </w:p>
        </w:tc>
        <w:tc>
          <w:tcPr>
            <w:tcW w:w="1710" w:type="dxa"/>
            <w:vAlign w:val="bottom"/>
          </w:tcPr>
          <w:p w14:paraId="3E1C4461" w14:textId="3BAB1832" w:rsidR="00D40B74" w:rsidRPr="00D40B74" w:rsidRDefault="00D40B74" w:rsidP="00D422A0">
            <w:pPr>
              <w:spacing w:after="0"/>
              <w:rPr>
                <w:sz w:val="22"/>
                <w:szCs w:val="22"/>
              </w:rPr>
            </w:pPr>
            <w:r w:rsidRPr="00D40B74">
              <w:rPr>
                <w:sz w:val="22"/>
                <w:szCs w:val="22"/>
              </w:rPr>
              <w:t>0.1%</w:t>
            </w:r>
          </w:p>
        </w:tc>
        <w:tc>
          <w:tcPr>
            <w:tcW w:w="1620" w:type="dxa"/>
            <w:vAlign w:val="bottom"/>
          </w:tcPr>
          <w:p w14:paraId="5D780CF6" w14:textId="61FC38A4" w:rsidR="00D40B74" w:rsidRPr="00D40B74" w:rsidRDefault="00D40B74" w:rsidP="00D422A0">
            <w:pPr>
              <w:spacing w:after="0"/>
              <w:rPr>
                <w:sz w:val="22"/>
                <w:szCs w:val="22"/>
              </w:rPr>
            </w:pPr>
            <w:r w:rsidRPr="00D40B74">
              <w:rPr>
                <w:sz w:val="22"/>
                <w:szCs w:val="22"/>
              </w:rPr>
              <w:t>6.2%</w:t>
            </w:r>
          </w:p>
        </w:tc>
        <w:tc>
          <w:tcPr>
            <w:tcW w:w="1620" w:type="dxa"/>
            <w:vAlign w:val="bottom"/>
          </w:tcPr>
          <w:p w14:paraId="61961D65" w14:textId="2415E26B" w:rsidR="00D40B74" w:rsidRPr="00D40B74" w:rsidRDefault="00D40B74" w:rsidP="00D422A0">
            <w:pPr>
              <w:spacing w:after="0"/>
              <w:rPr>
                <w:sz w:val="22"/>
                <w:szCs w:val="22"/>
              </w:rPr>
            </w:pPr>
            <w:r w:rsidRPr="00D40B74">
              <w:rPr>
                <w:sz w:val="22"/>
                <w:szCs w:val="22"/>
              </w:rPr>
              <w:t>0.2%</w:t>
            </w:r>
          </w:p>
        </w:tc>
      </w:tr>
      <w:tr w:rsidR="00D40B74" w:rsidRPr="00530545" w14:paraId="2300F94C" w14:textId="77777777" w:rsidTr="00BA7354">
        <w:trPr>
          <w:trHeight w:hRule="exact" w:val="432"/>
        </w:trPr>
        <w:tc>
          <w:tcPr>
            <w:tcW w:w="3167" w:type="dxa"/>
            <w:shd w:val="clear" w:color="auto" w:fill="auto"/>
            <w:noWrap/>
            <w:tcMar>
              <w:top w:w="15" w:type="dxa"/>
              <w:left w:w="15" w:type="dxa"/>
              <w:bottom w:w="0" w:type="dxa"/>
              <w:right w:w="15" w:type="dxa"/>
            </w:tcMar>
            <w:vAlign w:val="center"/>
          </w:tcPr>
          <w:p w14:paraId="33CB039E" w14:textId="1BF5A61D" w:rsidR="00D40B74" w:rsidRPr="00D40B74" w:rsidRDefault="00D40B74" w:rsidP="00D422A0">
            <w:pPr>
              <w:spacing w:after="0"/>
              <w:rPr>
                <w:sz w:val="22"/>
                <w:szCs w:val="22"/>
              </w:rPr>
            </w:pPr>
            <w:r w:rsidRPr="00D40B74">
              <w:rPr>
                <w:sz w:val="22"/>
                <w:szCs w:val="22"/>
              </w:rPr>
              <w:t>Air transportation (airports)</w:t>
            </w:r>
            <w:r w:rsidR="0073042B">
              <w:rPr>
                <w:sz w:val="22"/>
                <w:szCs w:val="22"/>
              </w:rPr>
              <w:t xml:space="preserve"> </w:t>
            </w:r>
            <w:r w:rsidRPr="00D40B74">
              <w:rPr>
                <w:sz w:val="22"/>
                <w:szCs w:val="22"/>
              </w:rPr>
              <w:t xml:space="preserve"> </w:t>
            </w:r>
          </w:p>
        </w:tc>
        <w:tc>
          <w:tcPr>
            <w:tcW w:w="1710" w:type="dxa"/>
            <w:vAlign w:val="bottom"/>
          </w:tcPr>
          <w:p w14:paraId="0E569F37" w14:textId="47B9D005" w:rsidR="00D40B74" w:rsidRPr="00D40B74" w:rsidRDefault="00D40B74" w:rsidP="00D422A0">
            <w:pPr>
              <w:spacing w:after="0"/>
              <w:rPr>
                <w:sz w:val="22"/>
                <w:szCs w:val="22"/>
              </w:rPr>
            </w:pPr>
            <w:r w:rsidRPr="00D40B74">
              <w:rPr>
                <w:sz w:val="22"/>
                <w:szCs w:val="22"/>
              </w:rPr>
              <w:t>6.3%</w:t>
            </w:r>
          </w:p>
        </w:tc>
        <w:tc>
          <w:tcPr>
            <w:tcW w:w="1710" w:type="dxa"/>
            <w:vAlign w:val="bottom"/>
          </w:tcPr>
          <w:p w14:paraId="2C26BA27" w14:textId="2DCC0A4F" w:rsidR="00D40B74" w:rsidRPr="00D40B74" w:rsidRDefault="00D40B74" w:rsidP="00D422A0">
            <w:pPr>
              <w:spacing w:after="0"/>
              <w:rPr>
                <w:sz w:val="22"/>
                <w:szCs w:val="22"/>
              </w:rPr>
            </w:pPr>
            <w:r w:rsidRPr="00D40B74">
              <w:rPr>
                <w:sz w:val="22"/>
                <w:szCs w:val="22"/>
              </w:rPr>
              <w:t>0.1%</w:t>
            </w:r>
          </w:p>
        </w:tc>
        <w:tc>
          <w:tcPr>
            <w:tcW w:w="1620" w:type="dxa"/>
            <w:vAlign w:val="bottom"/>
          </w:tcPr>
          <w:p w14:paraId="64C03458" w14:textId="769BD97E" w:rsidR="00D40B74" w:rsidRPr="00D40B74" w:rsidRDefault="00D40B74" w:rsidP="00D422A0">
            <w:pPr>
              <w:spacing w:after="0"/>
              <w:rPr>
                <w:sz w:val="22"/>
                <w:szCs w:val="22"/>
              </w:rPr>
            </w:pPr>
            <w:r w:rsidRPr="00D40B74">
              <w:rPr>
                <w:sz w:val="22"/>
                <w:szCs w:val="22"/>
              </w:rPr>
              <w:t>89.6%</w:t>
            </w:r>
          </w:p>
        </w:tc>
        <w:tc>
          <w:tcPr>
            <w:tcW w:w="1620" w:type="dxa"/>
            <w:vAlign w:val="bottom"/>
          </w:tcPr>
          <w:p w14:paraId="3CA50D6E" w14:textId="53F3A092" w:rsidR="00D40B74" w:rsidRPr="00D40B74" w:rsidRDefault="00D40B74" w:rsidP="00D422A0">
            <w:pPr>
              <w:spacing w:after="0"/>
              <w:rPr>
                <w:sz w:val="22"/>
                <w:szCs w:val="22"/>
              </w:rPr>
            </w:pPr>
            <w:r w:rsidRPr="00D40B74">
              <w:rPr>
                <w:sz w:val="22"/>
                <w:szCs w:val="22"/>
              </w:rPr>
              <w:t>31.8%</w:t>
            </w:r>
          </w:p>
        </w:tc>
      </w:tr>
      <w:tr w:rsidR="00D40B74" w:rsidRPr="00530545" w14:paraId="09CFFE16" w14:textId="77777777" w:rsidTr="00BA7354">
        <w:trPr>
          <w:trHeight w:hRule="exact" w:val="432"/>
        </w:trPr>
        <w:tc>
          <w:tcPr>
            <w:tcW w:w="3167" w:type="dxa"/>
            <w:shd w:val="clear" w:color="auto" w:fill="auto"/>
            <w:noWrap/>
            <w:tcMar>
              <w:top w:w="15" w:type="dxa"/>
              <w:left w:w="15" w:type="dxa"/>
              <w:bottom w:w="0" w:type="dxa"/>
              <w:right w:w="15" w:type="dxa"/>
            </w:tcMar>
            <w:vAlign w:val="center"/>
          </w:tcPr>
          <w:p w14:paraId="7768A542" w14:textId="24007968" w:rsidR="00D40B74" w:rsidRPr="00D40B74" w:rsidRDefault="00D40B74" w:rsidP="00D422A0">
            <w:pPr>
              <w:spacing w:after="0"/>
              <w:rPr>
                <w:sz w:val="22"/>
                <w:szCs w:val="22"/>
              </w:rPr>
            </w:pPr>
            <w:r w:rsidRPr="00D40B74">
              <w:rPr>
                <w:sz w:val="22"/>
                <w:szCs w:val="22"/>
              </w:rPr>
              <w:t>Parking facilities</w:t>
            </w:r>
            <w:r w:rsidR="0073042B">
              <w:rPr>
                <w:sz w:val="22"/>
                <w:szCs w:val="22"/>
              </w:rPr>
              <w:t xml:space="preserve"> </w:t>
            </w:r>
            <w:r w:rsidRPr="00D40B74">
              <w:rPr>
                <w:sz w:val="22"/>
                <w:szCs w:val="22"/>
              </w:rPr>
              <w:t xml:space="preserve"> </w:t>
            </w:r>
          </w:p>
        </w:tc>
        <w:tc>
          <w:tcPr>
            <w:tcW w:w="1710" w:type="dxa"/>
            <w:vAlign w:val="bottom"/>
          </w:tcPr>
          <w:p w14:paraId="0498CE37" w14:textId="3E6E338C" w:rsidR="00D40B74" w:rsidRPr="00D40B74" w:rsidRDefault="00D40B74" w:rsidP="00D422A0">
            <w:pPr>
              <w:spacing w:after="0"/>
              <w:rPr>
                <w:color w:val="000000"/>
                <w:sz w:val="22"/>
                <w:szCs w:val="22"/>
              </w:rPr>
            </w:pPr>
            <w:r w:rsidRPr="00D40B74">
              <w:rPr>
                <w:sz w:val="22"/>
                <w:szCs w:val="22"/>
              </w:rPr>
              <w:t>1.2%</w:t>
            </w:r>
          </w:p>
        </w:tc>
        <w:tc>
          <w:tcPr>
            <w:tcW w:w="1710" w:type="dxa"/>
            <w:vAlign w:val="bottom"/>
          </w:tcPr>
          <w:p w14:paraId="752BC38F" w14:textId="07B451DE" w:rsidR="00D40B74" w:rsidRPr="00D40B74" w:rsidRDefault="00D40B74" w:rsidP="00D422A0">
            <w:pPr>
              <w:spacing w:after="0"/>
              <w:rPr>
                <w:color w:val="000000"/>
                <w:sz w:val="22"/>
                <w:szCs w:val="22"/>
              </w:rPr>
            </w:pPr>
            <w:r w:rsidRPr="00D40B74">
              <w:rPr>
                <w:sz w:val="22"/>
                <w:szCs w:val="22"/>
              </w:rPr>
              <w:t>7.0%</w:t>
            </w:r>
          </w:p>
        </w:tc>
        <w:tc>
          <w:tcPr>
            <w:tcW w:w="1620" w:type="dxa"/>
            <w:vAlign w:val="bottom"/>
          </w:tcPr>
          <w:p w14:paraId="2AFA2BE7" w14:textId="4463ED29" w:rsidR="00D40B74" w:rsidRPr="00D40B74" w:rsidRDefault="00D40B74" w:rsidP="00D422A0">
            <w:pPr>
              <w:spacing w:after="0"/>
              <w:rPr>
                <w:color w:val="000000"/>
                <w:sz w:val="22"/>
                <w:szCs w:val="22"/>
              </w:rPr>
            </w:pPr>
            <w:r w:rsidRPr="00D40B74">
              <w:rPr>
                <w:sz w:val="22"/>
                <w:szCs w:val="22"/>
              </w:rPr>
              <w:t>132.4%</w:t>
            </w:r>
          </w:p>
        </w:tc>
        <w:tc>
          <w:tcPr>
            <w:tcW w:w="1620" w:type="dxa"/>
            <w:vAlign w:val="bottom"/>
          </w:tcPr>
          <w:p w14:paraId="5A730692" w14:textId="488E1BDB" w:rsidR="00D40B74" w:rsidRPr="00D40B74" w:rsidRDefault="00D40B74" w:rsidP="00D422A0">
            <w:pPr>
              <w:spacing w:after="0"/>
              <w:rPr>
                <w:color w:val="000000"/>
                <w:sz w:val="22"/>
                <w:szCs w:val="22"/>
              </w:rPr>
            </w:pPr>
            <w:r w:rsidRPr="00D40B74">
              <w:rPr>
                <w:sz w:val="22"/>
                <w:szCs w:val="22"/>
              </w:rPr>
              <w:t>161.5%</w:t>
            </w:r>
          </w:p>
        </w:tc>
      </w:tr>
      <w:tr w:rsidR="00D40B74" w:rsidRPr="00530545" w14:paraId="672D01ED" w14:textId="77777777" w:rsidTr="00BA7354">
        <w:trPr>
          <w:trHeight w:hRule="exact" w:val="432"/>
        </w:trPr>
        <w:tc>
          <w:tcPr>
            <w:tcW w:w="3167" w:type="dxa"/>
            <w:shd w:val="clear" w:color="auto" w:fill="auto"/>
            <w:noWrap/>
            <w:tcMar>
              <w:top w:w="15" w:type="dxa"/>
              <w:left w:w="15" w:type="dxa"/>
              <w:bottom w:w="0" w:type="dxa"/>
              <w:right w:w="15" w:type="dxa"/>
            </w:tcMar>
            <w:vAlign w:val="center"/>
          </w:tcPr>
          <w:p w14:paraId="0B534CD0" w14:textId="0F5F73B1" w:rsidR="00D40B74" w:rsidRPr="00D40B74" w:rsidRDefault="00D40B74" w:rsidP="00D422A0">
            <w:pPr>
              <w:spacing w:after="0"/>
              <w:rPr>
                <w:sz w:val="22"/>
                <w:szCs w:val="22"/>
              </w:rPr>
            </w:pPr>
            <w:r w:rsidRPr="00D40B74">
              <w:rPr>
                <w:sz w:val="22"/>
                <w:szCs w:val="22"/>
              </w:rPr>
              <w:t>Sea and inland port facilities</w:t>
            </w:r>
            <w:r w:rsidR="0073042B">
              <w:rPr>
                <w:sz w:val="22"/>
                <w:szCs w:val="22"/>
              </w:rPr>
              <w:t xml:space="preserve"> </w:t>
            </w:r>
            <w:r w:rsidRPr="00D40B74">
              <w:rPr>
                <w:sz w:val="22"/>
                <w:szCs w:val="22"/>
              </w:rPr>
              <w:t xml:space="preserve"> </w:t>
            </w:r>
          </w:p>
        </w:tc>
        <w:tc>
          <w:tcPr>
            <w:tcW w:w="1710" w:type="dxa"/>
            <w:vAlign w:val="bottom"/>
          </w:tcPr>
          <w:p w14:paraId="15B69198" w14:textId="24BC52A2" w:rsidR="00D40B74" w:rsidRPr="00D40B74" w:rsidRDefault="00D40B74" w:rsidP="00D422A0">
            <w:pPr>
              <w:spacing w:after="0"/>
              <w:rPr>
                <w:color w:val="000000"/>
                <w:sz w:val="22"/>
                <w:szCs w:val="22"/>
              </w:rPr>
            </w:pPr>
            <w:r w:rsidRPr="00D40B74">
              <w:rPr>
                <w:sz w:val="22"/>
                <w:szCs w:val="22"/>
              </w:rPr>
              <w:t>0.9%</w:t>
            </w:r>
          </w:p>
        </w:tc>
        <w:tc>
          <w:tcPr>
            <w:tcW w:w="1710" w:type="dxa"/>
            <w:vAlign w:val="bottom"/>
          </w:tcPr>
          <w:p w14:paraId="17FC3961" w14:textId="2BB56AF8" w:rsidR="00D40B74" w:rsidRPr="00D40B74" w:rsidRDefault="00D40B74" w:rsidP="00D422A0">
            <w:pPr>
              <w:spacing w:after="0"/>
              <w:rPr>
                <w:color w:val="000000"/>
                <w:sz w:val="22"/>
                <w:szCs w:val="22"/>
              </w:rPr>
            </w:pPr>
            <w:r w:rsidRPr="00D40B74">
              <w:rPr>
                <w:sz w:val="22"/>
                <w:szCs w:val="22"/>
              </w:rPr>
              <w:t>0.1%</w:t>
            </w:r>
          </w:p>
        </w:tc>
        <w:tc>
          <w:tcPr>
            <w:tcW w:w="1620" w:type="dxa"/>
            <w:vAlign w:val="bottom"/>
          </w:tcPr>
          <w:p w14:paraId="42320AD1" w14:textId="0ECF71DC" w:rsidR="00D40B74" w:rsidRPr="00D40B74" w:rsidRDefault="00D40B74" w:rsidP="00D422A0">
            <w:pPr>
              <w:spacing w:after="0"/>
              <w:rPr>
                <w:color w:val="000000"/>
                <w:sz w:val="22"/>
                <w:szCs w:val="22"/>
              </w:rPr>
            </w:pPr>
            <w:r w:rsidRPr="00D40B74">
              <w:rPr>
                <w:sz w:val="22"/>
                <w:szCs w:val="22"/>
              </w:rPr>
              <w:t>100.5%</w:t>
            </w:r>
          </w:p>
        </w:tc>
        <w:tc>
          <w:tcPr>
            <w:tcW w:w="1620" w:type="dxa"/>
            <w:vAlign w:val="bottom"/>
          </w:tcPr>
          <w:p w14:paraId="14D5BFD5" w14:textId="474FBB78" w:rsidR="00D40B74" w:rsidRPr="00D40B74" w:rsidRDefault="00D40B74" w:rsidP="00D422A0">
            <w:pPr>
              <w:spacing w:after="0"/>
              <w:rPr>
                <w:color w:val="000000"/>
                <w:sz w:val="22"/>
                <w:szCs w:val="22"/>
              </w:rPr>
            </w:pPr>
            <w:r w:rsidRPr="00D40B74">
              <w:rPr>
                <w:sz w:val="22"/>
                <w:szCs w:val="22"/>
              </w:rPr>
              <w:t>108.2%</w:t>
            </w:r>
          </w:p>
        </w:tc>
      </w:tr>
      <w:tr w:rsidR="00D40B74" w:rsidRPr="00530545" w14:paraId="4695E6C9" w14:textId="77777777" w:rsidTr="00BA7354">
        <w:trPr>
          <w:trHeight w:hRule="exact" w:val="432"/>
        </w:trPr>
        <w:tc>
          <w:tcPr>
            <w:tcW w:w="3167" w:type="dxa"/>
            <w:shd w:val="clear" w:color="auto" w:fill="auto"/>
            <w:noWrap/>
            <w:tcMar>
              <w:top w:w="15" w:type="dxa"/>
              <w:left w:w="15" w:type="dxa"/>
              <w:bottom w:w="0" w:type="dxa"/>
              <w:right w:w="15" w:type="dxa"/>
            </w:tcMar>
            <w:vAlign w:val="center"/>
          </w:tcPr>
          <w:p w14:paraId="44AFE01A" w14:textId="208AD18C" w:rsidR="00D40B74" w:rsidRPr="00D40B74" w:rsidRDefault="00D40B74" w:rsidP="00D422A0">
            <w:pPr>
              <w:spacing w:after="0"/>
              <w:rPr>
                <w:sz w:val="22"/>
                <w:szCs w:val="22"/>
              </w:rPr>
            </w:pPr>
            <w:r w:rsidRPr="00D40B74">
              <w:rPr>
                <w:sz w:val="22"/>
                <w:szCs w:val="22"/>
              </w:rPr>
              <w:t>Natural resources</w:t>
            </w:r>
            <w:r w:rsidR="0073042B">
              <w:rPr>
                <w:sz w:val="22"/>
                <w:szCs w:val="22"/>
              </w:rPr>
              <w:t xml:space="preserve"> </w:t>
            </w:r>
            <w:r w:rsidRPr="00D40B74">
              <w:rPr>
                <w:sz w:val="22"/>
                <w:szCs w:val="22"/>
              </w:rPr>
              <w:t xml:space="preserve"> </w:t>
            </w:r>
          </w:p>
        </w:tc>
        <w:tc>
          <w:tcPr>
            <w:tcW w:w="1710" w:type="dxa"/>
            <w:vAlign w:val="bottom"/>
          </w:tcPr>
          <w:p w14:paraId="2A351AB7" w14:textId="67BAE358" w:rsidR="00D40B74" w:rsidRPr="00D40B74" w:rsidRDefault="00D40B74" w:rsidP="00D422A0">
            <w:pPr>
              <w:spacing w:after="0"/>
              <w:rPr>
                <w:color w:val="000000"/>
                <w:sz w:val="22"/>
                <w:szCs w:val="22"/>
              </w:rPr>
            </w:pPr>
            <w:r w:rsidRPr="00D40B74">
              <w:rPr>
                <w:sz w:val="22"/>
                <w:szCs w:val="22"/>
              </w:rPr>
              <w:t>0.3%</w:t>
            </w:r>
          </w:p>
        </w:tc>
        <w:tc>
          <w:tcPr>
            <w:tcW w:w="1710" w:type="dxa"/>
            <w:vAlign w:val="bottom"/>
          </w:tcPr>
          <w:p w14:paraId="524EAD14" w14:textId="69D58435" w:rsidR="00D40B74" w:rsidRPr="00D40B74" w:rsidRDefault="00D40B74" w:rsidP="00D422A0">
            <w:pPr>
              <w:spacing w:after="0"/>
              <w:rPr>
                <w:color w:val="000000"/>
                <w:sz w:val="22"/>
                <w:szCs w:val="22"/>
              </w:rPr>
            </w:pPr>
            <w:r w:rsidRPr="00D40B74">
              <w:rPr>
                <w:sz w:val="22"/>
                <w:szCs w:val="22"/>
              </w:rPr>
              <w:t>0.3%</w:t>
            </w:r>
          </w:p>
        </w:tc>
        <w:tc>
          <w:tcPr>
            <w:tcW w:w="1620" w:type="dxa"/>
            <w:vAlign w:val="bottom"/>
          </w:tcPr>
          <w:p w14:paraId="2F52C6DC" w14:textId="58D7CD6C" w:rsidR="00D40B74" w:rsidRPr="00D40B74" w:rsidRDefault="00D40B74" w:rsidP="00D422A0">
            <w:pPr>
              <w:spacing w:after="0"/>
              <w:rPr>
                <w:color w:val="000000"/>
                <w:sz w:val="22"/>
                <w:szCs w:val="22"/>
              </w:rPr>
            </w:pPr>
            <w:r w:rsidRPr="00D40B74">
              <w:rPr>
                <w:sz w:val="22"/>
                <w:szCs w:val="22"/>
              </w:rPr>
              <w:t>9.8%</w:t>
            </w:r>
          </w:p>
        </w:tc>
        <w:tc>
          <w:tcPr>
            <w:tcW w:w="1620" w:type="dxa"/>
            <w:vAlign w:val="bottom"/>
          </w:tcPr>
          <w:p w14:paraId="15A3C3A9" w14:textId="69F0987A" w:rsidR="00D40B74" w:rsidRPr="00D40B74" w:rsidRDefault="00D40B74" w:rsidP="00D422A0">
            <w:pPr>
              <w:spacing w:after="0"/>
              <w:rPr>
                <w:color w:val="000000"/>
                <w:sz w:val="22"/>
                <w:szCs w:val="22"/>
              </w:rPr>
            </w:pPr>
            <w:r w:rsidRPr="00D40B74">
              <w:rPr>
                <w:sz w:val="22"/>
                <w:szCs w:val="22"/>
              </w:rPr>
              <w:t>9.8%</w:t>
            </w:r>
          </w:p>
        </w:tc>
      </w:tr>
      <w:tr w:rsidR="00D40B74" w:rsidRPr="00530545" w14:paraId="043B3568" w14:textId="77777777" w:rsidTr="00BA7354">
        <w:trPr>
          <w:trHeight w:hRule="exact" w:val="432"/>
        </w:trPr>
        <w:tc>
          <w:tcPr>
            <w:tcW w:w="3167" w:type="dxa"/>
            <w:shd w:val="clear" w:color="auto" w:fill="auto"/>
            <w:noWrap/>
            <w:tcMar>
              <w:top w:w="15" w:type="dxa"/>
              <w:left w:w="15" w:type="dxa"/>
              <w:bottom w:w="0" w:type="dxa"/>
              <w:right w:w="15" w:type="dxa"/>
            </w:tcMar>
            <w:vAlign w:val="center"/>
          </w:tcPr>
          <w:p w14:paraId="7FC3964A" w14:textId="6FFED232" w:rsidR="00D40B74" w:rsidRPr="00D40B74" w:rsidRDefault="00D40B74" w:rsidP="00D422A0">
            <w:pPr>
              <w:spacing w:after="0"/>
              <w:rPr>
                <w:sz w:val="22"/>
                <w:szCs w:val="22"/>
              </w:rPr>
            </w:pPr>
            <w:r w:rsidRPr="00D40B74">
              <w:rPr>
                <w:sz w:val="22"/>
                <w:szCs w:val="22"/>
              </w:rPr>
              <w:t>Parks and recreation</w:t>
            </w:r>
            <w:r w:rsidR="0073042B">
              <w:rPr>
                <w:sz w:val="22"/>
                <w:szCs w:val="22"/>
              </w:rPr>
              <w:t xml:space="preserve"> </w:t>
            </w:r>
            <w:r w:rsidRPr="00D40B74">
              <w:rPr>
                <w:sz w:val="22"/>
                <w:szCs w:val="22"/>
              </w:rPr>
              <w:t xml:space="preserve"> </w:t>
            </w:r>
          </w:p>
        </w:tc>
        <w:tc>
          <w:tcPr>
            <w:tcW w:w="1710" w:type="dxa"/>
            <w:vAlign w:val="bottom"/>
          </w:tcPr>
          <w:p w14:paraId="0D699CF5" w14:textId="07B0A6A6" w:rsidR="00D40B74" w:rsidRPr="00D40B74" w:rsidRDefault="00D40B74" w:rsidP="00D422A0">
            <w:pPr>
              <w:spacing w:after="0"/>
              <w:rPr>
                <w:color w:val="000000"/>
                <w:sz w:val="22"/>
                <w:szCs w:val="22"/>
              </w:rPr>
            </w:pPr>
            <w:r w:rsidRPr="00D40B74">
              <w:rPr>
                <w:sz w:val="22"/>
                <w:szCs w:val="22"/>
              </w:rPr>
              <w:t>3.5%</w:t>
            </w:r>
          </w:p>
        </w:tc>
        <w:tc>
          <w:tcPr>
            <w:tcW w:w="1710" w:type="dxa"/>
            <w:vAlign w:val="bottom"/>
          </w:tcPr>
          <w:p w14:paraId="27B71116" w14:textId="3F3DD679" w:rsidR="00D40B74" w:rsidRPr="00D40B74" w:rsidRDefault="00D40B74" w:rsidP="00D422A0">
            <w:pPr>
              <w:spacing w:after="0"/>
              <w:rPr>
                <w:color w:val="000000"/>
                <w:sz w:val="22"/>
                <w:szCs w:val="22"/>
              </w:rPr>
            </w:pPr>
            <w:r w:rsidRPr="00D40B74">
              <w:rPr>
                <w:sz w:val="22"/>
                <w:szCs w:val="22"/>
              </w:rPr>
              <w:t>10.1%</w:t>
            </w:r>
          </w:p>
        </w:tc>
        <w:tc>
          <w:tcPr>
            <w:tcW w:w="1620" w:type="dxa"/>
            <w:vAlign w:val="bottom"/>
          </w:tcPr>
          <w:p w14:paraId="351747AB" w14:textId="4E165DE8" w:rsidR="00D40B74" w:rsidRPr="00D40B74" w:rsidRDefault="00D40B74" w:rsidP="00D422A0">
            <w:pPr>
              <w:spacing w:after="0"/>
              <w:rPr>
                <w:color w:val="000000"/>
                <w:sz w:val="22"/>
                <w:szCs w:val="22"/>
              </w:rPr>
            </w:pPr>
            <w:r w:rsidRPr="00D40B74">
              <w:rPr>
                <w:sz w:val="22"/>
                <w:szCs w:val="22"/>
              </w:rPr>
              <w:t>23.0%</w:t>
            </w:r>
          </w:p>
        </w:tc>
        <w:tc>
          <w:tcPr>
            <w:tcW w:w="1620" w:type="dxa"/>
            <w:vAlign w:val="bottom"/>
          </w:tcPr>
          <w:p w14:paraId="59253A52" w14:textId="4B1D621A" w:rsidR="00D40B74" w:rsidRPr="00D40B74" w:rsidRDefault="00D40B74" w:rsidP="00D422A0">
            <w:pPr>
              <w:spacing w:after="0"/>
              <w:rPr>
                <w:color w:val="000000"/>
                <w:sz w:val="22"/>
                <w:szCs w:val="22"/>
              </w:rPr>
            </w:pPr>
            <w:r w:rsidRPr="00D40B74">
              <w:rPr>
                <w:sz w:val="22"/>
                <w:szCs w:val="22"/>
              </w:rPr>
              <w:t>39.5%</w:t>
            </w:r>
          </w:p>
        </w:tc>
      </w:tr>
      <w:tr w:rsidR="00D40B74" w:rsidRPr="00530545" w14:paraId="6F2D74FC" w14:textId="77777777" w:rsidTr="00BA7354">
        <w:trPr>
          <w:trHeight w:hRule="exact" w:val="682"/>
        </w:trPr>
        <w:tc>
          <w:tcPr>
            <w:tcW w:w="3167" w:type="dxa"/>
            <w:shd w:val="clear" w:color="auto" w:fill="auto"/>
            <w:noWrap/>
            <w:tcMar>
              <w:top w:w="15" w:type="dxa"/>
              <w:left w:w="15" w:type="dxa"/>
              <w:bottom w:w="0" w:type="dxa"/>
              <w:right w:w="15" w:type="dxa"/>
            </w:tcMar>
            <w:vAlign w:val="center"/>
          </w:tcPr>
          <w:p w14:paraId="6E7C938C" w14:textId="362D6036" w:rsidR="00D40B74" w:rsidRPr="00D40B74" w:rsidRDefault="00D40B74" w:rsidP="00D422A0">
            <w:pPr>
              <w:spacing w:after="0"/>
              <w:rPr>
                <w:sz w:val="22"/>
                <w:szCs w:val="22"/>
              </w:rPr>
            </w:pPr>
            <w:r w:rsidRPr="00D40B74">
              <w:rPr>
                <w:sz w:val="22"/>
                <w:szCs w:val="22"/>
              </w:rPr>
              <w:t>Housing and community development</w:t>
            </w:r>
            <w:r w:rsidR="0073042B">
              <w:rPr>
                <w:sz w:val="22"/>
                <w:szCs w:val="22"/>
              </w:rPr>
              <w:t xml:space="preserve"> </w:t>
            </w:r>
            <w:r w:rsidRPr="00D40B74">
              <w:rPr>
                <w:sz w:val="22"/>
                <w:szCs w:val="22"/>
              </w:rPr>
              <w:t xml:space="preserve"> </w:t>
            </w:r>
          </w:p>
        </w:tc>
        <w:tc>
          <w:tcPr>
            <w:tcW w:w="1710" w:type="dxa"/>
            <w:vAlign w:val="bottom"/>
          </w:tcPr>
          <w:p w14:paraId="3C35479D" w14:textId="1EF5F590" w:rsidR="00D40B74" w:rsidRPr="00D40B74" w:rsidRDefault="00D40B74" w:rsidP="00D422A0">
            <w:pPr>
              <w:spacing w:after="0"/>
              <w:rPr>
                <w:color w:val="000000"/>
                <w:sz w:val="22"/>
                <w:szCs w:val="22"/>
              </w:rPr>
            </w:pPr>
            <w:r w:rsidRPr="00D40B74">
              <w:rPr>
                <w:sz w:val="22"/>
                <w:szCs w:val="22"/>
              </w:rPr>
              <w:t>1.4%</w:t>
            </w:r>
          </w:p>
        </w:tc>
        <w:tc>
          <w:tcPr>
            <w:tcW w:w="1710" w:type="dxa"/>
            <w:vAlign w:val="bottom"/>
          </w:tcPr>
          <w:p w14:paraId="63091F49" w14:textId="4259A50B" w:rsidR="00D40B74" w:rsidRPr="00D40B74" w:rsidRDefault="00D40B74" w:rsidP="00D422A0">
            <w:pPr>
              <w:spacing w:after="0"/>
              <w:rPr>
                <w:color w:val="000000"/>
                <w:sz w:val="22"/>
                <w:szCs w:val="22"/>
              </w:rPr>
            </w:pPr>
            <w:r w:rsidRPr="00D40B74">
              <w:rPr>
                <w:sz w:val="22"/>
                <w:szCs w:val="22"/>
              </w:rPr>
              <w:t>0.4%</w:t>
            </w:r>
          </w:p>
        </w:tc>
        <w:tc>
          <w:tcPr>
            <w:tcW w:w="1620" w:type="dxa"/>
            <w:vAlign w:val="bottom"/>
          </w:tcPr>
          <w:p w14:paraId="700217C5" w14:textId="41494A99" w:rsidR="00D40B74" w:rsidRPr="00D40B74" w:rsidRDefault="00D40B74" w:rsidP="00D422A0">
            <w:pPr>
              <w:spacing w:after="0"/>
              <w:rPr>
                <w:color w:val="000000"/>
                <w:sz w:val="22"/>
                <w:szCs w:val="22"/>
              </w:rPr>
            </w:pPr>
            <w:r w:rsidRPr="00D40B74">
              <w:rPr>
                <w:sz w:val="22"/>
                <w:szCs w:val="22"/>
              </w:rPr>
              <w:t>11.7%</w:t>
            </w:r>
          </w:p>
        </w:tc>
        <w:tc>
          <w:tcPr>
            <w:tcW w:w="1620" w:type="dxa"/>
            <w:vAlign w:val="bottom"/>
          </w:tcPr>
          <w:p w14:paraId="1B56E21F" w14:textId="33BFB08A" w:rsidR="00D40B74" w:rsidRPr="00D40B74" w:rsidRDefault="00D40B74" w:rsidP="00D422A0">
            <w:pPr>
              <w:spacing w:after="0"/>
              <w:rPr>
                <w:color w:val="000000"/>
                <w:sz w:val="22"/>
                <w:szCs w:val="22"/>
              </w:rPr>
            </w:pPr>
            <w:r w:rsidRPr="00D40B74">
              <w:rPr>
                <w:sz w:val="22"/>
                <w:szCs w:val="22"/>
              </w:rPr>
              <w:t>2.9%</w:t>
            </w:r>
          </w:p>
        </w:tc>
      </w:tr>
      <w:tr w:rsidR="00D40B74" w:rsidRPr="00530545" w14:paraId="191C5157" w14:textId="77777777" w:rsidTr="00BA7354">
        <w:trPr>
          <w:trHeight w:hRule="exact" w:val="432"/>
        </w:trPr>
        <w:tc>
          <w:tcPr>
            <w:tcW w:w="3167" w:type="dxa"/>
            <w:shd w:val="clear" w:color="auto" w:fill="auto"/>
            <w:noWrap/>
            <w:tcMar>
              <w:top w:w="15" w:type="dxa"/>
              <w:left w:w="15" w:type="dxa"/>
              <w:bottom w:w="0" w:type="dxa"/>
              <w:right w:w="15" w:type="dxa"/>
            </w:tcMar>
            <w:vAlign w:val="center"/>
          </w:tcPr>
          <w:p w14:paraId="3DEDCA74" w14:textId="33AA8D96" w:rsidR="00D40B74" w:rsidRPr="00D40B74" w:rsidRDefault="00D40B74" w:rsidP="00D422A0">
            <w:pPr>
              <w:spacing w:after="0"/>
              <w:rPr>
                <w:sz w:val="22"/>
                <w:szCs w:val="22"/>
              </w:rPr>
            </w:pPr>
            <w:r w:rsidRPr="00D40B74">
              <w:rPr>
                <w:sz w:val="22"/>
                <w:szCs w:val="22"/>
              </w:rPr>
              <w:t>Sewerage</w:t>
            </w:r>
            <w:r w:rsidR="0073042B">
              <w:rPr>
                <w:sz w:val="22"/>
                <w:szCs w:val="22"/>
              </w:rPr>
              <w:t xml:space="preserve"> </w:t>
            </w:r>
            <w:r w:rsidRPr="00D40B74">
              <w:rPr>
                <w:sz w:val="22"/>
                <w:szCs w:val="22"/>
              </w:rPr>
              <w:t xml:space="preserve"> </w:t>
            </w:r>
          </w:p>
        </w:tc>
        <w:tc>
          <w:tcPr>
            <w:tcW w:w="1710" w:type="dxa"/>
            <w:vAlign w:val="bottom"/>
          </w:tcPr>
          <w:p w14:paraId="667C94FC" w14:textId="5CDA652F" w:rsidR="00D40B74" w:rsidRPr="00D40B74" w:rsidRDefault="00D40B74" w:rsidP="00D422A0">
            <w:pPr>
              <w:spacing w:after="0"/>
              <w:rPr>
                <w:color w:val="000000"/>
                <w:sz w:val="22"/>
                <w:szCs w:val="22"/>
              </w:rPr>
            </w:pPr>
            <w:r w:rsidRPr="00D40B74">
              <w:rPr>
                <w:sz w:val="22"/>
                <w:szCs w:val="22"/>
              </w:rPr>
              <w:t>20.9%</w:t>
            </w:r>
          </w:p>
        </w:tc>
        <w:tc>
          <w:tcPr>
            <w:tcW w:w="1710" w:type="dxa"/>
            <w:vAlign w:val="bottom"/>
          </w:tcPr>
          <w:p w14:paraId="546C8760" w14:textId="041D5C9C" w:rsidR="00D40B74" w:rsidRPr="00D40B74" w:rsidRDefault="00D40B74" w:rsidP="00D422A0">
            <w:pPr>
              <w:spacing w:after="0"/>
              <w:rPr>
                <w:color w:val="000000"/>
                <w:sz w:val="22"/>
                <w:szCs w:val="22"/>
              </w:rPr>
            </w:pPr>
            <w:r w:rsidRPr="00D40B74">
              <w:rPr>
                <w:sz w:val="22"/>
                <w:szCs w:val="22"/>
              </w:rPr>
              <w:t>34.4%</w:t>
            </w:r>
          </w:p>
        </w:tc>
        <w:tc>
          <w:tcPr>
            <w:tcW w:w="1620" w:type="dxa"/>
            <w:vAlign w:val="bottom"/>
          </w:tcPr>
          <w:p w14:paraId="62924311" w14:textId="5BE4799E" w:rsidR="00D40B74" w:rsidRPr="00D40B74" w:rsidRDefault="00D40B74" w:rsidP="00D422A0">
            <w:pPr>
              <w:spacing w:after="0"/>
              <w:rPr>
                <w:color w:val="000000"/>
                <w:sz w:val="22"/>
                <w:szCs w:val="22"/>
              </w:rPr>
            </w:pPr>
            <w:r w:rsidRPr="00D40B74">
              <w:rPr>
                <w:sz w:val="22"/>
                <w:szCs w:val="22"/>
              </w:rPr>
              <w:t>96.9%</w:t>
            </w:r>
          </w:p>
        </w:tc>
        <w:tc>
          <w:tcPr>
            <w:tcW w:w="1620" w:type="dxa"/>
            <w:vAlign w:val="bottom"/>
          </w:tcPr>
          <w:p w14:paraId="2023D12C" w14:textId="671A9A48" w:rsidR="00D40B74" w:rsidRPr="00D40B74" w:rsidRDefault="00D40B74" w:rsidP="00D422A0">
            <w:pPr>
              <w:spacing w:after="0"/>
              <w:rPr>
                <w:color w:val="000000"/>
                <w:sz w:val="22"/>
                <w:szCs w:val="22"/>
              </w:rPr>
            </w:pPr>
            <w:r w:rsidRPr="00D40B74">
              <w:rPr>
                <w:sz w:val="22"/>
                <w:szCs w:val="22"/>
              </w:rPr>
              <w:t>83.2%</w:t>
            </w:r>
          </w:p>
        </w:tc>
      </w:tr>
      <w:tr w:rsidR="00D40B74" w:rsidRPr="00530545" w14:paraId="0CF7EF54" w14:textId="77777777" w:rsidTr="00BA7354">
        <w:trPr>
          <w:trHeight w:hRule="exact" w:val="432"/>
        </w:trPr>
        <w:tc>
          <w:tcPr>
            <w:tcW w:w="3167" w:type="dxa"/>
            <w:shd w:val="clear" w:color="auto" w:fill="auto"/>
            <w:noWrap/>
            <w:tcMar>
              <w:top w:w="15" w:type="dxa"/>
              <w:left w:w="15" w:type="dxa"/>
              <w:bottom w:w="0" w:type="dxa"/>
              <w:right w:w="15" w:type="dxa"/>
            </w:tcMar>
            <w:vAlign w:val="center"/>
          </w:tcPr>
          <w:p w14:paraId="6E692D9A" w14:textId="62CAAEA9" w:rsidR="00D40B74" w:rsidRPr="00D40B74" w:rsidRDefault="00D40B74" w:rsidP="00D422A0">
            <w:pPr>
              <w:spacing w:after="0"/>
              <w:rPr>
                <w:sz w:val="22"/>
                <w:szCs w:val="22"/>
              </w:rPr>
            </w:pPr>
            <w:r w:rsidRPr="00D40B74">
              <w:rPr>
                <w:sz w:val="22"/>
                <w:szCs w:val="22"/>
              </w:rPr>
              <w:t>Solid waste management</w:t>
            </w:r>
            <w:r w:rsidR="0073042B">
              <w:rPr>
                <w:sz w:val="22"/>
                <w:szCs w:val="22"/>
              </w:rPr>
              <w:t xml:space="preserve"> </w:t>
            </w:r>
            <w:r w:rsidRPr="00D40B74">
              <w:rPr>
                <w:sz w:val="22"/>
                <w:szCs w:val="22"/>
              </w:rPr>
              <w:t xml:space="preserve"> </w:t>
            </w:r>
          </w:p>
        </w:tc>
        <w:tc>
          <w:tcPr>
            <w:tcW w:w="1710" w:type="dxa"/>
            <w:vAlign w:val="bottom"/>
          </w:tcPr>
          <w:p w14:paraId="54075339" w14:textId="4168AE0A" w:rsidR="00D40B74" w:rsidRPr="00D40B74" w:rsidRDefault="00D40B74" w:rsidP="00D422A0">
            <w:pPr>
              <w:spacing w:after="0"/>
              <w:rPr>
                <w:color w:val="000000"/>
                <w:sz w:val="22"/>
                <w:szCs w:val="22"/>
              </w:rPr>
            </w:pPr>
            <w:r w:rsidRPr="00D40B74">
              <w:rPr>
                <w:sz w:val="22"/>
                <w:szCs w:val="22"/>
              </w:rPr>
              <w:t>8.0%</w:t>
            </w:r>
          </w:p>
        </w:tc>
        <w:tc>
          <w:tcPr>
            <w:tcW w:w="1710" w:type="dxa"/>
            <w:vAlign w:val="bottom"/>
          </w:tcPr>
          <w:p w14:paraId="3810894D" w14:textId="75767654" w:rsidR="00D40B74" w:rsidRPr="00D40B74" w:rsidRDefault="00D40B74" w:rsidP="00D422A0">
            <w:pPr>
              <w:spacing w:after="0"/>
              <w:rPr>
                <w:color w:val="000000"/>
                <w:sz w:val="22"/>
                <w:szCs w:val="22"/>
              </w:rPr>
            </w:pPr>
            <w:r w:rsidRPr="00D40B74">
              <w:rPr>
                <w:sz w:val="22"/>
                <w:szCs w:val="22"/>
              </w:rPr>
              <w:t>6.0%</w:t>
            </w:r>
          </w:p>
        </w:tc>
        <w:tc>
          <w:tcPr>
            <w:tcW w:w="1620" w:type="dxa"/>
            <w:vAlign w:val="bottom"/>
          </w:tcPr>
          <w:p w14:paraId="6D700F69" w14:textId="029DADFA" w:rsidR="00D40B74" w:rsidRPr="00D40B74" w:rsidRDefault="00D40B74" w:rsidP="00D422A0">
            <w:pPr>
              <w:spacing w:after="0"/>
              <w:rPr>
                <w:color w:val="000000"/>
                <w:sz w:val="22"/>
                <w:szCs w:val="22"/>
              </w:rPr>
            </w:pPr>
            <w:r w:rsidRPr="00D40B74">
              <w:rPr>
                <w:sz w:val="22"/>
                <w:szCs w:val="22"/>
              </w:rPr>
              <w:t>73.6%</w:t>
            </w:r>
          </w:p>
        </w:tc>
        <w:tc>
          <w:tcPr>
            <w:tcW w:w="1620" w:type="dxa"/>
            <w:vAlign w:val="bottom"/>
          </w:tcPr>
          <w:p w14:paraId="7F0C1113" w14:textId="7627FFEC" w:rsidR="00D40B74" w:rsidRPr="00D40B74" w:rsidRDefault="00D40B74" w:rsidP="00D422A0">
            <w:pPr>
              <w:spacing w:after="0"/>
              <w:rPr>
                <w:color w:val="000000"/>
                <w:sz w:val="22"/>
                <w:szCs w:val="22"/>
              </w:rPr>
            </w:pPr>
            <w:r w:rsidRPr="00D40B74">
              <w:rPr>
                <w:sz w:val="22"/>
                <w:szCs w:val="22"/>
              </w:rPr>
              <w:t>28.3%</w:t>
            </w:r>
          </w:p>
        </w:tc>
      </w:tr>
      <w:tr w:rsidR="00D40B74" w:rsidRPr="00530545" w14:paraId="44CAA4E9" w14:textId="77777777" w:rsidTr="00BA7354">
        <w:trPr>
          <w:trHeight w:hRule="exact" w:val="432"/>
        </w:trPr>
        <w:tc>
          <w:tcPr>
            <w:tcW w:w="3167" w:type="dxa"/>
            <w:shd w:val="clear" w:color="auto" w:fill="auto"/>
            <w:noWrap/>
            <w:tcMar>
              <w:top w:w="15" w:type="dxa"/>
              <w:left w:w="15" w:type="dxa"/>
              <w:bottom w:w="0" w:type="dxa"/>
              <w:right w:w="15" w:type="dxa"/>
            </w:tcMar>
            <w:vAlign w:val="center"/>
          </w:tcPr>
          <w:p w14:paraId="1EA532DF" w14:textId="2D622B1C" w:rsidR="00D40B74" w:rsidRPr="00D40B74" w:rsidRDefault="00D40B74" w:rsidP="00D422A0">
            <w:pPr>
              <w:spacing w:after="0"/>
              <w:rPr>
                <w:sz w:val="22"/>
                <w:szCs w:val="22"/>
              </w:rPr>
            </w:pPr>
            <w:r w:rsidRPr="00D40B74">
              <w:rPr>
                <w:sz w:val="22"/>
                <w:szCs w:val="22"/>
              </w:rPr>
              <w:t>Other charges</w:t>
            </w:r>
            <w:r w:rsidR="0073042B">
              <w:rPr>
                <w:sz w:val="22"/>
                <w:szCs w:val="22"/>
              </w:rPr>
              <w:t xml:space="preserve"> </w:t>
            </w:r>
            <w:r w:rsidRPr="00D40B74">
              <w:rPr>
                <w:sz w:val="22"/>
                <w:szCs w:val="22"/>
              </w:rPr>
              <w:t xml:space="preserve"> </w:t>
            </w:r>
          </w:p>
        </w:tc>
        <w:tc>
          <w:tcPr>
            <w:tcW w:w="1710" w:type="dxa"/>
            <w:vAlign w:val="bottom"/>
          </w:tcPr>
          <w:p w14:paraId="429D682F" w14:textId="67E99A09" w:rsidR="00D40B74" w:rsidRPr="00D40B74" w:rsidRDefault="00D40B74" w:rsidP="00D422A0">
            <w:pPr>
              <w:spacing w:after="0"/>
              <w:rPr>
                <w:color w:val="000000"/>
                <w:sz w:val="22"/>
                <w:szCs w:val="22"/>
              </w:rPr>
            </w:pPr>
            <w:r w:rsidRPr="00D40B74">
              <w:rPr>
                <w:sz w:val="22"/>
                <w:szCs w:val="22"/>
              </w:rPr>
              <w:t>20.0%</w:t>
            </w:r>
          </w:p>
        </w:tc>
        <w:tc>
          <w:tcPr>
            <w:tcW w:w="1710" w:type="dxa"/>
            <w:vAlign w:val="bottom"/>
          </w:tcPr>
          <w:p w14:paraId="2BB29E61" w14:textId="5CA6746B" w:rsidR="00D40B74" w:rsidRPr="00D40B74" w:rsidRDefault="00D40B74" w:rsidP="00D422A0">
            <w:pPr>
              <w:spacing w:after="0"/>
              <w:rPr>
                <w:color w:val="000000"/>
                <w:sz w:val="22"/>
                <w:szCs w:val="22"/>
              </w:rPr>
            </w:pPr>
            <w:r w:rsidRPr="00D40B74">
              <w:rPr>
                <w:sz w:val="22"/>
                <w:szCs w:val="22"/>
              </w:rPr>
              <w:t>27.6%</w:t>
            </w:r>
          </w:p>
        </w:tc>
        <w:tc>
          <w:tcPr>
            <w:tcW w:w="1620" w:type="dxa"/>
            <w:vAlign w:val="bottom"/>
          </w:tcPr>
          <w:p w14:paraId="7E72B7C4" w14:textId="7791F21A" w:rsidR="00D40B74" w:rsidRPr="00D40B74" w:rsidRDefault="00D40B74" w:rsidP="00D422A0">
            <w:pPr>
              <w:spacing w:after="0"/>
              <w:rPr>
                <w:color w:val="000000"/>
                <w:sz w:val="22"/>
                <w:szCs w:val="22"/>
              </w:rPr>
            </w:pPr>
            <w:r w:rsidRPr="00D40B74">
              <w:rPr>
                <w:sz w:val="22"/>
                <w:szCs w:val="22"/>
              </w:rPr>
              <w:t>36.9%</w:t>
            </w:r>
          </w:p>
        </w:tc>
        <w:tc>
          <w:tcPr>
            <w:tcW w:w="1620" w:type="dxa"/>
            <w:vAlign w:val="bottom"/>
          </w:tcPr>
          <w:p w14:paraId="1200D3D1" w14:textId="3501B978" w:rsidR="00D40B74" w:rsidRPr="00D40B74" w:rsidRDefault="00D40B74" w:rsidP="00D422A0">
            <w:pPr>
              <w:spacing w:after="0"/>
              <w:rPr>
                <w:color w:val="000000"/>
                <w:sz w:val="22"/>
                <w:szCs w:val="22"/>
              </w:rPr>
            </w:pPr>
            <w:r w:rsidRPr="00D40B74">
              <w:rPr>
                <w:sz w:val="22"/>
                <w:szCs w:val="22"/>
              </w:rPr>
              <w:t>38.7%</w:t>
            </w:r>
          </w:p>
        </w:tc>
      </w:tr>
      <w:tr w:rsidR="00A166EA" w:rsidRPr="00530545" w14:paraId="21197EDC" w14:textId="77777777" w:rsidTr="00BA7354">
        <w:trPr>
          <w:trHeight w:hRule="exact" w:val="432"/>
        </w:trPr>
        <w:tc>
          <w:tcPr>
            <w:tcW w:w="3167" w:type="dxa"/>
            <w:tcBorders>
              <w:bottom w:val="single" w:sz="4" w:space="0" w:color="auto"/>
            </w:tcBorders>
            <w:shd w:val="clear" w:color="auto" w:fill="auto"/>
            <w:noWrap/>
            <w:tcMar>
              <w:top w:w="15" w:type="dxa"/>
              <w:left w:w="15" w:type="dxa"/>
              <w:bottom w:w="0" w:type="dxa"/>
              <w:right w:w="15" w:type="dxa"/>
            </w:tcMar>
            <w:vAlign w:val="center"/>
          </w:tcPr>
          <w:p w14:paraId="2D254A06" w14:textId="77777777" w:rsidR="00A166EA" w:rsidRPr="00CF385E" w:rsidRDefault="00A166EA" w:rsidP="00D422A0">
            <w:pPr>
              <w:tabs>
                <w:tab w:val="left" w:pos="900"/>
              </w:tabs>
              <w:spacing w:after="0"/>
              <w:rPr>
                <w:b/>
                <w:iCs/>
                <w:sz w:val="22"/>
                <w:szCs w:val="22"/>
              </w:rPr>
            </w:pPr>
            <w:r w:rsidRPr="00CF385E">
              <w:rPr>
                <w:b/>
                <w:iCs/>
                <w:sz w:val="22"/>
                <w:szCs w:val="22"/>
              </w:rPr>
              <w:t>Total</w:t>
            </w:r>
          </w:p>
        </w:tc>
        <w:tc>
          <w:tcPr>
            <w:tcW w:w="1710" w:type="dxa"/>
            <w:tcBorders>
              <w:bottom w:val="single" w:sz="4" w:space="0" w:color="auto"/>
            </w:tcBorders>
            <w:vAlign w:val="center"/>
          </w:tcPr>
          <w:p w14:paraId="0A9597AF" w14:textId="77777777" w:rsidR="00A166EA" w:rsidRPr="00D40B74" w:rsidRDefault="00A166EA" w:rsidP="00D422A0">
            <w:pPr>
              <w:spacing w:after="0"/>
              <w:rPr>
                <w:color w:val="000000"/>
                <w:sz w:val="22"/>
                <w:szCs w:val="22"/>
              </w:rPr>
            </w:pPr>
            <w:r w:rsidRPr="00D40B74">
              <w:rPr>
                <w:sz w:val="22"/>
                <w:szCs w:val="22"/>
              </w:rPr>
              <w:t>100.0%</w:t>
            </w:r>
          </w:p>
        </w:tc>
        <w:tc>
          <w:tcPr>
            <w:tcW w:w="1710" w:type="dxa"/>
            <w:tcBorders>
              <w:bottom w:val="single" w:sz="4" w:space="0" w:color="auto"/>
            </w:tcBorders>
            <w:vAlign w:val="center"/>
          </w:tcPr>
          <w:p w14:paraId="27E8BD56" w14:textId="6CE341A6" w:rsidR="00A166EA" w:rsidRPr="00D40B74" w:rsidRDefault="00014112" w:rsidP="00D422A0">
            <w:pPr>
              <w:spacing w:after="0"/>
              <w:rPr>
                <w:color w:val="000000"/>
                <w:sz w:val="22"/>
                <w:szCs w:val="22"/>
              </w:rPr>
            </w:pPr>
            <w:r w:rsidRPr="00D40B74">
              <w:rPr>
                <w:sz w:val="22"/>
                <w:szCs w:val="22"/>
              </w:rPr>
              <w:t>100.0%</w:t>
            </w:r>
          </w:p>
        </w:tc>
        <w:tc>
          <w:tcPr>
            <w:tcW w:w="1620" w:type="dxa"/>
            <w:tcBorders>
              <w:bottom w:val="single" w:sz="4" w:space="0" w:color="auto"/>
            </w:tcBorders>
          </w:tcPr>
          <w:p w14:paraId="26B45EE4" w14:textId="77777777" w:rsidR="00A166EA" w:rsidRPr="00D40B74" w:rsidRDefault="00A166EA" w:rsidP="00D422A0">
            <w:pPr>
              <w:spacing w:after="0"/>
              <w:rPr>
                <w:color w:val="000000"/>
                <w:sz w:val="22"/>
                <w:szCs w:val="22"/>
              </w:rPr>
            </w:pPr>
          </w:p>
        </w:tc>
        <w:tc>
          <w:tcPr>
            <w:tcW w:w="1620" w:type="dxa"/>
            <w:tcBorders>
              <w:bottom w:val="single" w:sz="4" w:space="0" w:color="auto"/>
            </w:tcBorders>
          </w:tcPr>
          <w:p w14:paraId="70A911B7" w14:textId="77777777" w:rsidR="00A166EA" w:rsidRPr="00D40B74" w:rsidRDefault="00A166EA" w:rsidP="00D422A0">
            <w:pPr>
              <w:spacing w:after="0"/>
              <w:rPr>
                <w:color w:val="000000"/>
                <w:sz w:val="22"/>
                <w:szCs w:val="22"/>
              </w:rPr>
            </w:pPr>
          </w:p>
        </w:tc>
      </w:tr>
    </w:tbl>
    <w:p w14:paraId="5D1200A8" w14:textId="7FEDEEB4" w:rsidR="00A166EA" w:rsidRDefault="00CF385E" w:rsidP="00D422A0">
      <w:pPr>
        <w:spacing w:after="0" w:line="480" w:lineRule="auto"/>
      </w:pPr>
      <w:r w:rsidRPr="001E5771">
        <w:rPr>
          <w:color w:val="000000"/>
          <w:sz w:val="22"/>
          <w:szCs w:val="22"/>
          <w:lang w:bidi="ar-SA"/>
        </w:rPr>
        <w:t>Source: Author’s calculation based on 2012 Census of Governments, U.S. Bureau of the Census.</w:t>
      </w:r>
    </w:p>
    <w:p w14:paraId="12762312" w14:textId="296B206C" w:rsidR="005959A4" w:rsidRDefault="005959A4" w:rsidP="00D422A0">
      <w:pPr>
        <w:pStyle w:val="ListParagraph"/>
        <w:spacing w:after="0" w:line="360" w:lineRule="auto"/>
        <w:ind w:left="0" w:firstLine="720"/>
      </w:pPr>
      <w:r w:rsidRPr="00710363">
        <w:t xml:space="preserve">The extent to which </w:t>
      </w:r>
      <w:r w:rsidR="00BC1CDB">
        <w:t>current</w:t>
      </w:r>
      <w:r w:rsidRPr="00710363">
        <w:t xml:space="preserve"> charges are used to cover the expenditures for government services varies significantly</w:t>
      </w:r>
      <w:r w:rsidR="006952C1">
        <w:t xml:space="preserve"> across services</w:t>
      </w:r>
      <w:r w:rsidRPr="00710363">
        <w:t>.</w:t>
      </w:r>
      <w:r w:rsidR="0073042B">
        <w:t xml:space="preserve"> </w:t>
      </w:r>
      <w:r w:rsidR="006952C1">
        <w:t>For the U.S., revenue from p</w:t>
      </w:r>
      <w:r w:rsidR="006952C1" w:rsidRPr="00710363">
        <w:t>arking revenues</w:t>
      </w:r>
      <w:r w:rsidR="006952C1">
        <w:t xml:space="preserve"> and</w:t>
      </w:r>
      <w:r w:rsidR="006952C1" w:rsidRPr="00710363">
        <w:t xml:space="preserve"> water transportation facilities exceed </w:t>
      </w:r>
      <w:r w:rsidR="006952C1">
        <w:t>expenditures on these</w:t>
      </w:r>
      <w:r w:rsidR="006952C1" w:rsidRPr="00710363">
        <w:t xml:space="preserve"> service</w:t>
      </w:r>
      <w:r w:rsidR="006952C1">
        <w:t>s</w:t>
      </w:r>
      <w:r w:rsidR="006952C1" w:rsidRPr="00710363">
        <w:t>.</w:t>
      </w:r>
      <w:r w:rsidR="0073042B">
        <w:t xml:space="preserve"> </w:t>
      </w:r>
      <w:r w:rsidR="006952C1">
        <w:t>Other s</w:t>
      </w:r>
      <w:r w:rsidRPr="00710363">
        <w:t xml:space="preserve">ervices with </w:t>
      </w:r>
      <w:r>
        <w:t xml:space="preserve">a </w:t>
      </w:r>
      <w:r w:rsidRPr="00710363">
        <w:t xml:space="preserve">large ratio of </w:t>
      </w:r>
      <w:r w:rsidR="006952C1">
        <w:t xml:space="preserve">current charge </w:t>
      </w:r>
      <w:r w:rsidRPr="00710363">
        <w:t xml:space="preserve">revenue to expenditures are air </w:t>
      </w:r>
      <w:r w:rsidR="006952C1">
        <w:t>transportation</w:t>
      </w:r>
      <w:r w:rsidRPr="00710363">
        <w:t>, sewerage</w:t>
      </w:r>
      <w:r w:rsidR="006952C1">
        <w:t>,</w:t>
      </w:r>
      <w:r w:rsidRPr="00710363">
        <w:t xml:space="preserve"> </w:t>
      </w:r>
      <w:r w:rsidR="006952C1" w:rsidRPr="00710363">
        <w:t>hospitals</w:t>
      </w:r>
      <w:r w:rsidR="006952C1">
        <w:t>,</w:t>
      </w:r>
      <w:r w:rsidR="006952C1" w:rsidRPr="00710363">
        <w:t xml:space="preserve"> </w:t>
      </w:r>
      <w:r w:rsidR="006952C1">
        <w:t>and waste management</w:t>
      </w:r>
      <w:r w:rsidRPr="00710363">
        <w:t>.</w:t>
      </w:r>
      <w:r w:rsidR="0073042B">
        <w:t xml:space="preserve"> </w:t>
      </w:r>
      <w:r w:rsidRPr="00710363">
        <w:t xml:space="preserve">On the other hand, education, highways, parks and recreation, and housing and community development have low </w:t>
      </w:r>
      <w:r w:rsidR="00BC1CDB">
        <w:t>current</w:t>
      </w:r>
      <w:r w:rsidR="00621C0A">
        <w:t xml:space="preserve"> </w:t>
      </w:r>
      <w:r w:rsidRPr="00710363">
        <w:t xml:space="preserve">charge </w:t>
      </w:r>
      <w:r w:rsidR="00621C0A">
        <w:t xml:space="preserve">revenue </w:t>
      </w:r>
      <w:r w:rsidRPr="00710363">
        <w:t>to expenditure ratios.</w:t>
      </w:r>
      <w:r w:rsidR="0073042B">
        <w:t xml:space="preserve"> </w:t>
      </w:r>
    </w:p>
    <w:p w14:paraId="0DC79E10" w14:textId="0BA6A466" w:rsidR="00BC1CDB" w:rsidRDefault="006952C1" w:rsidP="00BC1CDB">
      <w:pPr>
        <w:pStyle w:val="ListParagraph"/>
        <w:spacing w:after="0" w:line="360" w:lineRule="auto"/>
        <w:ind w:left="0" w:firstLine="720"/>
      </w:pPr>
      <w:r>
        <w:t xml:space="preserve">For most services, Connecticut collects a smaller percentage of expenditures in current charges than the average for the U.S. Of particular note are air transportation and solid waste management. </w:t>
      </w:r>
      <w:r w:rsidR="00BC1CDB">
        <w:t xml:space="preserve">However, there are some functions for which current charges as share of expenditures in Connecticut exceed the U.S. average. </w:t>
      </w:r>
    </w:p>
    <w:p w14:paraId="059FB8B1" w14:textId="09C18A58" w:rsidR="009101D9" w:rsidRDefault="009101D9" w:rsidP="00D422A0">
      <w:pPr>
        <w:pStyle w:val="ListParagraph"/>
        <w:spacing w:after="0" w:line="360" w:lineRule="auto"/>
        <w:ind w:left="0" w:firstLine="720"/>
      </w:pPr>
      <w:r>
        <w:lastRenderedPageBreak/>
        <w:t>We attempted to determine current charges for a sample of Connecticut cities in order to show comparisons across cities. However, we were unsuccessful because cities differ</w:t>
      </w:r>
      <w:r w:rsidR="00621C0A">
        <w:t xml:space="preserve"> greatly</w:t>
      </w:r>
      <w:r>
        <w:t xml:space="preserve"> in how they categorize current charges. </w:t>
      </w:r>
    </w:p>
    <w:p w14:paraId="2CA7270C" w14:textId="0F2C6E82" w:rsidR="005959A4" w:rsidRPr="00813BF8" w:rsidRDefault="000526B3" w:rsidP="00835F98">
      <w:pPr>
        <w:pStyle w:val="Heading2"/>
      </w:pPr>
      <w:bookmarkStart w:id="115" w:name="_Toc433373678"/>
      <w:r w:rsidRPr="00813BF8">
        <w:t>Issues Associated with Current Charges</w:t>
      </w:r>
      <w:bookmarkEnd w:id="115"/>
      <w:r w:rsidR="005959A4" w:rsidRPr="00813BF8">
        <w:t xml:space="preserve"> </w:t>
      </w:r>
    </w:p>
    <w:p w14:paraId="2391D1CD" w14:textId="0C50EB36" w:rsidR="005959A4" w:rsidRPr="00710363" w:rsidRDefault="009101D9" w:rsidP="00D422A0">
      <w:pPr>
        <w:pStyle w:val="ListParagraph"/>
        <w:spacing w:after="0" w:line="360" w:lineRule="auto"/>
        <w:ind w:left="0" w:firstLine="720"/>
      </w:pPr>
      <w:r>
        <w:t>C</w:t>
      </w:r>
      <w:r w:rsidR="005959A4">
        <w:t>harges</w:t>
      </w:r>
      <w:r w:rsidR="005959A4" w:rsidRPr="00710363">
        <w:t xml:space="preserve"> and fees</w:t>
      </w:r>
      <w:r>
        <w:t xml:space="preserve"> can</w:t>
      </w:r>
      <w:r w:rsidR="005959A4" w:rsidRPr="00710363">
        <w:t xml:space="preserve"> serve as signals of the cost of </w:t>
      </w:r>
      <w:r w:rsidR="00621C0A">
        <w:t>a public</w:t>
      </w:r>
      <w:r w:rsidR="005959A4" w:rsidRPr="00710363">
        <w:t xml:space="preserve"> service, similar to prices for private goods.</w:t>
      </w:r>
      <w:r w:rsidR="005959A4" w:rsidRPr="00710363">
        <w:rPr>
          <w:rStyle w:val="FootnoteReference"/>
        </w:rPr>
        <w:footnoteReference w:id="20"/>
      </w:r>
      <w:r w:rsidR="0073042B">
        <w:t xml:space="preserve"> </w:t>
      </w:r>
      <w:r>
        <w:t xml:space="preserve">If </w:t>
      </w:r>
      <w:r w:rsidR="005959A4" w:rsidRPr="00710363">
        <w:t>charges vary with the amount of service consumed</w:t>
      </w:r>
      <w:r w:rsidR="00B702CE">
        <w:t>, it is expected that</w:t>
      </w:r>
      <w:r w:rsidR="005959A4" w:rsidRPr="00710363">
        <w:t xml:space="preserve"> individuals </w:t>
      </w:r>
      <w:r w:rsidR="00B702CE">
        <w:t xml:space="preserve">will </w:t>
      </w:r>
      <w:r w:rsidR="005959A4" w:rsidRPr="00710363">
        <w:t>adjust their consumption</w:t>
      </w:r>
      <w:r>
        <w:t xml:space="preserve"> of these services, relating the benefits they receive to the cost. Charges thus act as a rationing device in the same way that prices ration goods and services in the private sector. </w:t>
      </w:r>
      <w:r w:rsidR="0073042B">
        <w:t xml:space="preserve"> </w:t>
      </w:r>
    </w:p>
    <w:p w14:paraId="2C2A622B" w14:textId="601D6752" w:rsidR="005959A4" w:rsidRPr="00710363" w:rsidRDefault="005959A4" w:rsidP="00D422A0">
      <w:pPr>
        <w:pStyle w:val="ListParagraph"/>
        <w:spacing w:after="0" w:line="360" w:lineRule="auto"/>
        <w:ind w:left="0"/>
      </w:pPr>
      <w:r w:rsidRPr="00710363">
        <w:tab/>
        <w:t>In addition</w:t>
      </w:r>
      <w:r w:rsidR="00621C0A">
        <w:t>,</w:t>
      </w:r>
      <w:r w:rsidRPr="00710363">
        <w:t xml:space="preserve"> charges can be used to reduce congestion when the demand for a public service exceeds capacity.</w:t>
      </w:r>
      <w:r w:rsidR="0073042B">
        <w:t xml:space="preserve"> </w:t>
      </w:r>
      <w:r w:rsidR="009101D9">
        <w:t>For example, c</w:t>
      </w:r>
      <w:r w:rsidRPr="00710363">
        <w:t>ongestion tolls on</w:t>
      </w:r>
      <w:r w:rsidR="009101D9">
        <w:t xml:space="preserve"> some urban interstate lanes are being used to manage traffic congestion on those lanes.</w:t>
      </w:r>
      <w:r w:rsidR="0073042B">
        <w:t xml:space="preserve"> </w:t>
      </w:r>
      <w:r w:rsidR="009101D9">
        <w:t>But in addition,</w:t>
      </w:r>
      <w:r w:rsidRPr="00710363">
        <w:t xml:space="preserve"> </w:t>
      </w:r>
      <w:r w:rsidR="009101D9">
        <w:t>charges</w:t>
      </w:r>
      <w:r w:rsidRPr="00710363">
        <w:t xml:space="preserve"> can be </w:t>
      </w:r>
      <w:r w:rsidR="009101D9">
        <w:t xml:space="preserve">used </w:t>
      </w:r>
      <w:r w:rsidRPr="00710363">
        <w:t xml:space="preserve">to limit the </w:t>
      </w:r>
      <w:r w:rsidR="0056591D">
        <w:t>excess demand</w:t>
      </w:r>
      <w:r w:rsidR="009101D9">
        <w:t xml:space="preserve"> </w:t>
      </w:r>
      <w:r w:rsidRPr="00710363">
        <w:t xml:space="preserve">of facilities such as swimming pools and golf courses on weekends, of electricity during heat waves, </w:t>
      </w:r>
      <w:r>
        <w:t>and</w:t>
      </w:r>
      <w:r w:rsidRPr="00710363">
        <w:t xml:space="preserve"> </w:t>
      </w:r>
      <w:r w:rsidR="009101D9">
        <w:t xml:space="preserve">of </w:t>
      </w:r>
      <w:r w:rsidRPr="00710363">
        <w:t>water during droughts.</w:t>
      </w:r>
      <w:r w:rsidR="0073042B">
        <w:t xml:space="preserve"> </w:t>
      </w:r>
    </w:p>
    <w:p w14:paraId="71EE1807" w14:textId="175C2D05" w:rsidR="00375153" w:rsidRDefault="005959A4" w:rsidP="00D422A0">
      <w:pPr>
        <w:pStyle w:val="ListParagraph"/>
        <w:spacing w:after="0" w:line="360" w:lineRule="auto"/>
        <w:ind w:left="0"/>
      </w:pPr>
      <w:r w:rsidRPr="00710363">
        <w:tab/>
      </w:r>
      <w:r w:rsidR="009101D9">
        <w:t xml:space="preserve">A major issue with charges is equity. </w:t>
      </w:r>
      <w:r w:rsidR="00375153">
        <w:t>On the one hand, f</w:t>
      </w:r>
      <w:r w:rsidRPr="00710363">
        <w:t>or services that do not involve distributional concerns</w:t>
      </w:r>
      <w:r w:rsidR="00375153">
        <w:t xml:space="preserve">, </w:t>
      </w:r>
      <w:r w:rsidRPr="00710363">
        <w:t>charges ensure that those who benefit from the service pay for it.</w:t>
      </w:r>
      <w:r w:rsidR="0073042B">
        <w:t xml:space="preserve"> </w:t>
      </w:r>
      <w:r w:rsidR="00375153">
        <w:t xml:space="preserve">Based on the benefit principle of equity, this would be equitable. </w:t>
      </w:r>
      <w:r w:rsidRPr="00710363">
        <w:t xml:space="preserve">This is </w:t>
      </w:r>
      <w:r w:rsidR="00375153">
        <w:t xml:space="preserve">also </w:t>
      </w:r>
      <w:r w:rsidRPr="00710363">
        <w:t xml:space="preserve">relevant for services consumed by nonresidents, </w:t>
      </w:r>
      <w:r w:rsidR="00621C0A">
        <w:t xml:space="preserve">who might not pay taxes commensurate with the cost of </w:t>
      </w:r>
      <w:r w:rsidRPr="00710363">
        <w:t>provi</w:t>
      </w:r>
      <w:r w:rsidR="00621C0A">
        <w:t>ding</w:t>
      </w:r>
      <w:r w:rsidRPr="00710363">
        <w:t xml:space="preserve"> those services.</w:t>
      </w:r>
      <w:r w:rsidR="0073042B">
        <w:t xml:space="preserve"> </w:t>
      </w:r>
    </w:p>
    <w:p w14:paraId="61727AF9" w14:textId="4C3532D1" w:rsidR="005959A4" w:rsidRPr="00710363" w:rsidRDefault="005959A4" w:rsidP="00D422A0">
      <w:pPr>
        <w:pStyle w:val="ListParagraph"/>
        <w:spacing w:after="0" w:line="360" w:lineRule="auto"/>
        <w:ind w:left="0" w:firstLine="720"/>
      </w:pPr>
      <w:r w:rsidRPr="00710363">
        <w:t xml:space="preserve">On the other hand, </w:t>
      </w:r>
      <w:r w:rsidR="00375153">
        <w:t xml:space="preserve">there are </w:t>
      </w:r>
      <w:r w:rsidRPr="00710363">
        <w:t>potential vertical equity issues that may arise.</w:t>
      </w:r>
      <w:r w:rsidR="00375153">
        <w:t xml:space="preserve"> F</w:t>
      </w:r>
      <w:r w:rsidR="00BC1CDB">
        <w:t xml:space="preserve">or many public services </w:t>
      </w:r>
      <w:r w:rsidRPr="00710363">
        <w:t>user charge</w:t>
      </w:r>
      <w:r w:rsidR="00375153">
        <w:t>s</w:t>
      </w:r>
      <w:r w:rsidRPr="00710363">
        <w:t xml:space="preserve"> would constitute a larger percent</w:t>
      </w:r>
      <w:r>
        <w:t>age</w:t>
      </w:r>
      <w:r w:rsidRPr="00710363">
        <w:t xml:space="preserve"> of income for lower income individuals</w:t>
      </w:r>
      <w:r w:rsidR="00B702CE">
        <w:t>,</w:t>
      </w:r>
      <w:r w:rsidRPr="00710363">
        <w:t xml:space="preserve"> and therefore may be regressive.</w:t>
      </w:r>
      <w:r w:rsidR="0073042B">
        <w:t xml:space="preserve"> </w:t>
      </w:r>
      <w:r w:rsidRPr="00710363">
        <w:t xml:space="preserve">The extent to which this is the case would vary </w:t>
      </w:r>
      <w:r w:rsidR="00B702CE">
        <w:t>across</w:t>
      </w:r>
      <w:r w:rsidRPr="00710363">
        <w:t xml:space="preserve"> public services.</w:t>
      </w:r>
      <w:r w:rsidR="0073042B">
        <w:t xml:space="preserve"> </w:t>
      </w:r>
      <w:r w:rsidR="00BC1CDB">
        <w:t>On the other hand, there may be public services that are used more by higher income households. F</w:t>
      </w:r>
      <w:r w:rsidRPr="00710363">
        <w:t xml:space="preserve">or example, higher income individuals may consume more recreational services such as golf, so public provision </w:t>
      </w:r>
      <w:r w:rsidR="00621C0A">
        <w:t xml:space="preserve">of golf courses </w:t>
      </w:r>
      <w:r w:rsidRPr="00710363">
        <w:t>financed through general taxes subsidizes the consumption of higher income individuals.</w:t>
      </w:r>
      <w:r w:rsidR="0073042B">
        <w:t xml:space="preserve"> </w:t>
      </w:r>
    </w:p>
    <w:p w14:paraId="0769F314" w14:textId="6DE96921" w:rsidR="005959A4" w:rsidRPr="00710363" w:rsidRDefault="00375153" w:rsidP="00495617">
      <w:pPr>
        <w:pStyle w:val="ListParagraph"/>
        <w:spacing w:after="0" w:line="360" w:lineRule="auto"/>
        <w:ind w:left="0" w:firstLine="720"/>
      </w:pPr>
      <w:r>
        <w:t xml:space="preserve">There are charges or fees that do not vary with the use of the public service. For example, </w:t>
      </w:r>
      <w:r w:rsidR="005959A4" w:rsidRPr="00710363">
        <w:t xml:space="preserve">the fee for solid waste collection is </w:t>
      </w:r>
      <w:r w:rsidR="00621C0A">
        <w:t>g</w:t>
      </w:r>
      <w:r w:rsidR="00621C0A" w:rsidRPr="00710363">
        <w:t>enerally</w:t>
      </w:r>
      <w:r w:rsidR="00621C0A">
        <w:t xml:space="preserve"> </w:t>
      </w:r>
      <w:r w:rsidR="005959A4" w:rsidRPr="00710363">
        <w:t>a flat amount, independent of the amount of solid waste generated.</w:t>
      </w:r>
      <w:r w:rsidR="0073042B">
        <w:t xml:space="preserve"> </w:t>
      </w:r>
      <w:r w:rsidR="005959A4" w:rsidRPr="00710363">
        <w:t>Such a fee is</w:t>
      </w:r>
      <w:r w:rsidR="00E025FB">
        <w:t xml:space="preserve"> often</w:t>
      </w:r>
      <w:r w:rsidR="005959A4" w:rsidRPr="00710363">
        <w:t xml:space="preserve"> not</w:t>
      </w:r>
      <w:r w:rsidR="00E025FB">
        <w:t xml:space="preserve"> directly</w:t>
      </w:r>
      <w:r w:rsidR="005959A4" w:rsidRPr="00710363">
        <w:t xml:space="preserve"> associated with the cost of providing the service</w:t>
      </w:r>
      <w:r w:rsidR="00B702CE">
        <w:t xml:space="preserve"> </w:t>
      </w:r>
      <w:r w:rsidR="00B702CE">
        <w:lastRenderedPageBreak/>
        <w:t>to a particular household</w:t>
      </w:r>
      <w:r w:rsidR="005959A4" w:rsidRPr="00710363">
        <w:t>, which depends on front footage and the amount of solid waste that the family generates.</w:t>
      </w:r>
      <w:r w:rsidR="0073042B">
        <w:t xml:space="preserve"> </w:t>
      </w:r>
      <w:r>
        <w:t>In this case, the fee is</w:t>
      </w:r>
      <w:r w:rsidR="00621C0A">
        <w:t xml:space="preserve"> essentially</w:t>
      </w:r>
      <w:r>
        <w:t xml:space="preserve"> equivalent to a flat per household tax. Some cities have adopted a fee structure that depends on the volume of solid waste that a household generates.</w:t>
      </w:r>
      <w:r w:rsidR="005959A4" w:rsidRPr="00710363">
        <w:tab/>
      </w:r>
    </w:p>
    <w:p w14:paraId="1A138964" w14:textId="4421960D" w:rsidR="005959A4" w:rsidRPr="00813BF8" w:rsidRDefault="005959A4" w:rsidP="00835F98">
      <w:pPr>
        <w:pStyle w:val="Heading2"/>
      </w:pPr>
      <w:bookmarkStart w:id="116" w:name="_Toc433373679"/>
      <w:r w:rsidRPr="00813BF8">
        <w:t xml:space="preserve">The </w:t>
      </w:r>
      <w:r w:rsidR="000526B3" w:rsidRPr="00813BF8">
        <w:t>P</w:t>
      </w:r>
      <w:r w:rsidRPr="00813BF8">
        <w:t xml:space="preserve">otential for </w:t>
      </w:r>
      <w:r w:rsidR="000526B3" w:rsidRPr="00813BF8">
        <w:t>E</w:t>
      </w:r>
      <w:r w:rsidRPr="00813BF8">
        <w:t xml:space="preserve">xpanding the </w:t>
      </w:r>
      <w:r w:rsidR="000526B3" w:rsidRPr="00813BF8">
        <w:t>U</w:t>
      </w:r>
      <w:r w:rsidRPr="00813BF8">
        <w:t xml:space="preserve">se of </w:t>
      </w:r>
      <w:r w:rsidR="000526B3" w:rsidRPr="00813BF8">
        <w:t>Current C</w:t>
      </w:r>
      <w:r w:rsidRPr="00813BF8">
        <w:t>harges</w:t>
      </w:r>
      <w:r w:rsidR="000526B3" w:rsidRPr="00813BF8">
        <w:t xml:space="preserve"> in Connecticut</w:t>
      </w:r>
      <w:bookmarkEnd w:id="116"/>
    </w:p>
    <w:p w14:paraId="37ECB01B" w14:textId="1FC62EA3" w:rsidR="00A166EA" w:rsidRDefault="00865DD7" w:rsidP="00D422A0">
      <w:pPr>
        <w:pStyle w:val="ListParagraph"/>
        <w:spacing w:after="0" w:line="360" w:lineRule="auto"/>
        <w:ind w:left="0" w:firstLine="720"/>
      </w:pPr>
      <w:r>
        <w:t xml:space="preserve">As noted above, local government current charges as a share of OSR in Connecticut are relatively low. In this </w:t>
      </w:r>
      <w:r w:rsidR="00621C0A">
        <w:t>sub</w:t>
      </w:r>
      <w:r>
        <w:t xml:space="preserve">section we explore </w:t>
      </w:r>
      <w:r w:rsidR="00BC1CDB">
        <w:t>the possibility of</w:t>
      </w:r>
      <w:r>
        <w:t xml:space="preserve"> expanding current charges for Connecticut towns. </w:t>
      </w:r>
      <w:r w:rsidR="00A166EA">
        <w:t xml:space="preserve">In order to determine the potential for expanding the use of current charges in Connecticut we need to understand why Connecticut ranks so low </w:t>
      </w:r>
      <w:r>
        <w:t>(</w:t>
      </w:r>
      <w:r w:rsidR="00A166EA">
        <w:t xml:space="preserve">Table </w:t>
      </w:r>
      <w:r w:rsidR="00813BF8">
        <w:t>10</w:t>
      </w:r>
      <w:r>
        <w:t>)</w:t>
      </w:r>
      <w:r w:rsidR="00A166EA">
        <w:t xml:space="preserve">. There are several explanations. </w:t>
      </w:r>
    </w:p>
    <w:p w14:paraId="30E84B6B" w14:textId="675B9B6E" w:rsidR="00EC1A82" w:rsidRDefault="00EC1A82" w:rsidP="00D422A0">
      <w:pPr>
        <w:pStyle w:val="ListParagraph"/>
        <w:numPr>
          <w:ilvl w:val="0"/>
          <w:numId w:val="10"/>
        </w:numPr>
        <w:spacing w:after="0" w:line="360" w:lineRule="auto"/>
      </w:pPr>
      <w:r>
        <w:t xml:space="preserve">There are services for which the state has set limits </w:t>
      </w:r>
      <w:r w:rsidR="00865DD7">
        <w:t xml:space="preserve">on the size of the </w:t>
      </w:r>
      <w:r>
        <w:t xml:space="preserve">fees that can be charged, </w:t>
      </w:r>
      <w:r w:rsidR="00865DD7">
        <w:t>for example, for</w:t>
      </w:r>
      <w:r>
        <w:t xml:space="preserve"> the issuance of marriage licenses.</w:t>
      </w:r>
    </w:p>
    <w:p w14:paraId="1297CDE4" w14:textId="3795FA40" w:rsidR="00EC1A82" w:rsidRDefault="00EC1A82" w:rsidP="00D422A0">
      <w:pPr>
        <w:pStyle w:val="ListParagraph"/>
        <w:numPr>
          <w:ilvl w:val="0"/>
          <w:numId w:val="10"/>
        </w:numPr>
        <w:spacing w:after="0" w:line="360" w:lineRule="auto"/>
      </w:pPr>
      <w:r>
        <w:t>There are services that local government</w:t>
      </w:r>
      <w:r w:rsidR="00865DD7">
        <w:t>s</w:t>
      </w:r>
      <w:r>
        <w:t xml:space="preserve"> perform in other states that Connecticut towns do not provide. In Connecticut, hospitals service and public t</w:t>
      </w:r>
      <w:r w:rsidR="00865DD7">
        <w:t>ransit are provide</w:t>
      </w:r>
      <w:r w:rsidR="0056591D">
        <w:t>d</w:t>
      </w:r>
      <w:r w:rsidR="00865DD7">
        <w:t xml:space="preserve"> by the state</w:t>
      </w:r>
      <w:r>
        <w:t xml:space="preserve">, where they are typically provided by local governments in other states. If we exclude </w:t>
      </w:r>
      <w:r w:rsidR="00865DD7">
        <w:t xml:space="preserve">hospital current charges in calculating </w:t>
      </w:r>
      <w:r>
        <w:t xml:space="preserve">current charges as a share of OSR, </w:t>
      </w:r>
      <w:r w:rsidR="00865DD7">
        <w:t>the U.S. average goes from</w:t>
      </w:r>
      <w:r>
        <w:t xml:space="preserve"> </w:t>
      </w:r>
      <w:r w:rsidR="00865DD7">
        <w:t>22.9</w:t>
      </w:r>
      <w:r>
        <w:t xml:space="preserve"> percent to </w:t>
      </w:r>
      <w:r w:rsidR="00865DD7">
        <w:t>17.8</w:t>
      </w:r>
      <w:r>
        <w:t xml:space="preserve"> percent</w:t>
      </w:r>
      <w:r w:rsidR="00865DD7">
        <w:t>.</w:t>
      </w:r>
    </w:p>
    <w:p w14:paraId="4C7EEBA1" w14:textId="10F7DF63" w:rsidR="000E3FE2" w:rsidRPr="00710363" w:rsidRDefault="00EC1A82" w:rsidP="00D422A0">
      <w:pPr>
        <w:pStyle w:val="ListParagraph"/>
        <w:numPr>
          <w:ilvl w:val="0"/>
          <w:numId w:val="10"/>
        </w:numPr>
        <w:spacing w:after="0" w:line="360" w:lineRule="auto"/>
      </w:pPr>
      <w:r>
        <w:t>There appears to be a reticence</w:t>
      </w:r>
      <w:r w:rsidR="00865DD7">
        <w:t xml:space="preserve"> among towns in Connecticut</w:t>
      </w:r>
      <w:r>
        <w:t xml:space="preserve"> to use charges. </w:t>
      </w:r>
      <w:r w:rsidR="00865DD7">
        <w:t>For example, in our i</w:t>
      </w:r>
      <w:r>
        <w:t xml:space="preserve">nterviews with local government officials </w:t>
      </w:r>
      <w:r w:rsidR="00865DD7">
        <w:t xml:space="preserve">it was </w:t>
      </w:r>
      <w:r>
        <w:t xml:space="preserve">noted that most waste and recycling is financed through the property tax rather than through charges. </w:t>
      </w:r>
      <w:r w:rsidR="0066014A">
        <w:t>There appears to be two reasons for that.</w:t>
      </w:r>
      <w:r w:rsidR="0073042B">
        <w:t xml:space="preserve"> </w:t>
      </w:r>
      <w:r w:rsidR="00236942">
        <w:t>First, it was</w:t>
      </w:r>
      <w:r w:rsidR="0066014A">
        <w:t xml:space="preserve"> suggest</w:t>
      </w:r>
      <w:r w:rsidR="00236942">
        <w:t>ed</w:t>
      </w:r>
      <w:r w:rsidR="0066014A">
        <w:t xml:space="preserve"> that citizen</w:t>
      </w:r>
      <w:r w:rsidR="00BC1CDB">
        <w:t>s</w:t>
      </w:r>
      <w:r w:rsidR="0066014A">
        <w:t xml:space="preserve"> would </w:t>
      </w:r>
      <w:r w:rsidR="00865DD7">
        <w:t>view</w:t>
      </w:r>
      <w:r w:rsidR="0066014A">
        <w:t xml:space="preserve"> the implementation of a charge for waste collection not as a way </w:t>
      </w:r>
      <w:r w:rsidR="00236942">
        <w:t>to</w:t>
      </w:r>
      <w:r w:rsidR="0066014A">
        <w:t xml:space="preserve"> reduc</w:t>
      </w:r>
      <w:r w:rsidR="00236942">
        <w:t>e</w:t>
      </w:r>
      <w:r w:rsidR="0066014A">
        <w:t xml:space="preserve"> property taxes but as an addition payment to the government.</w:t>
      </w:r>
      <w:r w:rsidR="0073042B">
        <w:t xml:space="preserve"> </w:t>
      </w:r>
      <w:r w:rsidR="00865DD7">
        <w:t xml:space="preserve">And thus </w:t>
      </w:r>
      <w:r w:rsidR="00236942">
        <w:t xml:space="preserve">it was thought that </w:t>
      </w:r>
      <w:r w:rsidR="00C14CF8">
        <w:t xml:space="preserve">citizens </w:t>
      </w:r>
      <w:r w:rsidR="00236942">
        <w:t xml:space="preserve">would </w:t>
      </w:r>
      <w:r w:rsidR="00865DD7">
        <w:t xml:space="preserve">oppose </w:t>
      </w:r>
      <w:r w:rsidR="00236942">
        <w:t xml:space="preserve">such a </w:t>
      </w:r>
      <w:r w:rsidR="00865DD7">
        <w:t xml:space="preserve">fee. </w:t>
      </w:r>
      <w:r w:rsidR="0066014A">
        <w:t xml:space="preserve">Second, </w:t>
      </w:r>
      <w:r w:rsidR="00C14CF8">
        <w:t>officials avoid imposing fees and charges over the</w:t>
      </w:r>
      <w:r w:rsidR="0066014A">
        <w:t xml:space="preserve"> concern that</w:t>
      </w:r>
      <w:r w:rsidR="00865DD7">
        <w:t xml:space="preserve"> </w:t>
      </w:r>
      <w:r w:rsidR="0066014A">
        <w:t>charges</w:t>
      </w:r>
      <w:r w:rsidR="00C14CF8">
        <w:t xml:space="preserve"> and fees</w:t>
      </w:r>
      <w:r w:rsidR="0066014A">
        <w:t xml:space="preserve"> impose a </w:t>
      </w:r>
      <w:r w:rsidR="00621C0A">
        <w:t xml:space="preserve">substantial </w:t>
      </w:r>
      <w:r w:rsidR="0066014A">
        <w:t>burden on low income households.</w:t>
      </w:r>
      <w:r w:rsidR="00621C0A">
        <w:t xml:space="preserve"> These reasons are consistent with Duff’s (2004) discussion of the </w:t>
      </w:r>
      <w:r w:rsidR="000E3FE2" w:rsidRPr="00710363">
        <w:t>political feasibility of user charges</w:t>
      </w:r>
      <w:r w:rsidR="000E3FE2">
        <w:t xml:space="preserve"> </w:t>
      </w:r>
    </w:p>
    <w:p w14:paraId="2BA48E1B" w14:textId="20759C2F" w:rsidR="0066014A" w:rsidRDefault="0066014A" w:rsidP="00D422A0">
      <w:pPr>
        <w:pStyle w:val="ListParagraph"/>
        <w:numPr>
          <w:ilvl w:val="0"/>
          <w:numId w:val="10"/>
        </w:numPr>
        <w:spacing w:after="0" w:line="360" w:lineRule="auto"/>
      </w:pPr>
      <w:r>
        <w:t xml:space="preserve">It is possible that since Connecticut has no large city, local governments have less opportunity to collect charges. However, there are other states that do not have a large city and </w:t>
      </w:r>
      <w:r w:rsidR="00236942">
        <w:t>yet</w:t>
      </w:r>
      <w:r>
        <w:t xml:space="preserve"> collect relatively more in current charges than Connecticut.</w:t>
      </w:r>
    </w:p>
    <w:p w14:paraId="071B0B19" w14:textId="104186F9" w:rsidR="00154F18" w:rsidRDefault="0066014A" w:rsidP="00D422A0">
      <w:pPr>
        <w:spacing w:after="0" w:line="360" w:lineRule="auto"/>
        <w:ind w:firstLine="720"/>
      </w:pPr>
      <w:r>
        <w:lastRenderedPageBreak/>
        <w:t>To estimate the potential for increas</w:t>
      </w:r>
      <w:r w:rsidR="00C14CF8">
        <w:t>ing current charge revenue, we selected</w:t>
      </w:r>
      <w:r>
        <w:t xml:space="preserve"> </w:t>
      </w:r>
      <w:r w:rsidR="001E626E">
        <w:t>three</w:t>
      </w:r>
      <w:r>
        <w:t xml:space="preserve"> states that do not have a large city and for which current charges as a share of OSR is close to the </w:t>
      </w:r>
      <w:r w:rsidR="00C14CF8">
        <w:t>average</w:t>
      </w:r>
      <w:r>
        <w:t xml:space="preserve"> for the U.S. These states are</w:t>
      </w:r>
      <w:r w:rsidR="001E626E">
        <w:t xml:space="preserve"> Delaware, South Dakota, and North Dakota</w:t>
      </w:r>
      <w:r w:rsidR="00C14CF8">
        <w:t>. We also used the U.S. average</w:t>
      </w:r>
      <w:r w:rsidR="001E626E">
        <w:t>.</w:t>
      </w:r>
      <w:r w:rsidR="0073042B">
        <w:t xml:space="preserve"> </w:t>
      </w:r>
      <w:r w:rsidR="000E3FE2">
        <w:t xml:space="preserve">If Connecticut increased its </w:t>
      </w:r>
      <w:r w:rsidR="00E61817">
        <w:t xml:space="preserve">revenue from </w:t>
      </w:r>
      <w:r w:rsidR="000E3FE2">
        <w:t>current charge</w:t>
      </w:r>
      <w:r w:rsidR="00E61817">
        <w:t>s</w:t>
      </w:r>
      <w:r w:rsidR="000E3FE2">
        <w:t xml:space="preserve"> sufficiently to cover the same percentage of expe</w:t>
      </w:r>
      <w:r w:rsidR="001E626E">
        <w:t xml:space="preserve">nditures </w:t>
      </w:r>
      <w:r w:rsidR="00E61817">
        <w:t xml:space="preserve">in each expenditure category </w:t>
      </w:r>
      <w:r w:rsidR="001E626E">
        <w:t xml:space="preserve">as these </w:t>
      </w:r>
      <w:r w:rsidR="00621C0A">
        <w:t xml:space="preserve">3 </w:t>
      </w:r>
      <w:r w:rsidR="001E626E">
        <w:t>other states</w:t>
      </w:r>
      <w:r w:rsidR="00236942">
        <w:t>,</w:t>
      </w:r>
      <w:r w:rsidR="001E626E">
        <w:t xml:space="preserve"> </w:t>
      </w:r>
      <w:r w:rsidR="000E3FE2">
        <w:t xml:space="preserve">Connecticut could increase its </w:t>
      </w:r>
      <w:r w:rsidR="00E61817">
        <w:t xml:space="preserve">revenue from </w:t>
      </w:r>
      <w:r w:rsidR="000E3FE2">
        <w:t xml:space="preserve">current </w:t>
      </w:r>
      <w:r w:rsidR="00E61817">
        <w:t>charges</w:t>
      </w:r>
      <w:r w:rsidR="000E3FE2">
        <w:t xml:space="preserve"> by between </w:t>
      </w:r>
      <w:r w:rsidR="001E626E">
        <w:t>$349</w:t>
      </w:r>
      <w:r w:rsidR="00C14CF8">
        <w:t xml:space="preserve"> million</w:t>
      </w:r>
      <w:r w:rsidR="000E3FE2">
        <w:t xml:space="preserve"> and $</w:t>
      </w:r>
      <w:r w:rsidR="001E626E">
        <w:t>867</w:t>
      </w:r>
      <w:r w:rsidR="00C14CF8">
        <w:t xml:space="preserve"> million,</w:t>
      </w:r>
      <w:r w:rsidR="000E3FE2">
        <w:t xml:space="preserve"> or </w:t>
      </w:r>
      <w:r w:rsidR="001E626E">
        <w:t>between 48.1</w:t>
      </w:r>
      <w:r w:rsidR="000E3FE2">
        <w:t xml:space="preserve"> percent </w:t>
      </w:r>
      <w:r w:rsidR="00495617">
        <w:t>and</w:t>
      </w:r>
      <w:r w:rsidR="000E3FE2">
        <w:t xml:space="preserve"> </w:t>
      </w:r>
      <w:r w:rsidR="001E626E">
        <w:t>96.0</w:t>
      </w:r>
      <w:r w:rsidR="000E3FE2">
        <w:t xml:space="preserve"> percent.</w:t>
      </w:r>
      <w:r w:rsidR="001E626E">
        <w:t xml:space="preserve"> </w:t>
      </w:r>
      <w:r w:rsidR="00C14CF8">
        <w:t>If used to reduce property taxes, towns in Connecticut could reduce property taxes by between 3.8 percent and 9.3 percent.</w:t>
      </w:r>
    </w:p>
    <w:p w14:paraId="27252558" w14:textId="13DA51D2" w:rsidR="00236942" w:rsidRPr="00154F18" w:rsidRDefault="00236942" w:rsidP="00835F98">
      <w:pPr>
        <w:pStyle w:val="Heading2"/>
      </w:pPr>
      <w:bookmarkStart w:id="117" w:name="_Toc433373680"/>
      <w:r w:rsidRPr="00154F18">
        <w:t>Impact Fees</w:t>
      </w:r>
      <w:bookmarkEnd w:id="117"/>
    </w:p>
    <w:p w14:paraId="57166BBF" w14:textId="2E731ACA" w:rsidR="00236942" w:rsidRDefault="004470B2" w:rsidP="00D422A0">
      <w:pPr>
        <w:spacing w:after="0" w:line="360" w:lineRule="auto"/>
        <w:ind w:firstLine="720"/>
      </w:pPr>
      <w:r>
        <w:t>L</w:t>
      </w:r>
      <w:r w:rsidR="00236942">
        <w:t xml:space="preserve">ocal governments in the U.S. </w:t>
      </w:r>
      <w:r w:rsidR="0056591D">
        <w:t>have</w:t>
      </w:r>
      <w:r w:rsidR="00236942">
        <w:t xml:space="preserve"> increas</w:t>
      </w:r>
      <w:r w:rsidR="0056591D">
        <w:t>ed their</w:t>
      </w:r>
      <w:r w:rsidR="00236942">
        <w:t xml:space="preserve"> us</w:t>
      </w:r>
      <w:r w:rsidR="0056591D">
        <w:t>e of</w:t>
      </w:r>
      <w:r w:rsidR="00236942">
        <w:t xml:space="preserve"> economic development</w:t>
      </w:r>
      <w:r w:rsidR="00236942" w:rsidRPr="004E442F">
        <w:t xml:space="preserve"> impact fee</w:t>
      </w:r>
      <w:r w:rsidR="00E025FB">
        <w:t>s</w:t>
      </w:r>
      <w:r w:rsidR="00236942">
        <w:t>, which are</w:t>
      </w:r>
      <w:r w:rsidR="00236942" w:rsidRPr="004E442F">
        <w:t xml:space="preserve"> one-time charge</w:t>
      </w:r>
      <w:r w:rsidR="00236942">
        <w:t>s</w:t>
      </w:r>
      <w:r w:rsidR="00236942" w:rsidRPr="004E442F">
        <w:t xml:space="preserve"> on new development </w:t>
      </w:r>
      <w:r w:rsidR="00E61817">
        <w:t>used</w:t>
      </w:r>
      <w:r w:rsidR="00236942">
        <w:t xml:space="preserve"> </w:t>
      </w:r>
      <w:r w:rsidR="00236942" w:rsidRPr="004E442F">
        <w:t>to pay for the construction or expansion of off-site capital improvements that are necessitated by and benefit the new project.</w:t>
      </w:r>
      <w:r w:rsidR="00236942">
        <w:rPr>
          <w:rStyle w:val="FootnoteReference"/>
        </w:rPr>
        <w:footnoteReference w:id="21"/>
      </w:r>
      <w:r w:rsidR="00236942">
        <w:t xml:space="preserve"> </w:t>
      </w:r>
      <w:r w:rsidR="00E61817">
        <w:t>(As</w:t>
      </w:r>
      <w:r>
        <w:t xml:space="preserve"> noted </w:t>
      </w:r>
      <w:r w:rsidR="00E61817">
        <w:t>in footnote 18</w:t>
      </w:r>
      <w:r w:rsidR="00621C0A">
        <w:t>,</w:t>
      </w:r>
      <w:r>
        <w:t xml:space="preserve"> impact fee revenue is not included in current charge revenue</w:t>
      </w:r>
      <w:r w:rsidR="0056591D">
        <w:t xml:space="preserve"> as reported by the Census Bureau</w:t>
      </w:r>
      <w:r>
        <w:t>.</w:t>
      </w:r>
      <w:r w:rsidR="00E61817">
        <w:t>)</w:t>
      </w:r>
      <w:r>
        <w:t xml:space="preserve"> </w:t>
      </w:r>
      <w:r w:rsidR="00236942">
        <w:t xml:space="preserve">Connecticut towns are not authorized to impose impact fees. </w:t>
      </w:r>
    </w:p>
    <w:p w14:paraId="123062DE" w14:textId="3CE3C62A" w:rsidR="00236942" w:rsidRDefault="00236942" w:rsidP="00D422A0">
      <w:pPr>
        <w:spacing w:after="0" w:line="360" w:lineRule="auto"/>
      </w:pPr>
      <w:r>
        <w:tab/>
        <w:t>F</w:t>
      </w:r>
      <w:r w:rsidRPr="004E442F">
        <w:t>inanc</w:t>
      </w:r>
      <w:r>
        <w:t>ing</w:t>
      </w:r>
      <w:r w:rsidRPr="004E442F">
        <w:t xml:space="preserve"> </w:t>
      </w:r>
      <w:r>
        <w:t xml:space="preserve">the </w:t>
      </w:r>
      <w:r w:rsidRPr="004E442F">
        <w:t>public infrastructure</w:t>
      </w:r>
      <w:r>
        <w:t xml:space="preserve"> required as a result of</w:t>
      </w:r>
      <w:r w:rsidRPr="004E442F">
        <w:t xml:space="preserve"> new development </w:t>
      </w:r>
      <w:r>
        <w:t>by</w:t>
      </w:r>
      <w:r w:rsidRPr="004E442F">
        <w:t xml:space="preserve"> impact fees</w:t>
      </w:r>
      <w:r>
        <w:t>, if they are appropriately structured,</w:t>
      </w:r>
      <w:r w:rsidRPr="004E442F">
        <w:t xml:space="preserve"> is expected to be economically efficient, particularly in comparison to using the property tax. The ideal is for the value of the impact fee to be equal to the cost of the </w:t>
      </w:r>
      <w:r w:rsidR="00BC1CDB">
        <w:t xml:space="preserve">required public </w:t>
      </w:r>
      <w:r w:rsidRPr="004E442F">
        <w:t xml:space="preserve">infrastructure and </w:t>
      </w:r>
      <w:r>
        <w:t>thus provide the</w:t>
      </w:r>
      <w:r w:rsidRPr="004E442F">
        <w:t xml:space="preserve"> appropriate incentives to developer</w:t>
      </w:r>
      <w:r>
        <w:t>s</w:t>
      </w:r>
      <w:r w:rsidRPr="004E442F">
        <w:t xml:space="preserve">. However, in practice impact fees are rarely structured so that economic efficiency is achieved (Snyder and Stegman 1986). </w:t>
      </w:r>
      <w:r>
        <w:t xml:space="preserve">It is commonly argued that impact fees, like user charges, are fair since the person responsible for generating the expenditure pays the cost. However, if existing public infrastructure built for previous development is being financed from property taxes, it </w:t>
      </w:r>
      <w:r w:rsidR="00621C0A">
        <w:t>may seem</w:t>
      </w:r>
      <w:r>
        <w:t xml:space="preserve"> </w:t>
      </w:r>
      <w:r w:rsidR="00621C0A">
        <w:t xml:space="preserve">as </w:t>
      </w:r>
      <w:r>
        <w:t>unfair to require new development to pay impact fees a</w:t>
      </w:r>
      <w:r w:rsidR="00621C0A">
        <w:t>s well as</w:t>
      </w:r>
      <w:r>
        <w:t xml:space="preserve"> the property tax required to pay </w:t>
      </w:r>
      <w:r w:rsidR="00E61817">
        <w:t>off</w:t>
      </w:r>
      <w:r>
        <w:t xml:space="preserve"> the </w:t>
      </w:r>
      <w:r w:rsidR="00E61817">
        <w:t xml:space="preserve">cost of </w:t>
      </w:r>
      <w:r>
        <w:t xml:space="preserve">existing infrastructure. </w:t>
      </w:r>
    </w:p>
    <w:p w14:paraId="654DA860" w14:textId="1E836B2F" w:rsidR="00236942" w:rsidRPr="004E442F" w:rsidRDefault="00236942" w:rsidP="00D422A0">
      <w:pPr>
        <w:spacing w:after="0" w:line="360" w:lineRule="auto"/>
      </w:pPr>
      <w:r>
        <w:tab/>
        <w:t xml:space="preserve">There </w:t>
      </w:r>
      <w:r w:rsidR="00E025FB">
        <w:t>are</w:t>
      </w:r>
      <w:r>
        <w:t xml:space="preserve"> a substantial number of studies of the effect of impact fees on housing prices. In general these studies find that impact fees are paid by buyers in the form of higher housing prices.</w:t>
      </w:r>
      <w:r>
        <w:rPr>
          <w:rStyle w:val="FootnoteReference"/>
        </w:rPr>
        <w:footnoteReference w:id="22"/>
      </w:r>
      <w:r>
        <w:t xml:space="preserve"> A concern with impact fees is whether they will reduce economic development. There is not a lot of research on this topic, and the research that has been conducted is not of one mind on </w:t>
      </w:r>
      <w:r>
        <w:lastRenderedPageBreak/>
        <w:t xml:space="preserve">this subject. Earlier research </w:t>
      </w:r>
      <w:r w:rsidRPr="004E442F">
        <w:t>associate</w:t>
      </w:r>
      <w:r>
        <w:t>s</w:t>
      </w:r>
      <w:r w:rsidRPr="004E442F">
        <w:t xml:space="preserve"> impact fees with impr</w:t>
      </w:r>
      <w:r>
        <w:t xml:space="preserve">ovement in economic development, i.e., </w:t>
      </w:r>
      <w:r w:rsidR="00621C0A">
        <w:t xml:space="preserve">the studies find </w:t>
      </w:r>
      <w:r>
        <w:t>a positive correlation between impact fees and job growth</w:t>
      </w:r>
      <w:r w:rsidRPr="004E442F">
        <w:t xml:space="preserve">. </w:t>
      </w:r>
      <w:r>
        <w:t>The explanation</w:t>
      </w:r>
      <w:r w:rsidR="0056591D">
        <w:t xml:space="preserve"> offered</w:t>
      </w:r>
      <w:r>
        <w:t xml:space="preserve"> for such results is that impact fees reduce other barriers to development that communities establish to prevent unwanted development </w:t>
      </w:r>
      <w:r w:rsidRPr="004E442F">
        <w:t>(Nelson and Moody 2003)</w:t>
      </w:r>
      <w:r>
        <w:t>. More recent research</w:t>
      </w:r>
      <w:r w:rsidR="0056591D">
        <w:t xml:space="preserve"> however</w:t>
      </w:r>
      <w:r>
        <w:t xml:space="preserve">, for example, Burge and Ihlanfeldt (2009), find that an increase in impact fees results in a decrease in employment. </w:t>
      </w:r>
    </w:p>
    <w:p w14:paraId="6F4160E2" w14:textId="77777777" w:rsidR="00236942" w:rsidRPr="004E442F" w:rsidRDefault="00236942" w:rsidP="00D422A0">
      <w:pPr>
        <w:spacing w:after="0" w:line="360" w:lineRule="auto"/>
      </w:pPr>
      <w:r w:rsidRPr="004E442F">
        <w:tab/>
        <w:t xml:space="preserve">Designing an impact fee system is difficult and potentially costly, but administering the system is not particularly costly. The collection rate is high since the city can deny the issuance of a building permit until the impact fees are paid. </w:t>
      </w:r>
    </w:p>
    <w:p w14:paraId="3A2EC187" w14:textId="4BD4D51C" w:rsidR="00236942" w:rsidRDefault="00236942" w:rsidP="00D422A0">
      <w:pPr>
        <w:spacing w:after="0" w:line="360" w:lineRule="auto"/>
        <w:ind w:firstLine="720"/>
      </w:pPr>
      <w:r>
        <w:t>The Bureau of the Census does not separately report impact fee revenue, but includes it as part of Special Assessments. We were unable to find impact fee revenue by state other than for Florida. Assuming that impact fee revenue is associated with increase</w:t>
      </w:r>
      <w:r w:rsidR="00621C0A">
        <w:t>s in housing</w:t>
      </w:r>
      <w:r>
        <w:t>, we took annual impact fee revenue</w:t>
      </w:r>
      <w:r w:rsidR="0056591D">
        <w:t xml:space="preserve"> for Florida local governments</w:t>
      </w:r>
      <w:r>
        <w:t xml:space="preserve"> for the period 2010 – 2013 and divided it by the </w:t>
      </w:r>
      <w:r w:rsidR="00B84056">
        <w:t>number of housing permits issued.</w:t>
      </w:r>
      <w:r>
        <w:t xml:space="preserve"> The resulting </w:t>
      </w:r>
      <w:r w:rsidR="00E61817">
        <w:t xml:space="preserve">annual </w:t>
      </w:r>
      <w:r>
        <w:t>values ranged from $</w:t>
      </w:r>
      <w:r w:rsidR="00B84056">
        <w:t>7,159</w:t>
      </w:r>
      <w:r>
        <w:t xml:space="preserve"> to $</w:t>
      </w:r>
      <w:r w:rsidR="00B84056">
        <w:t>11,503</w:t>
      </w:r>
      <w:r>
        <w:t>, with an average of $</w:t>
      </w:r>
      <w:r w:rsidR="004470B2">
        <w:t xml:space="preserve">8,209. Applying these values to </w:t>
      </w:r>
      <w:r>
        <w:t xml:space="preserve">Connecticut’s </w:t>
      </w:r>
      <w:r w:rsidR="004470B2">
        <w:t xml:space="preserve">housing permits </w:t>
      </w:r>
      <w:r>
        <w:t>yields annual revenues estimates that range between $</w:t>
      </w:r>
      <w:r w:rsidR="004470B2">
        <w:t>33.4</w:t>
      </w:r>
      <w:r>
        <w:t xml:space="preserve"> million and $4</w:t>
      </w:r>
      <w:r w:rsidR="004470B2">
        <w:t>5.2</w:t>
      </w:r>
      <w:r w:rsidR="009A1E79">
        <w:t xml:space="preserve"> million. </w:t>
      </w:r>
      <w:r w:rsidR="004470B2">
        <w:t>We obtain similar values when we used</w:t>
      </w:r>
      <w:r w:rsidR="00B84056">
        <w:t xml:space="preserve"> </w:t>
      </w:r>
      <w:r w:rsidR="004470B2">
        <w:t>the dollar value of housing permits rather than the number of housing permits.</w:t>
      </w:r>
      <w:r w:rsidR="00B84056">
        <w:t xml:space="preserve">  </w:t>
      </w:r>
    </w:p>
    <w:p w14:paraId="65B53599" w14:textId="5083FC38" w:rsidR="00C14CF8" w:rsidRDefault="00236942" w:rsidP="00D422A0">
      <w:pPr>
        <w:spacing w:after="0" w:line="360" w:lineRule="auto"/>
        <w:ind w:firstLine="720"/>
      </w:pPr>
      <w:r>
        <w:t xml:space="preserve">The revenue that might be expected from impact fees will depend on the size of the fees charged. Duncan Associates’ most recent survey of impact fees (available at ImpactFees.com) reports that for a standard $200,000 home, Florida’s average impact fee is $9,014, while the national average, excluding California, is $8,510. So, Florida’s </w:t>
      </w:r>
      <w:r w:rsidR="00E025FB">
        <w:t xml:space="preserve">current </w:t>
      </w:r>
      <w:r>
        <w:t>impact fe</w:t>
      </w:r>
      <w:r w:rsidR="00E025FB">
        <w:t xml:space="preserve">es are similar to other </w:t>
      </w:r>
      <w:r>
        <w:t>states</w:t>
      </w:r>
      <w:r w:rsidR="00E025FB">
        <w:t>, and thus the estimated impact fee revenue for Connecticut is based on essentially the average impact fee</w:t>
      </w:r>
      <w:r>
        <w:t xml:space="preserve">. </w:t>
      </w:r>
    </w:p>
    <w:p w14:paraId="0473127F" w14:textId="2FD558DE" w:rsidR="00C14CF8" w:rsidRPr="00154F18" w:rsidRDefault="00C14CF8" w:rsidP="00835F98">
      <w:pPr>
        <w:pStyle w:val="Heading2"/>
      </w:pPr>
      <w:bookmarkStart w:id="118" w:name="_Toc433373681"/>
      <w:r w:rsidRPr="00154F18">
        <w:t>Summary Discussion of Charges and Fees</w:t>
      </w:r>
      <w:bookmarkEnd w:id="118"/>
    </w:p>
    <w:p w14:paraId="2A07004A" w14:textId="057AB3EF" w:rsidR="003F041B" w:rsidRDefault="00930898" w:rsidP="00D422A0">
      <w:pPr>
        <w:spacing w:after="0" w:line="360" w:lineRule="auto"/>
        <w:ind w:firstLine="720"/>
      </w:pPr>
      <w:r>
        <w:t xml:space="preserve">Towns in Connecticut do not appear to rely on charges and fees to the extent that local government in other states do. While there are various reasons why charge and fee revenue is relatively low in Connecticut, there does appear to be room to increase fee and charge revenue. State legislation regarding limits the state imposes on fees should be reviewed to determine whether they are </w:t>
      </w:r>
      <w:r w:rsidR="004470B2">
        <w:t xml:space="preserve">still </w:t>
      </w:r>
      <w:r>
        <w:t xml:space="preserve">appropriate. For services such </w:t>
      </w:r>
      <w:r w:rsidR="00621C0A">
        <w:t xml:space="preserve">as </w:t>
      </w:r>
      <w:r>
        <w:t xml:space="preserve">waste collection, local governments could be encouraged to adopt a fee structure that is based on the volume of waste a resident puts in the </w:t>
      </w:r>
      <w:r>
        <w:lastRenderedPageBreak/>
        <w:t xml:space="preserve">system and that </w:t>
      </w:r>
      <w:r w:rsidR="001C7527">
        <w:t>is not as regressive as a flat per household charge.</w:t>
      </w:r>
      <w:r w:rsidR="004470B2" w:rsidRPr="004470B2">
        <w:t xml:space="preserve"> </w:t>
      </w:r>
      <w:r w:rsidR="00621C0A">
        <w:t>C</w:t>
      </w:r>
      <w:r w:rsidR="004470B2">
        <w:t>onsider</w:t>
      </w:r>
      <w:r w:rsidR="00621C0A">
        <w:t xml:space="preserve">ation might be given to </w:t>
      </w:r>
      <w:r w:rsidR="004470B2">
        <w:t>authoriz</w:t>
      </w:r>
      <w:r w:rsidR="00621C0A">
        <w:t>ing</w:t>
      </w:r>
      <w:r w:rsidR="004470B2">
        <w:t xml:space="preserve"> the use of impact fees. In 2013, the Connecticut House of Representatives considered HB 5135, a bill to authorize the use of impact fees; the Connecticut Conference of Municipalities testified in favor of the legislation.</w:t>
      </w:r>
    </w:p>
    <w:p w14:paraId="4F5597BD" w14:textId="77777777" w:rsidR="003F041B" w:rsidRDefault="003F041B">
      <w:pPr>
        <w:spacing w:after="0" w:line="240" w:lineRule="auto"/>
      </w:pPr>
      <w:r>
        <w:br w:type="page"/>
      </w:r>
    </w:p>
    <w:p w14:paraId="3D8F2EBD" w14:textId="77777777" w:rsidR="00236942" w:rsidRDefault="00236942" w:rsidP="00181ACD">
      <w:pPr>
        <w:pStyle w:val="Heading1"/>
      </w:pPr>
      <w:bookmarkStart w:id="119" w:name="_Toc433373682"/>
      <w:r w:rsidRPr="004E442F">
        <w:lastRenderedPageBreak/>
        <w:t>References</w:t>
      </w:r>
      <w:bookmarkEnd w:id="119"/>
      <w:r w:rsidRPr="004E442F">
        <w:t xml:space="preserve"> </w:t>
      </w:r>
    </w:p>
    <w:p w14:paraId="3548AFF8" w14:textId="77777777" w:rsidR="00302B8C" w:rsidRDefault="00302B8C" w:rsidP="00181ACD">
      <w:pPr>
        <w:spacing w:after="0"/>
        <w:rPr>
          <w:b/>
        </w:rPr>
      </w:pPr>
    </w:p>
    <w:p w14:paraId="374769F3" w14:textId="5C0773BD" w:rsidR="00302B8C" w:rsidRPr="00302B8C" w:rsidRDefault="00302B8C" w:rsidP="00181ACD">
      <w:pPr>
        <w:spacing w:after="0"/>
        <w:ind w:left="810" w:hanging="810"/>
      </w:pPr>
      <w:r>
        <w:t xml:space="preserve">Advisory Commission on Intergovernmental Relations (ACIR). 1988. </w:t>
      </w:r>
      <w:r w:rsidRPr="00302B8C">
        <w:rPr>
          <w:i/>
        </w:rPr>
        <w:t>Local Revenue Diversification: Local Sales Taxes</w:t>
      </w:r>
      <w:r>
        <w:t xml:space="preserve">. SR-12. Available at:  </w:t>
      </w:r>
      <w:hyperlink r:id="rId24" w:history="1">
        <w:r w:rsidRPr="00DC2FFF">
          <w:rPr>
            <w:rStyle w:val="Hyperlink"/>
          </w:rPr>
          <w:t>http://www.library.unt.edu/gpo/acir/Reports/staff/SR-12.pdf</w:t>
        </w:r>
      </w:hyperlink>
      <w:r>
        <w:t>.</w:t>
      </w:r>
    </w:p>
    <w:p w14:paraId="0CEE73BE" w14:textId="77777777" w:rsidR="00B17705" w:rsidRDefault="00B17705" w:rsidP="00181ACD">
      <w:pPr>
        <w:spacing w:after="0"/>
      </w:pPr>
      <w:bookmarkStart w:id="120" w:name="4"/>
      <w:bookmarkEnd w:id="120"/>
    </w:p>
    <w:p w14:paraId="3F69A6C0" w14:textId="77777777" w:rsidR="00B17705" w:rsidRDefault="00B17705" w:rsidP="00181ACD">
      <w:pPr>
        <w:spacing w:after="0"/>
      </w:pPr>
      <w:r w:rsidRPr="007354C8">
        <w:t xml:space="preserve">Been, Vicki. 2005. </w:t>
      </w:r>
      <w:r>
        <w:t>“</w:t>
      </w:r>
      <w:r w:rsidRPr="007354C8">
        <w:t>Impact Fees and Housing Affordability</w:t>
      </w:r>
      <w:r>
        <w:t>.”</w:t>
      </w:r>
      <w:r w:rsidRPr="007354C8">
        <w:t xml:space="preserve"> </w:t>
      </w:r>
      <w:r w:rsidRPr="007354C8">
        <w:rPr>
          <w:i/>
        </w:rPr>
        <w:t>Cityscape</w:t>
      </w:r>
      <w:r w:rsidRPr="007354C8">
        <w:t xml:space="preserve"> 8(1): 139-185.</w:t>
      </w:r>
    </w:p>
    <w:p w14:paraId="32DB04F5" w14:textId="77777777" w:rsidR="00B17705" w:rsidRDefault="00B17705" w:rsidP="00181ACD">
      <w:pPr>
        <w:widowControl w:val="0"/>
        <w:autoSpaceDE w:val="0"/>
        <w:autoSpaceDN w:val="0"/>
        <w:adjustRightInd w:val="0"/>
        <w:spacing w:after="0"/>
        <w:ind w:left="720" w:hanging="720"/>
      </w:pPr>
    </w:p>
    <w:p w14:paraId="355BF444" w14:textId="2383751B" w:rsidR="005C5D4E" w:rsidRDefault="005C5D4E" w:rsidP="00181ACD">
      <w:pPr>
        <w:widowControl w:val="0"/>
        <w:autoSpaceDE w:val="0"/>
        <w:autoSpaceDN w:val="0"/>
        <w:adjustRightInd w:val="0"/>
        <w:spacing w:after="0"/>
        <w:ind w:left="720" w:hanging="720"/>
      </w:pPr>
      <w:r w:rsidRPr="00710363">
        <w:t>Bierhanzl, Edward J. and Paul B. Downing</w:t>
      </w:r>
      <w:r w:rsidR="004768A7">
        <w:t>.</w:t>
      </w:r>
      <w:r w:rsidRPr="00710363">
        <w:t xml:space="preserve">1998. “User Charges and Bureaucratic Inefficiency.” </w:t>
      </w:r>
      <w:r w:rsidRPr="00710363">
        <w:rPr>
          <w:i/>
        </w:rPr>
        <w:t>Atlantic Economic Journal</w:t>
      </w:r>
      <w:r w:rsidRPr="00710363">
        <w:t xml:space="preserve"> 26</w:t>
      </w:r>
      <w:r w:rsidR="00E61817">
        <w:t xml:space="preserve"> (</w:t>
      </w:r>
      <w:r w:rsidRPr="00710363">
        <w:t>2</w:t>
      </w:r>
      <w:r w:rsidR="00E61817">
        <w:t>):</w:t>
      </w:r>
      <w:r w:rsidRPr="00710363">
        <w:t xml:space="preserve"> 175-89.</w:t>
      </w:r>
    </w:p>
    <w:p w14:paraId="175A090B" w14:textId="77777777" w:rsidR="00B17705" w:rsidRDefault="00B17705" w:rsidP="00181ACD">
      <w:pPr>
        <w:widowControl w:val="0"/>
        <w:autoSpaceDE w:val="0"/>
        <w:autoSpaceDN w:val="0"/>
        <w:adjustRightInd w:val="0"/>
        <w:spacing w:after="0"/>
        <w:ind w:left="720" w:hanging="720"/>
      </w:pPr>
    </w:p>
    <w:p w14:paraId="0623BEAB" w14:textId="3533D45A" w:rsidR="00B17705" w:rsidRDefault="00B17705" w:rsidP="00181ACD">
      <w:pPr>
        <w:widowControl w:val="0"/>
        <w:autoSpaceDE w:val="0"/>
        <w:autoSpaceDN w:val="0"/>
        <w:adjustRightInd w:val="0"/>
        <w:spacing w:after="0"/>
        <w:ind w:left="720" w:hanging="720"/>
      </w:pPr>
      <w:r>
        <w:t xml:space="preserve">Blue Ribbon Commission on Property Tax Burdens and Smart Growth Incentives. 2003. </w:t>
      </w:r>
      <w:r w:rsidRPr="00B17705">
        <w:rPr>
          <w:i/>
        </w:rPr>
        <w:t>Report of the State of Connecticut: Blue Ribbon Commission on Property Tax Bur</w:t>
      </w:r>
      <w:r>
        <w:rPr>
          <w:i/>
        </w:rPr>
        <w:t>dens and Smart Growth Incentives</w:t>
      </w:r>
      <w:r>
        <w:t xml:space="preserve">. </w:t>
      </w:r>
      <w:hyperlink r:id="rId25" w:history="1">
        <w:r w:rsidRPr="00DC2FFF">
          <w:rPr>
            <w:rStyle w:val="Hyperlink"/>
          </w:rPr>
          <w:t>http://www.housedems.ct.gov/more/MTA/pubs/CT_Blue_Ribbon_Commission_October_2003.pdf</w:t>
        </w:r>
      </w:hyperlink>
    </w:p>
    <w:p w14:paraId="74199CE5" w14:textId="77777777" w:rsidR="00B17705" w:rsidRDefault="00B17705" w:rsidP="00181ACD">
      <w:pPr>
        <w:spacing w:after="0"/>
        <w:ind w:left="720" w:hanging="720"/>
        <w:rPr>
          <w:bCs/>
          <w:color w:val="000000"/>
        </w:rPr>
      </w:pPr>
    </w:p>
    <w:p w14:paraId="40F743C5" w14:textId="4F3BF792" w:rsidR="00C11D13" w:rsidRPr="005F0EA2" w:rsidRDefault="00C11D13" w:rsidP="00181ACD">
      <w:pPr>
        <w:spacing w:after="0"/>
        <w:ind w:left="720" w:hanging="720"/>
        <w:rPr>
          <w:bCs/>
          <w:color w:val="000000"/>
        </w:rPr>
      </w:pPr>
      <w:r w:rsidRPr="005F0EA2">
        <w:rPr>
          <w:bCs/>
          <w:color w:val="000000"/>
        </w:rPr>
        <w:t xml:space="preserve">Bradford, David F., and Wallace E. Oates. 1974. </w:t>
      </w:r>
      <w:r w:rsidR="004768A7">
        <w:rPr>
          <w:bCs/>
          <w:color w:val="000000"/>
        </w:rPr>
        <w:t>“</w:t>
      </w:r>
      <w:r w:rsidRPr="005F0EA2">
        <w:rPr>
          <w:bCs/>
          <w:color w:val="000000"/>
        </w:rPr>
        <w:t xml:space="preserve">Suburban </w:t>
      </w:r>
      <w:r w:rsidR="00DC2A67">
        <w:rPr>
          <w:bCs/>
          <w:color w:val="000000"/>
        </w:rPr>
        <w:t>E</w:t>
      </w:r>
      <w:r w:rsidRPr="005F0EA2">
        <w:rPr>
          <w:bCs/>
          <w:color w:val="000000"/>
        </w:rPr>
        <w:t xml:space="preserve">xploitation of </w:t>
      </w:r>
      <w:r w:rsidR="00DC2A67">
        <w:rPr>
          <w:bCs/>
          <w:color w:val="000000"/>
        </w:rPr>
        <w:t>C</w:t>
      </w:r>
      <w:r w:rsidRPr="005F0EA2">
        <w:rPr>
          <w:bCs/>
          <w:color w:val="000000"/>
        </w:rPr>
        <w:t xml:space="preserve">entral </w:t>
      </w:r>
      <w:r w:rsidR="00DC2A67">
        <w:rPr>
          <w:bCs/>
          <w:color w:val="000000"/>
        </w:rPr>
        <w:t>C</w:t>
      </w:r>
      <w:r w:rsidRPr="005F0EA2">
        <w:rPr>
          <w:bCs/>
          <w:color w:val="000000"/>
        </w:rPr>
        <w:t xml:space="preserve">ities and </w:t>
      </w:r>
      <w:r w:rsidR="00DC2A67">
        <w:rPr>
          <w:bCs/>
          <w:color w:val="000000"/>
        </w:rPr>
        <w:t>G</w:t>
      </w:r>
      <w:r w:rsidRPr="005F0EA2">
        <w:rPr>
          <w:bCs/>
          <w:color w:val="000000"/>
        </w:rPr>
        <w:t xml:space="preserve">overnment </w:t>
      </w:r>
      <w:r w:rsidR="00DC2A67">
        <w:rPr>
          <w:bCs/>
          <w:color w:val="000000"/>
        </w:rPr>
        <w:t>S</w:t>
      </w:r>
      <w:r w:rsidRPr="005F0EA2">
        <w:rPr>
          <w:bCs/>
          <w:color w:val="000000"/>
        </w:rPr>
        <w:t>tructure.</w:t>
      </w:r>
      <w:r w:rsidR="004768A7">
        <w:rPr>
          <w:bCs/>
          <w:color w:val="000000"/>
        </w:rPr>
        <w:t>”</w:t>
      </w:r>
      <w:r w:rsidRPr="005F0EA2">
        <w:rPr>
          <w:bCs/>
          <w:color w:val="000000"/>
        </w:rPr>
        <w:t xml:space="preserve"> In </w:t>
      </w:r>
      <w:r w:rsidR="00DC2A67" w:rsidRPr="005F0EA2">
        <w:rPr>
          <w:bCs/>
          <w:color w:val="000000"/>
        </w:rPr>
        <w:t>Harold Hockman and George Peterson,</w:t>
      </w:r>
      <w:r w:rsidR="00DC2A67">
        <w:rPr>
          <w:bCs/>
          <w:color w:val="000000"/>
        </w:rPr>
        <w:t xml:space="preserve"> eds.</w:t>
      </w:r>
      <w:r w:rsidR="004768A7">
        <w:rPr>
          <w:bCs/>
          <w:color w:val="000000"/>
        </w:rPr>
        <w:t xml:space="preserve"> </w:t>
      </w:r>
      <w:r w:rsidRPr="005F0EA2">
        <w:rPr>
          <w:bCs/>
          <w:i/>
          <w:color w:val="000000"/>
        </w:rPr>
        <w:t xml:space="preserve">Redistribution </w:t>
      </w:r>
      <w:r w:rsidR="004768A7">
        <w:rPr>
          <w:bCs/>
          <w:i/>
          <w:color w:val="000000"/>
        </w:rPr>
        <w:t>T</w:t>
      </w:r>
      <w:r w:rsidRPr="005F0EA2">
        <w:rPr>
          <w:bCs/>
          <w:i/>
          <w:color w:val="000000"/>
        </w:rPr>
        <w:t xml:space="preserve">hrough </w:t>
      </w:r>
      <w:r w:rsidR="00DC2A67">
        <w:rPr>
          <w:bCs/>
          <w:i/>
          <w:color w:val="000000"/>
        </w:rPr>
        <w:t>P</w:t>
      </w:r>
      <w:r w:rsidRPr="005F0EA2">
        <w:rPr>
          <w:bCs/>
          <w:i/>
          <w:color w:val="000000"/>
        </w:rPr>
        <w:t xml:space="preserve">ublic </w:t>
      </w:r>
      <w:r w:rsidR="00DC2A67">
        <w:rPr>
          <w:bCs/>
          <w:i/>
          <w:color w:val="000000"/>
        </w:rPr>
        <w:t>C</w:t>
      </w:r>
      <w:r w:rsidRPr="005F0EA2">
        <w:rPr>
          <w:bCs/>
          <w:i/>
          <w:color w:val="000000"/>
        </w:rPr>
        <w:t>hoice</w:t>
      </w:r>
      <w:r w:rsidR="004768A7">
        <w:rPr>
          <w:bCs/>
          <w:i/>
          <w:color w:val="000000"/>
        </w:rPr>
        <w:t>,</w:t>
      </w:r>
      <w:r w:rsidRPr="005F0EA2">
        <w:rPr>
          <w:bCs/>
          <w:color w:val="000000"/>
        </w:rPr>
        <w:t xml:space="preserve"> 43</w:t>
      </w:r>
      <w:r w:rsidRPr="005F0EA2">
        <w:t>–</w:t>
      </w:r>
      <w:r w:rsidRPr="005F0EA2">
        <w:rPr>
          <w:bCs/>
          <w:color w:val="000000"/>
        </w:rPr>
        <w:t xml:space="preserve">90. </w:t>
      </w:r>
      <w:smartTag w:uri="urn:schemas-microsoft-com:office:smarttags" w:element="State">
        <w:smartTag w:uri="urn:schemas-microsoft-com:office:smarttags" w:element="place">
          <w:r w:rsidRPr="005F0EA2">
            <w:rPr>
              <w:bCs/>
              <w:color w:val="000000"/>
            </w:rPr>
            <w:t>New York</w:t>
          </w:r>
        </w:smartTag>
      </w:smartTag>
      <w:r w:rsidRPr="005F0EA2">
        <w:rPr>
          <w:bCs/>
          <w:color w:val="000000"/>
        </w:rPr>
        <w:t xml:space="preserve">: </w:t>
      </w:r>
      <w:smartTag w:uri="urn:schemas-microsoft-com:office:smarttags" w:element="place">
        <w:smartTag w:uri="urn:schemas-microsoft-com:office:smarttags" w:element="PlaceName">
          <w:r w:rsidRPr="005F0EA2">
            <w:rPr>
              <w:bCs/>
              <w:color w:val="000000"/>
            </w:rPr>
            <w:t>Columbia</w:t>
          </w:r>
        </w:smartTag>
        <w:r w:rsidRPr="005F0EA2">
          <w:rPr>
            <w:bCs/>
            <w:color w:val="000000"/>
          </w:rPr>
          <w:t xml:space="preserve"> </w:t>
        </w:r>
        <w:smartTag w:uri="urn:schemas-microsoft-com:office:smarttags" w:element="PlaceType">
          <w:r w:rsidRPr="005F0EA2">
            <w:rPr>
              <w:bCs/>
              <w:color w:val="000000"/>
            </w:rPr>
            <w:t>University</w:t>
          </w:r>
        </w:smartTag>
      </w:smartTag>
      <w:r w:rsidRPr="005F0EA2">
        <w:rPr>
          <w:bCs/>
          <w:color w:val="000000"/>
        </w:rPr>
        <w:t xml:space="preserve"> Press.</w:t>
      </w:r>
    </w:p>
    <w:p w14:paraId="15A4FC59" w14:textId="77777777" w:rsidR="00B17705" w:rsidRDefault="00B17705" w:rsidP="00181ACD">
      <w:pPr>
        <w:spacing w:after="0"/>
        <w:ind w:left="720" w:hanging="720"/>
      </w:pPr>
    </w:p>
    <w:p w14:paraId="312AC97D" w14:textId="50878225" w:rsidR="005C5D4E" w:rsidRPr="00710363" w:rsidRDefault="005C5D4E" w:rsidP="00181ACD">
      <w:pPr>
        <w:spacing w:after="0"/>
        <w:ind w:left="720" w:hanging="720"/>
      </w:pPr>
      <w:r w:rsidRPr="00710363">
        <w:t xml:space="preserve">Buchanan, James M. 1967. </w:t>
      </w:r>
      <w:r w:rsidRPr="00710363">
        <w:rPr>
          <w:i/>
        </w:rPr>
        <w:t xml:space="preserve">Public </w:t>
      </w:r>
      <w:r w:rsidR="00D37410">
        <w:rPr>
          <w:i/>
        </w:rPr>
        <w:t>Finance i</w:t>
      </w:r>
      <w:r w:rsidR="00D37410" w:rsidRPr="00710363">
        <w:rPr>
          <w:i/>
        </w:rPr>
        <w:t xml:space="preserve">n </w:t>
      </w:r>
      <w:r w:rsidR="00D37410">
        <w:rPr>
          <w:i/>
        </w:rPr>
        <w:t>a</w:t>
      </w:r>
      <w:r w:rsidR="00D37410" w:rsidRPr="00710363">
        <w:rPr>
          <w:i/>
        </w:rPr>
        <w:t xml:space="preserve"> Democratic Process</w:t>
      </w:r>
      <w:r w:rsidRPr="00710363">
        <w:t>. Chapel Hill, NC: University of North Carolina Press.</w:t>
      </w:r>
    </w:p>
    <w:p w14:paraId="75719F3F" w14:textId="77777777" w:rsidR="00B17705" w:rsidRDefault="00B17705" w:rsidP="00181ACD">
      <w:pPr>
        <w:spacing w:after="0"/>
        <w:ind w:left="720" w:hanging="720"/>
      </w:pPr>
    </w:p>
    <w:p w14:paraId="48D4FBB0" w14:textId="4BFAB370" w:rsidR="00090EF8" w:rsidRPr="007354C8" w:rsidRDefault="005C5D4E" w:rsidP="00181ACD">
      <w:pPr>
        <w:spacing w:after="0"/>
        <w:ind w:left="720" w:hanging="720"/>
      </w:pPr>
      <w:r w:rsidRPr="00710363">
        <w:t>Buchanan, James M., and Richard Wagner</w:t>
      </w:r>
      <w:r w:rsidR="004768A7">
        <w:t>.</w:t>
      </w:r>
      <w:r w:rsidR="0073042B">
        <w:t xml:space="preserve"> </w:t>
      </w:r>
      <w:r w:rsidRPr="00710363">
        <w:t xml:space="preserve">1977. </w:t>
      </w:r>
      <w:r w:rsidRPr="00710363">
        <w:rPr>
          <w:i/>
        </w:rPr>
        <w:t xml:space="preserve">Democracy </w:t>
      </w:r>
      <w:r w:rsidR="00D37410">
        <w:rPr>
          <w:i/>
        </w:rPr>
        <w:t>i</w:t>
      </w:r>
      <w:r w:rsidR="00D37410" w:rsidRPr="00710363">
        <w:rPr>
          <w:i/>
        </w:rPr>
        <w:t xml:space="preserve">n Deficit: </w:t>
      </w:r>
      <w:r w:rsidRPr="00710363">
        <w:rPr>
          <w:i/>
        </w:rPr>
        <w:t xml:space="preserve">The </w:t>
      </w:r>
      <w:r w:rsidR="00D37410" w:rsidRPr="00710363">
        <w:rPr>
          <w:i/>
        </w:rPr>
        <w:t xml:space="preserve">Political Legacy </w:t>
      </w:r>
      <w:r w:rsidR="00DC2A67" w:rsidRPr="00710363">
        <w:rPr>
          <w:i/>
        </w:rPr>
        <w:t>of</w:t>
      </w:r>
      <w:r w:rsidR="00D37410" w:rsidRPr="00710363">
        <w:rPr>
          <w:i/>
        </w:rPr>
        <w:t xml:space="preserve"> </w:t>
      </w:r>
      <w:r w:rsidRPr="00F51339">
        <w:rPr>
          <w:i/>
        </w:rPr>
        <w:t>Lord Keynes</w:t>
      </w:r>
      <w:r w:rsidRPr="00F51339">
        <w:t>. New York: Academic Press.</w:t>
      </w:r>
      <w:r w:rsidR="00090EF8" w:rsidRPr="00090EF8">
        <w:t xml:space="preserve"> </w:t>
      </w:r>
    </w:p>
    <w:p w14:paraId="22F72794" w14:textId="77777777" w:rsidR="00B17705" w:rsidRDefault="00B17705" w:rsidP="00181ACD">
      <w:pPr>
        <w:spacing w:after="0"/>
        <w:ind w:left="720" w:hanging="720"/>
        <w:rPr>
          <w:bCs/>
          <w:color w:val="000000"/>
        </w:rPr>
      </w:pPr>
    </w:p>
    <w:p w14:paraId="2DC858E5" w14:textId="3F777C62" w:rsidR="00090EF8" w:rsidRDefault="00090EF8" w:rsidP="00181ACD">
      <w:pPr>
        <w:spacing w:after="0"/>
        <w:ind w:left="720" w:hanging="720"/>
        <w:rPr>
          <w:bCs/>
          <w:color w:val="000000"/>
        </w:rPr>
      </w:pPr>
      <w:r>
        <w:rPr>
          <w:bCs/>
          <w:color w:val="000000"/>
        </w:rPr>
        <w:t>Burge, Gregory S. 2010. “The Effects of Development Impact Fees on Local Fiscal Conditions</w:t>
      </w:r>
      <w:r w:rsidR="004768A7">
        <w:rPr>
          <w:bCs/>
          <w:color w:val="000000"/>
        </w:rPr>
        <w:t>.</w:t>
      </w:r>
      <w:r>
        <w:rPr>
          <w:bCs/>
          <w:color w:val="000000"/>
        </w:rPr>
        <w:t xml:space="preserve">” </w:t>
      </w:r>
      <w:r w:rsidR="004768A7">
        <w:rPr>
          <w:bCs/>
          <w:color w:val="000000"/>
        </w:rPr>
        <w:t>I</w:t>
      </w:r>
      <w:r>
        <w:rPr>
          <w:bCs/>
          <w:color w:val="000000"/>
        </w:rPr>
        <w:t>n Gregory K. Ingram and Yu-Hung Hong</w:t>
      </w:r>
      <w:r w:rsidR="00DC2A67">
        <w:rPr>
          <w:bCs/>
          <w:color w:val="000000"/>
        </w:rPr>
        <w:t xml:space="preserve">, </w:t>
      </w:r>
      <w:r>
        <w:rPr>
          <w:bCs/>
          <w:color w:val="000000"/>
        </w:rPr>
        <w:t>eds</w:t>
      </w:r>
      <w:r w:rsidR="00DC2A67">
        <w:rPr>
          <w:bCs/>
          <w:color w:val="000000"/>
        </w:rPr>
        <w:t>.</w:t>
      </w:r>
      <w:r>
        <w:rPr>
          <w:bCs/>
          <w:color w:val="000000"/>
        </w:rPr>
        <w:t xml:space="preserve"> </w:t>
      </w:r>
      <w:r w:rsidRPr="001B4866">
        <w:rPr>
          <w:bCs/>
          <w:i/>
          <w:color w:val="000000"/>
        </w:rPr>
        <w:t>Municipal Revenues and Land Policies</w:t>
      </w:r>
      <w:r>
        <w:rPr>
          <w:bCs/>
          <w:color w:val="000000"/>
        </w:rPr>
        <w:t xml:space="preserve">, </w:t>
      </w:r>
      <w:r w:rsidR="004768A7">
        <w:rPr>
          <w:bCs/>
          <w:color w:val="000000"/>
        </w:rPr>
        <w:t xml:space="preserve">182-212. </w:t>
      </w:r>
      <w:r>
        <w:rPr>
          <w:bCs/>
          <w:color w:val="000000"/>
        </w:rPr>
        <w:t>Cambridge, MA: Lincoln Institute of Land Policy.</w:t>
      </w:r>
    </w:p>
    <w:p w14:paraId="7EB61D9F" w14:textId="77777777" w:rsidR="00B17705" w:rsidRDefault="00B17705" w:rsidP="00181ACD">
      <w:pPr>
        <w:spacing w:after="0"/>
        <w:ind w:left="720" w:hanging="720"/>
        <w:rPr>
          <w:bCs/>
          <w:color w:val="000000"/>
        </w:rPr>
      </w:pPr>
    </w:p>
    <w:p w14:paraId="7AB30B4C" w14:textId="4ED91ECF" w:rsidR="00090EF8" w:rsidRDefault="00090EF8" w:rsidP="00181ACD">
      <w:pPr>
        <w:spacing w:after="0"/>
        <w:ind w:left="720" w:hanging="720"/>
        <w:rPr>
          <w:bCs/>
          <w:color w:val="000000"/>
        </w:rPr>
      </w:pPr>
      <w:r>
        <w:rPr>
          <w:bCs/>
          <w:color w:val="000000"/>
        </w:rPr>
        <w:t xml:space="preserve">Burge, Gregory S. and Keith R. Ihlanfeldt. 2009. “Development Impact Fees and Employment.” </w:t>
      </w:r>
      <w:r w:rsidRPr="001B4866">
        <w:rPr>
          <w:bCs/>
          <w:i/>
          <w:color w:val="000000"/>
        </w:rPr>
        <w:t>Regional Science and Urban Economics</w:t>
      </w:r>
      <w:r>
        <w:rPr>
          <w:bCs/>
          <w:color w:val="000000"/>
        </w:rPr>
        <w:t xml:space="preserve"> 39</w:t>
      </w:r>
      <w:r w:rsidR="004768A7">
        <w:rPr>
          <w:bCs/>
          <w:color w:val="000000"/>
        </w:rPr>
        <w:t>:</w:t>
      </w:r>
      <w:r>
        <w:rPr>
          <w:bCs/>
          <w:color w:val="000000"/>
        </w:rPr>
        <w:t xml:space="preserve"> 54-62. </w:t>
      </w:r>
    </w:p>
    <w:p w14:paraId="2B9B5A31" w14:textId="77777777" w:rsidR="00B17705" w:rsidRDefault="00B17705" w:rsidP="00181ACD">
      <w:pPr>
        <w:spacing w:after="0"/>
        <w:ind w:left="720" w:hanging="720"/>
        <w:rPr>
          <w:rStyle w:val="name"/>
        </w:rPr>
      </w:pPr>
    </w:p>
    <w:p w14:paraId="61FEB453" w14:textId="05304ADA" w:rsidR="005C5D4E" w:rsidRPr="00710363" w:rsidRDefault="0035002C" w:rsidP="00181ACD">
      <w:pPr>
        <w:spacing w:after="0"/>
        <w:ind w:left="720" w:hanging="720"/>
      </w:pPr>
      <w:r>
        <w:rPr>
          <w:rStyle w:val="name"/>
        </w:rPr>
        <w:t>Connecticut Conference of Municipalities</w:t>
      </w:r>
      <w:r w:rsidR="004768A7">
        <w:rPr>
          <w:rStyle w:val="name"/>
        </w:rPr>
        <w:t>.</w:t>
      </w:r>
      <w:r>
        <w:rPr>
          <w:rStyle w:val="name"/>
        </w:rPr>
        <w:t xml:space="preserve"> 2011. </w:t>
      </w:r>
      <w:r w:rsidRPr="0035002C">
        <w:rPr>
          <w:rStyle w:val="name"/>
          <w:i/>
        </w:rPr>
        <w:t xml:space="preserve">Municipal Revenue Diversification </w:t>
      </w:r>
      <w:r w:rsidR="00DC2A67">
        <w:rPr>
          <w:rStyle w:val="name"/>
          <w:i/>
        </w:rPr>
        <w:t>and t</w:t>
      </w:r>
      <w:r w:rsidRPr="0035002C">
        <w:rPr>
          <w:rStyle w:val="name"/>
          <w:i/>
        </w:rPr>
        <w:t>he Real Estate Conveyance Tax</w:t>
      </w:r>
      <w:r>
        <w:rPr>
          <w:rStyle w:val="name"/>
        </w:rPr>
        <w:t>. CCM Public Report.</w:t>
      </w:r>
    </w:p>
    <w:p w14:paraId="05945799" w14:textId="77777777" w:rsidR="00B17705" w:rsidRDefault="00B17705" w:rsidP="00181ACD">
      <w:pPr>
        <w:widowControl w:val="0"/>
        <w:autoSpaceDE w:val="0"/>
        <w:autoSpaceDN w:val="0"/>
        <w:adjustRightInd w:val="0"/>
        <w:spacing w:after="0"/>
        <w:ind w:left="720" w:hanging="720"/>
      </w:pPr>
    </w:p>
    <w:p w14:paraId="0358B3EA" w14:textId="0058149E" w:rsidR="006D4B89" w:rsidRDefault="004768A7" w:rsidP="00181ACD">
      <w:pPr>
        <w:widowControl w:val="0"/>
        <w:autoSpaceDE w:val="0"/>
        <w:autoSpaceDN w:val="0"/>
        <w:adjustRightInd w:val="0"/>
        <w:spacing w:after="0"/>
        <w:ind w:left="720" w:hanging="720"/>
      </w:pPr>
      <w:r>
        <w:t xml:space="preserve">Downing, Paul B. </w:t>
      </w:r>
      <w:r w:rsidR="005C5D4E" w:rsidRPr="00710363">
        <w:t xml:space="preserve">1999. “User Charges, Impact Fees, and Service Charges.” In </w:t>
      </w:r>
      <w:r w:rsidRPr="00710363">
        <w:t>W. Bartley Hildreth,</w:t>
      </w:r>
      <w:r>
        <w:t xml:space="preserve"> ed.</w:t>
      </w:r>
      <w:r w:rsidRPr="00710363">
        <w:t xml:space="preserve"> </w:t>
      </w:r>
      <w:r w:rsidR="005C5D4E" w:rsidRPr="00710363">
        <w:rPr>
          <w:i/>
        </w:rPr>
        <w:t>Handbook on Taxation</w:t>
      </w:r>
      <w:r w:rsidR="005C5D4E" w:rsidRPr="00710363">
        <w:t xml:space="preserve"> </w:t>
      </w:r>
      <w:r w:rsidRPr="00710363">
        <w:t>239-262</w:t>
      </w:r>
      <w:r>
        <w:t xml:space="preserve">. </w:t>
      </w:r>
      <w:r w:rsidR="005C5D4E" w:rsidRPr="00710363">
        <w:t>New York: Marcel Dekker, Inc.</w:t>
      </w:r>
      <w:r w:rsidR="00DC2A67" w:rsidRPr="00DC2A67">
        <w:t xml:space="preserve"> </w:t>
      </w:r>
    </w:p>
    <w:p w14:paraId="104C2C1A" w14:textId="77777777" w:rsidR="00B17705" w:rsidRDefault="00B17705" w:rsidP="00181ACD">
      <w:pPr>
        <w:widowControl w:val="0"/>
        <w:autoSpaceDE w:val="0"/>
        <w:autoSpaceDN w:val="0"/>
        <w:adjustRightInd w:val="0"/>
        <w:spacing w:after="0"/>
        <w:ind w:left="720" w:hanging="720"/>
      </w:pPr>
    </w:p>
    <w:p w14:paraId="7CFAD0BA" w14:textId="28B44FF5" w:rsidR="0060530A" w:rsidRPr="00710363" w:rsidRDefault="0060530A" w:rsidP="00181ACD">
      <w:pPr>
        <w:widowControl w:val="0"/>
        <w:autoSpaceDE w:val="0"/>
        <w:autoSpaceDN w:val="0"/>
        <w:adjustRightInd w:val="0"/>
        <w:spacing w:after="0"/>
        <w:ind w:left="720" w:hanging="720"/>
      </w:pPr>
      <w:r w:rsidRPr="00710363">
        <w:lastRenderedPageBreak/>
        <w:t>Due, John F., and John L. Mikesell</w:t>
      </w:r>
      <w:r w:rsidR="00E61817">
        <w:t>.</w:t>
      </w:r>
      <w:r w:rsidRPr="00710363">
        <w:t xml:space="preserve"> </w:t>
      </w:r>
      <w:r w:rsidR="009E3CC8" w:rsidRPr="009E3085">
        <w:t>19</w:t>
      </w:r>
      <w:r w:rsidR="009E3085" w:rsidRPr="009E3085">
        <w:t>94</w:t>
      </w:r>
      <w:r w:rsidR="009E3CC8">
        <w:t xml:space="preserve">. </w:t>
      </w:r>
      <w:r w:rsidRPr="00D37410">
        <w:rPr>
          <w:i/>
        </w:rPr>
        <w:t xml:space="preserve">Sales Taxation: State and Local Structure and Administration. </w:t>
      </w:r>
      <w:r w:rsidRPr="00710363">
        <w:t>2nd ed. Washington</w:t>
      </w:r>
      <w:r w:rsidR="009E3085">
        <w:t>, D.C.: Urban Institute Press.</w:t>
      </w:r>
    </w:p>
    <w:p w14:paraId="55448932" w14:textId="77777777" w:rsidR="00B17705" w:rsidRDefault="00B17705" w:rsidP="00181ACD">
      <w:pPr>
        <w:widowControl w:val="0"/>
        <w:autoSpaceDE w:val="0"/>
        <w:autoSpaceDN w:val="0"/>
        <w:adjustRightInd w:val="0"/>
        <w:spacing w:after="0"/>
        <w:ind w:left="720" w:hanging="720"/>
      </w:pPr>
    </w:p>
    <w:p w14:paraId="3D265CAB" w14:textId="286C3DC7" w:rsidR="005C5D4E" w:rsidRPr="00710363" w:rsidRDefault="004768A7" w:rsidP="00181ACD">
      <w:pPr>
        <w:widowControl w:val="0"/>
        <w:autoSpaceDE w:val="0"/>
        <w:autoSpaceDN w:val="0"/>
        <w:adjustRightInd w:val="0"/>
        <w:spacing w:after="0"/>
        <w:ind w:left="720" w:hanging="720"/>
      </w:pPr>
      <w:r>
        <w:t xml:space="preserve">Duff, David G. </w:t>
      </w:r>
      <w:r w:rsidR="005C5D4E" w:rsidRPr="00710363">
        <w:t xml:space="preserve">2004. “Benefit Taxes and User Fees in Theory and Practice.” </w:t>
      </w:r>
      <w:r w:rsidR="005C5D4E" w:rsidRPr="00710363">
        <w:rPr>
          <w:i/>
        </w:rPr>
        <w:t>University of Toronto Law Journal</w:t>
      </w:r>
      <w:r>
        <w:t xml:space="preserve"> 54:</w:t>
      </w:r>
      <w:r w:rsidR="005C5D4E" w:rsidRPr="00710363">
        <w:t xml:space="preserve"> 391-447.</w:t>
      </w:r>
    </w:p>
    <w:p w14:paraId="415017A5" w14:textId="77777777" w:rsidR="00B17705" w:rsidRDefault="00B17705" w:rsidP="00181ACD">
      <w:pPr>
        <w:spacing w:after="0"/>
        <w:ind w:left="720" w:hanging="720"/>
      </w:pPr>
    </w:p>
    <w:p w14:paraId="241E0338" w14:textId="65516088" w:rsidR="005C5D4E" w:rsidRPr="00710363" w:rsidRDefault="005C5D4E" w:rsidP="00181ACD">
      <w:pPr>
        <w:spacing w:after="0"/>
        <w:ind w:left="720" w:hanging="720"/>
      </w:pPr>
      <w:r w:rsidRPr="00710363">
        <w:t>Dye, Richard F., and Therese J. McGuire</w:t>
      </w:r>
      <w:r w:rsidR="004768A7">
        <w:t>.</w:t>
      </w:r>
      <w:r w:rsidR="009E3CC8">
        <w:t xml:space="preserve"> </w:t>
      </w:r>
      <w:r w:rsidR="004768A7">
        <w:t>1</w:t>
      </w:r>
      <w:r w:rsidRPr="00710363">
        <w:t>991</w:t>
      </w:r>
      <w:r w:rsidR="00D37410" w:rsidRPr="00710363">
        <w:t xml:space="preserve">. </w:t>
      </w:r>
      <w:r w:rsidR="00D37410">
        <w:t>“</w:t>
      </w:r>
      <w:r w:rsidRPr="00710363">
        <w:t xml:space="preserve">Growth </w:t>
      </w:r>
      <w:r w:rsidR="00D37410">
        <w:t>and Variability o</w:t>
      </w:r>
      <w:r w:rsidR="00D37410" w:rsidRPr="00710363">
        <w:t xml:space="preserve">f State Individual Income </w:t>
      </w:r>
      <w:r w:rsidR="00D37410">
        <w:t>a</w:t>
      </w:r>
      <w:r w:rsidR="00D37410" w:rsidRPr="00710363">
        <w:t>nd General Sales Taxes</w:t>
      </w:r>
      <w:r w:rsidRPr="00710363">
        <w:t>.</w:t>
      </w:r>
      <w:r w:rsidR="00D37410">
        <w:t>”</w:t>
      </w:r>
      <w:r w:rsidRPr="00710363">
        <w:t xml:space="preserve"> </w:t>
      </w:r>
      <w:r w:rsidRPr="00710363">
        <w:rPr>
          <w:i/>
        </w:rPr>
        <w:t>National Tax Journal</w:t>
      </w:r>
      <w:r w:rsidRPr="00710363">
        <w:t xml:space="preserve"> 44(1):</w:t>
      </w:r>
      <w:r w:rsidR="004768A7">
        <w:t xml:space="preserve"> </w:t>
      </w:r>
      <w:r w:rsidRPr="00710363">
        <w:t>55–60.</w:t>
      </w:r>
    </w:p>
    <w:p w14:paraId="38A7FA3F" w14:textId="77777777" w:rsidR="00B17705" w:rsidRDefault="00B17705" w:rsidP="00181ACD">
      <w:pPr>
        <w:spacing w:after="0"/>
        <w:ind w:left="720" w:hanging="720"/>
        <w:rPr>
          <w:bCs/>
          <w:color w:val="000000"/>
        </w:rPr>
      </w:pPr>
    </w:p>
    <w:p w14:paraId="54BE322A" w14:textId="694CFB8E" w:rsidR="005C5D4E" w:rsidRPr="00710363" w:rsidRDefault="005C5D4E" w:rsidP="00181ACD">
      <w:pPr>
        <w:spacing w:after="0"/>
        <w:ind w:left="720" w:hanging="720"/>
      </w:pPr>
      <w:r w:rsidRPr="00710363">
        <w:rPr>
          <w:bCs/>
          <w:color w:val="000000"/>
        </w:rPr>
        <w:t xml:space="preserve">Fischel, William A. 2001. </w:t>
      </w:r>
      <w:r w:rsidR="00D37410">
        <w:rPr>
          <w:bCs/>
          <w:color w:val="000000"/>
        </w:rPr>
        <w:t>“</w:t>
      </w:r>
      <w:r w:rsidRPr="00710363">
        <w:rPr>
          <w:bCs/>
          <w:color w:val="000000"/>
        </w:rPr>
        <w:t xml:space="preserve">Municipal </w:t>
      </w:r>
      <w:r w:rsidR="00D37410" w:rsidRPr="00710363">
        <w:rPr>
          <w:bCs/>
          <w:color w:val="000000"/>
        </w:rPr>
        <w:t>Corporations, Homeowners</w:t>
      </w:r>
      <w:r w:rsidRPr="00710363">
        <w:rPr>
          <w:bCs/>
          <w:color w:val="000000"/>
        </w:rPr>
        <w:t xml:space="preserve">, and the </w:t>
      </w:r>
      <w:r w:rsidR="00D37410" w:rsidRPr="00710363">
        <w:rPr>
          <w:bCs/>
          <w:color w:val="000000"/>
        </w:rPr>
        <w:t xml:space="preserve">Benefit View </w:t>
      </w:r>
      <w:r w:rsidRPr="00710363">
        <w:rPr>
          <w:bCs/>
          <w:color w:val="000000"/>
        </w:rPr>
        <w:t xml:space="preserve">of the </w:t>
      </w:r>
      <w:r w:rsidR="00D37410" w:rsidRPr="00710363">
        <w:rPr>
          <w:bCs/>
          <w:color w:val="000000"/>
        </w:rPr>
        <w:t>Property Tax</w:t>
      </w:r>
      <w:r w:rsidRPr="00710363">
        <w:rPr>
          <w:bCs/>
          <w:color w:val="000000"/>
        </w:rPr>
        <w:t>.</w:t>
      </w:r>
      <w:r w:rsidR="00D37410">
        <w:rPr>
          <w:bCs/>
          <w:color w:val="000000"/>
        </w:rPr>
        <w:t>”</w:t>
      </w:r>
      <w:r w:rsidRPr="00710363">
        <w:rPr>
          <w:bCs/>
          <w:color w:val="000000"/>
        </w:rPr>
        <w:t xml:space="preserve"> In </w:t>
      </w:r>
      <w:r w:rsidR="004768A7" w:rsidRPr="00710363">
        <w:rPr>
          <w:bCs/>
          <w:color w:val="000000"/>
        </w:rPr>
        <w:t>Wallace</w:t>
      </w:r>
      <w:r w:rsidR="004768A7">
        <w:rPr>
          <w:bCs/>
          <w:color w:val="000000"/>
        </w:rPr>
        <w:t xml:space="preserve"> Oates, ed.</w:t>
      </w:r>
      <w:r w:rsidR="004768A7" w:rsidRPr="00710363">
        <w:rPr>
          <w:bCs/>
          <w:i/>
          <w:color w:val="000000"/>
        </w:rPr>
        <w:t xml:space="preserve"> </w:t>
      </w:r>
      <w:r w:rsidRPr="00710363">
        <w:rPr>
          <w:bCs/>
          <w:i/>
          <w:color w:val="000000"/>
        </w:rPr>
        <w:t xml:space="preserve">Property </w:t>
      </w:r>
      <w:r w:rsidR="00D37410" w:rsidRPr="00710363">
        <w:rPr>
          <w:bCs/>
          <w:i/>
          <w:color w:val="000000"/>
        </w:rPr>
        <w:t xml:space="preserve">Taxation </w:t>
      </w:r>
      <w:r w:rsidRPr="00710363">
        <w:rPr>
          <w:bCs/>
          <w:i/>
          <w:color w:val="000000"/>
        </w:rPr>
        <w:t xml:space="preserve">and </w:t>
      </w:r>
      <w:r w:rsidR="00D37410" w:rsidRPr="00710363">
        <w:rPr>
          <w:bCs/>
          <w:i/>
          <w:color w:val="000000"/>
        </w:rPr>
        <w:t>Local Government Finance</w:t>
      </w:r>
      <w:r w:rsidRPr="00710363">
        <w:rPr>
          <w:bCs/>
          <w:color w:val="000000"/>
        </w:rPr>
        <w:t xml:space="preserve"> </w:t>
      </w:r>
      <w:r w:rsidR="004768A7">
        <w:rPr>
          <w:bCs/>
          <w:color w:val="000000"/>
        </w:rPr>
        <w:t>33-77. Cambridge, MA: Lincoln Institute of Land Policy.</w:t>
      </w:r>
    </w:p>
    <w:p w14:paraId="1F380C8B" w14:textId="77777777" w:rsidR="00B17705" w:rsidRDefault="00B17705" w:rsidP="00181ACD">
      <w:pPr>
        <w:spacing w:after="0"/>
        <w:ind w:left="720" w:hanging="720"/>
      </w:pPr>
    </w:p>
    <w:p w14:paraId="1F976B32" w14:textId="51345FBB" w:rsidR="005C5D4E" w:rsidRPr="00710363" w:rsidRDefault="005C5D4E" w:rsidP="00181ACD">
      <w:pPr>
        <w:spacing w:after="0"/>
        <w:ind w:left="720" w:hanging="720"/>
      </w:pPr>
      <w:r w:rsidRPr="00710363">
        <w:t xml:space="preserve">Fisher, Ronald C. 1980. </w:t>
      </w:r>
      <w:r w:rsidR="00CC55FD">
        <w:t>“</w:t>
      </w:r>
      <w:r w:rsidRPr="00710363">
        <w:t xml:space="preserve">Local </w:t>
      </w:r>
      <w:r w:rsidR="00CC55FD" w:rsidRPr="00710363">
        <w:t xml:space="preserve">Sales Taxes: </w:t>
      </w:r>
      <w:r w:rsidRPr="00710363">
        <w:t xml:space="preserve">Tax </w:t>
      </w:r>
      <w:r w:rsidR="00CC55FD" w:rsidRPr="00710363">
        <w:t xml:space="preserve">Rate Differentials, Sales Loss, </w:t>
      </w:r>
      <w:r w:rsidR="00CC55FD">
        <w:t>a</w:t>
      </w:r>
      <w:r w:rsidR="00CC55FD" w:rsidRPr="00710363">
        <w:t>nd Revenue Estimation</w:t>
      </w:r>
      <w:r w:rsidRPr="00710363">
        <w:t>.</w:t>
      </w:r>
      <w:r w:rsidR="00CC55FD">
        <w:t xml:space="preserve">” </w:t>
      </w:r>
      <w:r w:rsidRPr="00710363">
        <w:rPr>
          <w:i/>
          <w:iCs/>
        </w:rPr>
        <w:t xml:space="preserve">Public Finance Quarterly </w:t>
      </w:r>
      <w:r w:rsidRPr="00710363">
        <w:t>8:171–188.</w:t>
      </w:r>
    </w:p>
    <w:p w14:paraId="4445F92D" w14:textId="77777777" w:rsidR="00B17705" w:rsidRDefault="00B17705" w:rsidP="00181ACD">
      <w:pPr>
        <w:spacing w:after="0"/>
        <w:ind w:left="720" w:hanging="720"/>
      </w:pPr>
    </w:p>
    <w:p w14:paraId="0EF83343" w14:textId="25BF06E4" w:rsidR="005C5D4E" w:rsidRPr="00710363" w:rsidRDefault="005C5D4E" w:rsidP="00181ACD">
      <w:pPr>
        <w:spacing w:after="0"/>
        <w:ind w:left="720" w:hanging="720"/>
      </w:pPr>
      <w:r w:rsidRPr="00710363">
        <w:t>Fox, William F. 1986</w:t>
      </w:r>
      <w:r w:rsidR="009E3CC8">
        <w:t>)</w:t>
      </w:r>
      <w:r w:rsidRPr="00710363">
        <w:t xml:space="preserve"> </w:t>
      </w:r>
      <w:r w:rsidR="00CC55FD">
        <w:t>“</w:t>
      </w:r>
      <w:r w:rsidRPr="00710363">
        <w:t xml:space="preserve">Tax </w:t>
      </w:r>
      <w:r w:rsidR="00CC55FD" w:rsidRPr="00710363">
        <w:t xml:space="preserve">Structure </w:t>
      </w:r>
      <w:r w:rsidR="00CC55FD">
        <w:t>and the Location o</w:t>
      </w:r>
      <w:r w:rsidR="00CC55FD" w:rsidRPr="00710363">
        <w:t>f Economic Activity Along State Borders</w:t>
      </w:r>
      <w:r w:rsidRPr="00710363">
        <w:t>.</w:t>
      </w:r>
      <w:r w:rsidR="00CC55FD">
        <w:t>”</w:t>
      </w:r>
      <w:r w:rsidRPr="00710363">
        <w:t xml:space="preserve"> </w:t>
      </w:r>
      <w:r w:rsidRPr="00710363">
        <w:rPr>
          <w:i/>
          <w:iCs/>
        </w:rPr>
        <w:t xml:space="preserve">National Tax Journal </w:t>
      </w:r>
      <w:r w:rsidR="004768A7">
        <w:t xml:space="preserve">39: </w:t>
      </w:r>
      <w:r w:rsidRPr="00710363">
        <w:t>387–401.</w:t>
      </w:r>
    </w:p>
    <w:p w14:paraId="4B751487" w14:textId="77777777" w:rsidR="00B17705" w:rsidRDefault="00B17705" w:rsidP="00181ACD">
      <w:pPr>
        <w:spacing w:after="0"/>
        <w:ind w:left="720" w:hanging="720"/>
        <w:rPr>
          <w:bCs/>
          <w:color w:val="000000"/>
        </w:rPr>
      </w:pPr>
    </w:p>
    <w:p w14:paraId="48EA6C7B" w14:textId="1744B02F" w:rsidR="005C5D4E" w:rsidRPr="00710363" w:rsidRDefault="00B92C15" w:rsidP="00181ACD">
      <w:pPr>
        <w:spacing w:after="0"/>
        <w:ind w:left="720" w:hanging="720"/>
        <w:rPr>
          <w:bCs/>
          <w:color w:val="000000"/>
        </w:rPr>
      </w:pPr>
      <w:r>
        <w:rPr>
          <w:bCs/>
          <w:color w:val="000000"/>
        </w:rPr>
        <w:t>Grieson, Ronald</w:t>
      </w:r>
      <w:r w:rsidR="005C5D4E" w:rsidRPr="00710363">
        <w:rPr>
          <w:bCs/>
          <w:color w:val="000000"/>
        </w:rPr>
        <w:t xml:space="preserve"> E. 1980. </w:t>
      </w:r>
      <w:r w:rsidR="00CC55FD">
        <w:rPr>
          <w:bCs/>
          <w:color w:val="000000"/>
        </w:rPr>
        <w:t>“</w:t>
      </w:r>
      <w:r w:rsidR="005C5D4E" w:rsidRPr="00710363">
        <w:rPr>
          <w:bCs/>
          <w:color w:val="000000"/>
        </w:rPr>
        <w:t xml:space="preserve">Theoretical </w:t>
      </w:r>
      <w:r w:rsidR="00CC55FD">
        <w:rPr>
          <w:bCs/>
          <w:color w:val="000000"/>
        </w:rPr>
        <w:t>Analysis a</w:t>
      </w:r>
      <w:r w:rsidR="00CC55FD" w:rsidRPr="00710363">
        <w:rPr>
          <w:bCs/>
          <w:color w:val="000000"/>
        </w:rPr>
        <w:t xml:space="preserve">nd Empirical Measurements </w:t>
      </w:r>
      <w:r w:rsidR="00CC55FD">
        <w:rPr>
          <w:bCs/>
          <w:color w:val="000000"/>
        </w:rPr>
        <w:t>o</w:t>
      </w:r>
      <w:r w:rsidR="00CC55FD" w:rsidRPr="00710363">
        <w:rPr>
          <w:bCs/>
          <w:color w:val="000000"/>
        </w:rPr>
        <w:t xml:space="preserve">f </w:t>
      </w:r>
      <w:r w:rsidR="00CC55FD">
        <w:rPr>
          <w:bCs/>
          <w:color w:val="000000"/>
        </w:rPr>
        <w:t>t</w:t>
      </w:r>
      <w:r w:rsidR="00CC55FD" w:rsidRPr="00710363">
        <w:rPr>
          <w:bCs/>
          <w:color w:val="000000"/>
        </w:rPr>
        <w:t xml:space="preserve">he Effects </w:t>
      </w:r>
      <w:r w:rsidR="00CC55FD">
        <w:rPr>
          <w:bCs/>
          <w:color w:val="000000"/>
        </w:rPr>
        <w:t>of t</w:t>
      </w:r>
      <w:r w:rsidR="00CC55FD" w:rsidRPr="00710363">
        <w:rPr>
          <w:bCs/>
          <w:color w:val="000000"/>
        </w:rPr>
        <w:t xml:space="preserve">he </w:t>
      </w:r>
      <w:r w:rsidR="005C5D4E" w:rsidRPr="00710363">
        <w:rPr>
          <w:bCs/>
          <w:color w:val="000000"/>
        </w:rPr>
        <w:t xml:space="preserve">Philadelphia </w:t>
      </w:r>
      <w:r w:rsidR="00CC55FD" w:rsidRPr="00710363">
        <w:rPr>
          <w:bCs/>
          <w:color w:val="000000"/>
        </w:rPr>
        <w:t>Income Ta</w:t>
      </w:r>
      <w:r w:rsidR="005C5D4E" w:rsidRPr="00710363">
        <w:rPr>
          <w:bCs/>
          <w:color w:val="000000"/>
        </w:rPr>
        <w:t>x.</w:t>
      </w:r>
      <w:r w:rsidR="00CC55FD">
        <w:rPr>
          <w:bCs/>
          <w:color w:val="000000"/>
        </w:rPr>
        <w:t>”</w:t>
      </w:r>
      <w:r w:rsidR="005C5D4E" w:rsidRPr="00710363">
        <w:rPr>
          <w:bCs/>
          <w:color w:val="000000"/>
        </w:rPr>
        <w:t xml:space="preserve"> </w:t>
      </w:r>
      <w:r w:rsidR="005C5D4E" w:rsidRPr="00710363">
        <w:rPr>
          <w:bCs/>
          <w:i/>
          <w:color w:val="000000"/>
        </w:rPr>
        <w:t>Journal of Urban Economics</w:t>
      </w:r>
      <w:r w:rsidR="005C5D4E" w:rsidRPr="00710363">
        <w:rPr>
          <w:bCs/>
          <w:color w:val="000000"/>
        </w:rPr>
        <w:t xml:space="preserve"> 8(1):</w:t>
      </w:r>
      <w:r w:rsidR="004768A7">
        <w:rPr>
          <w:bCs/>
          <w:color w:val="000000"/>
        </w:rPr>
        <w:t xml:space="preserve"> </w:t>
      </w:r>
      <w:r w:rsidR="005C5D4E" w:rsidRPr="00710363">
        <w:rPr>
          <w:bCs/>
          <w:color w:val="000000"/>
        </w:rPr>
        <w:t>123</w:t>
      </w:r>
      <w:r w:rsidR="005C5D4E" w:rsidRPr="00710363">
        <w:t>–</w:t>
      </w:r>
      <w:r w:rsidR="005C5D4E" w:rsidRPr="00710363">
        <w:rPr>
          <w:bCs/>
          <w:color w:val="000000"/>
        </w:rPr>
        <w:t xml:space="preserve">137. </w:t>
      </w:r>
    </w:p>
    <w:p w14:paraId="65A16F6F" w14:textId="77777777" w:rsidR="00B17705" w:rsidRDefault="00B17705" w:rsidP="00181ACD">
      <w:pPr>
        <w:spacing w:after="0"/>
        <w:ind w:left="720" w:hanging="720"/>
        <w:rPr>
          <w:bCs/>
          <w:color w:val="000000"/>
        </w:rPr>
      </w:pPr>
    </w:p>
    <w:p w14:paraId="64508D10" w14:textId="0AEE09DA" w:rsidR="005C5D4E" w:rsidRPr="00710363" w:rsidRDefault="005C5D4E" w:rsidP="00181ACD">
      <w:pPr>
        <w:spacing w:after="0"/>
        <w:ind w:left="720" w:hanging="720"/>
        <w:rPr>
          <w:bCs/>
          <w:color w:val="000000"/>
        </w:rPr>
      </w:pPr>
      <w:r w:rsidRPr="00710363">
        <w:rPr>
          <w:bCs/>
          <w:color w:val="000000"/>
        </w:rPr>
        <w:t xml:space="preserve">Hamilton, Bruce W. 1975. </w:t>
      </w:r>
      <w:r w:rsidR="00CC55FD">
        <w:rPr>
          <w:bCs/>
          <w:color w:val="000000"/>
        </w:rPr>
        <w:t>“</w:t>
      </w:r>
      <w:r w:rsidRPr="00710363">
        <w:rPr>
          <w:bCs/>
          <w:color w:val="000000"/>
        </w:rPr>
        <w:t xml:space="preserve">Zoning and </w:t>
      </w:r>
      <w:r w:rsidR="00CC55FD" w:rsidRPr="00710363">
        <w:rPr>
          <w:bCs/>
          <w:color w:val="000000"/>
        </w:rPr>
        <w:t xml:space="preserve">Property Taxation </w:t>
      </w:r>
      <w:r w:rsidR="00CC55FD">
        <w:rPr>
          <w:bCs/>
          <w:color w:val="000000"/>
        </w:rPr>
        <w:t>i</w:t>
      </w:r>
      <w:r w:rsidR="00CC55FD" w:rsidRPr="00710363">
        <w:rPr>
          <w:bCs/>
          <w:color w:val="000000"/>
        </w:rPr>
        <w:t xml:space="preserve">n </w:t>
      </w:r>
      <w:r w:rsidR="00CC55FD">
        <w:rPr>
          <w:bCs/>
          <w:color w:val="000000"/>
        </w:rPr>
        <w:t>a</w:t>
      </w:r>
      <w:r w:rsidR="00CC55FD" w:rsidRPr="00710363">
        <w:rPr>
          <w:bCs/>
          <w:color w:val="000000"/>
        </w:rPr>
        <w:t xml:space="preserve"> System </w:t>
      </w:r>
      <w:r w:rsidR="00CC55FD">
        <w:rPr>
          <w:bCs/>
          <w:color w:val="000000"/>
        </w:rPr>
        <w:t>o</w:t>
      </w:r>
      <w:r w:rsidR="00CC55FD" w:rsidRPr="00710363">
        <w:rPr>
          <w:bCs/>
          <w:color w:val="000000"/>
        </w:rPr>
        <w:t>f Local Governments</w:t>
      </w:r>
      <w:r w:rsidRPr="00710363">
        <w:rPr>
          <w:bCs/>
          <w:color w:val="000000"/>
        </w:rPr>
        <w:t>.</w:t>
      </w:r>
      <w:r w:rsidR="00CC55FD">
        <w:rPr>
          <w:bCs/>
          <w:color w:val="000000"/>
        </w:rPr>
        <w:t>”</w:t>
      </w:r>
      <w:r w:rsidRPr="00710363">
        <w:rPr>
          <w:bCs/>
          <w:color w:val="000000"/>
        </w:rPr>
        <w:t xml:space="preserve"> </w:t>
      </w:r>
      <w:r w:rsidRPr="00710363">
        <w:rPr>
          <w:bCs/>
          <w:i/>
          <w:color w:val="000000"/>
        </w:rPr>
        <w:t>Urban Studies</w:t>
      </w:r>
      <w:r w:rsidRPr="00710363">
        <w:rPr>
          <w:bCs/>
          <w:color w:val="000000"/>
        </w:rPr>
        <w:t xml:space="preserve"> 12:</w:t>
      </w:r>
      <w:r w:rsidR="004768A7">
        <w:rPr>
          <w:bCs/>
          <w:color w:val="000000"/>
        </w:rPr>
        <w:t xml:space="preserve"> </w:t>
      </w:r>
      <w:r w:rsidRPr="00710363">
        <w:rPr>
          <w:bCs/>
          <w:color w:val="000000"/>
        </w:rPr>
        <w:t>205</w:t>
      </w:r>
      <w:r w:rsidRPr="00710363">
        <w:t>–</w:t>
      </w:r>
      <w:r w:rsidRPr="00710363">
        <w:rPr>
          <w:bCs/>
          <w:color w:val="000000"/>
        </w:rPr>
        <w:t>211.</w:t>
      </w:r>
    </w:p>
    <w:p w14:paraId="7D3CE0D8" w14:textId="77777777" w:rsidR="00B17705" w:rsidRDefault="00B17705" w:rsidP="00181ACD">
      <w:pPr>
        <w:spacing w:after="0"/>
        <w:ind w:left="720" w:hanging="720"/>
      </w:pPr>
    </w:p>
    <w:p w14:paraId="01408B9D" w14:textId="2116E50D" w:rsidR="005C5D4E" w:rsidRDefault="005C5D4E" w:rsidP="00181ACD">
      <w:pPr>
        <w:spacing w:after="0"/>
        <w:ind w:left="720" w:hanging="720"/>
      </w:pPr>
      <w:r w:rsidRPr="00710363">
        <w:t>Harmon, Oskar Ragnar, and Rajiv Mallick</w:t>
      </w:r>
      <w:r w:rsidR="004768A7">
        <w:t xml:space="preserve">. </w:t>
      </w:r>
      <w:r w:rsidRPr="00710363">
        <w:t xml:space="preserve">1994. </w:t>
      </w:r>
      <w:r w:rsidR="00CC55FD">
        <w:t>“</w:t>
      </w:r>
      <w:r w:rsidRPr="00710363">
        <w:t xml:space="preserve">The </w:t>
      </w:r>
      <w:r w:rsidR="00CC55FD" w:rsidRPr="00710363">
        <w:t xml:space="preserve">Optimal State Tax Portfolio Model: </w:t>
      </w:r>
      <w:r w:rsidRPr="00710363">
        <w:t xml:space="preserve">An </w:t>
      </w:r>
      <w:r w:rsidR="00CC55FD" w:rsidRPr="00710363">
        <w:t>Extension.</w:t>
      </w:r>
      <w:r w:rsidR="00CC55FD">
        <w:t>”</w:t>
      </w:r>
      <w:r w:rsidRPr="00710363">
        <w:t xml:space="preserve"> </w:t>
      </w:r>
      <w:r w:rsidRPr="00710363">
        <w:rPr>
          <w:i/>
        </w:rPr>
        <w:t>National Tax Journal</w:t>
      </w:r>
      <w:r w:rsidRPr="00710363">
        <w:t xml:space="preserve"> 47(2):</w:t>
      </w:r>
      <w:r w:rsidR="004768A7">
        <w:t xml:space="preserve"> </w:t>
      </w:r>
      <w:r w:rsidRPr="00710363">
        <w:t>395–402.</w:t>
      </w:r>
    </w:p>
    <w:p w14:paraId="238AB169" w14:textId="77777777" w:rsidR="00B17705" w:rsidRDefault="00B17705" w:rsidP="00181ACD">
      <w:pPr>
        <w:spacing w:after="0"/>
        <w:ind w:left="720" w:hanging="720"/>
        <w:rPr>
          <w:bCs/>
          <w:color w:val="000000"/>
        </w:rPr>
      </w:pPr>
    </w:p>
    <w:p w14:paraId="3590148B" w14:textId="70874344" w:rsidR="005C5D4E" w:rsidRDefault="005C5D4E" w:rsidP="00181ACD">
      <w:pPr>
        <w:spacing w:after="0"/>
        <w:ind w:left="720" w:hanging="720"/>
        <w:rPr>
          <w:bCs/>
          <w:color w:val="000000"/>
        </w:rPr>
      </w:pPr>
      <w:r w:rsidRPr="00710363">
        <w:rPr>
          <w:bCs/>
          <w:color w:val="000000"/>
        </w:rPr>
        <w:t>Inman, Robert P., Sally Hines, Jeffrey Preston, and Richard Weiss</w:t>
      </w:r>
      <w:r w:rsidR="004768A7">
        <w:rPr>
          <w:bCs/>
          <w:color w:val="000000"/>
        </w:rPr>
        <w:t xml:space="preserve">. </w:t>
      </w:r>
      <w:r w:rsidRPr="00710363">
        <w:rPr>
          <w:bCs/>
          <w:color w:val="000000"/>
        </w:rPr>
        <w:t xml:space="preserve">1987. </w:t>
      </w:r>
      <w:r w:rsidR="00CC55FD">
        <w:rPr>
          <w:bCs/>
          <w:color w:val="000000"/>
        </w:rPr>
        <w:t>“</w:t>
      </w:r>
      <w:r w:rsidRPr="00710363">
        <w:rPr>
          <w:bCs/>
          <w:color w:val="000000"/>
        </w:rPr>
        <w:t xml:space="preserve">Philadelphia’s </w:t>
      </w:r>
      <w:r w:rsidR="00CC55FD">
        <w:rPr>
          <w:bCs/>
          <w:color w:val="000000"/>
        </w:rPr>
        <w:t>Fiscal Management o</w:t>
      </w:r>
      <w:r w:rsidR="00CC55FD" w:rsidRPr="00710363">
        <w:rPr>
          <w:bCs/>
          <w:color w:val="000000"/>
        </w:rPr>
        <w:t>f Economic Transition.</w:t>
      </w:r>
      <w:r w:rsidR="00CC55FD">
        <w:rPr>
          <w:bCs/>
          <w:color w:val="000000"/>
        </w:rPr>
        <w:t>”</w:t>
      </w:r>
      <w:r w:rsidRPr="00710363">
        <w:rPr>
          <w:bCs/>
          <w:color w:val="000000"/>
        </w:rPr>
        <w:t xml:space="preserve"> In </w:t>
      </w:r>
      <w:r w:rsidR="004768A7" w:rsidRPr="00710363">
        <w:rPr>
          <w:bCs/>
          <w:color w:val="000000"/>
        </w:rPr>
        <w:t>Thomas F. Luce and Anita A. Summers</w:t>
      </w:r>
      <w:r w:rsidR="004768A7">
        <w:rPr>
          <w:bCs/>
          <w:color w:val="000000"/>
        </w:rPr>
        <w:t>, eds.</w:t>
      </w:r>
      <w:r w:rsidR="004768A7" w:rsidRPr="00710363">
        <w:rPr>
          <w:bCs/>
          <w:i/>
          <w:color w:val="000000"/>
        </w:rPr>
        <w:t xml:space="preserve"> </w:t>
      </w:r>
      <w:r w:rsidRPr="00710363">
        <w:rPr>
          <w:bCs/>
          <w:i/>
          <w:color w:val="000000"/>
        </w:rPr>
        <w:t xml:space="preserve">Local </w:t>
      </w:r>
      <w:r w:rsidR="006D4B89" w:rsidRPr="00710363">
        <w:rPr>
          <w:bCs/>
          <w:i/>
          <w:color w:val="000000"/>
        </w:rPr>
        <w:t>Fiscal Issues</w:t>
      </w:r>
      <w:r w:rsidR="006D4B89">
        <w:rPr>
          <w:bCs/>
          <w:i/>
          <w:color w:val="000000"/>
        </w:rPr>
        <w:t xml:space="preserve"> i</w:t>
      </w:r>
      <w:r w:rsidR="006D4B89" w:rsidRPr="00710363">
        <w:rPr>
          <w:bCs/>
          <w:i/>
          <w:color w:val="000000"/>
        </w:rPr>
        <w:t xml:space="preserve">n </w:t>
      </w:r>
      <w:r w:rsidR="006D4B89">
        <w:rPr>
          <w:bCs/>
          <w:i/>
          <w:color w:val="000000"/>
        </w:rPr>
        <w:t>t</w:t>
      </w:r>
      <w:r w:rsidR="006D4B89" w:rsidRPr="00710363">
        <w:rPr>
          <w:bCs/>
          <w:i/>
          <w:color w:val="000000"/>
        </w:rPr>
        <w:t xml:space="preserve">he </w:t>
      </w:r>
      <w:r w:rsidRPr="00710363">
        <w:rPr>
          <w:bCs/>
          <w:i/>
          <w:color w:val="000000"/>
        </w:rPr>
        <w:t xml:space="preserve">Philadelphia </w:t>
      </w:r>
      <w:r w:rsidR="006D4B89" w:rsidRPr="00710363">
        <w:rPr>
          <w:bCs/>
          <w:i/>
          <w:color w:val="000000"/>
        </w:rPr>
        <w:t>Metropolitan Are</w:t>
      </w:r>
      <w:r w:rsidR="004768A7">
        <w:rPr>
          <w:bCs/>
          <w:i/>
          <w:color w:val="000000"/>
        </w:rPr>
        <w:t>a</w:t>
      </w:r>
      <w:r w:rsidRPr="00710363">
        <w:rPr>
          <w:bCs/>
          <w:color w:val="000000"/>
        </w:rPr>
        <w:t>, 98</w:t>
      </w:r>
      <w:r w:rsidRPr="00710363">
        <w:t>–</w:t>
      </w:r>
      <w:r w:rsidRPr="00710363">
        <w:rPr>
          <w:bCs/>
          <w:color w:val="000000"/>
        </w:rPr>
        <w:t xml:space="preserve">115. Philadelphia: University of Pennsylvania Press. </w:t>
      </w:r>
    </w:p>
    <w:p w14:paraId="7CB51AC3" w14:textId="77777777" w:rsidR="00EB46A6" w:rsidRDefault="00EB46A6" w:rsidP="00181ACD">
      <w:pPr>
        <w:spacing w:after="0"/>
        <w:ind w:left="720" w:hanging="720"/>
        <w:rPr>
          <w:bCs/>
          <w:color w:val="000000"/>
        </w:rPr>
      </w:pPr>
    </w:p>
    <w:p w14:paraId="4AD0AE90" w14:textId="56818A6D" w:rsidR="00EB46A6" w:rsidRPr="00EB46A6" w:rsidRDefault="00EB46A6" w:rsidP="00181ACD">
      <w:pPr>
        <w:spacing w:after="0"/>
        <w:ind w:left="720" w:hanging="720"/>
        <w:rPr>
          <w:bCs/>
          <w:color w:val="000000"/>
        </w:rPr>
      </w:pPr>
      <w:r>
        <w:rPr>
          <w:bCs/>
          <w:color w:val="000000"/>
        </w:rPr>
        <w:t xml:space="preserve">Institute on Taxation and Economic Policy. 2015. </w:t>
      </w:r>
      <w:r w:rsidRPr="00EB46A6">
        <w:rPr>
          <w:bCs/>
          <w:i/>
          <w:color w:val="000000"/>
        </w:rPr>
        <w:t>Who Pays?</w:t>
      </w:r>
      <w:r>
        <w:rPr>
          <w:bCs/>
          <w:color w:val="000000"/>
        </w:rPr>
        <w:t xml:space="preserve"> </w:t>
      </w:r>
      <w:r w:rsidRPr="00EB46A6">
        <w:rPr>
          <w:bCs/>
          <w:color w:val="000000"/>
        </w:rPr>
        <w:t>http://www.itep.org/whopays/</w:t>
      </w:r>
    </w:p>
    <w:p w14:paraId="1AC4D533" w14:textId="77777777" w:rsidR="00B17705" w:rsidRDefault="00B17705" w:rsidP="00181ACD">
      <w:pPr>
        <w:spacing w:after="0"/>
        <w:ind w:left="720" w:hanging="720"/>
      </w:pPr>
    </w:p>
    <w:p w14:paraId="5CC16FEB" w14:textId="5B8AB19D" w:rsidR="005C5D4E" w:rsidRPr="00710363" w:rsidRDefault="005C5D4E" w:rsidP="00181ACD">
      <w:pPr>
        <w:spacing w:after="0"/>
        <w:ind w:left="720" w:hanging="720"/>
      </w:pPr>
      <w:r w:rsidRPr="00710363">
        <w:t>Ladd, Helen F. and Dana R. Weist</w:t>
      </w:r>
      <w:r w:rsidR="004768A7">
        <w:t>.</w:t>
      </w:r>
      <w:r w:rsidRPr="00710363">
        <w:t xml:space="preserve"> 1987. </w:t>
      </w:r>
      <w:r w:rsidR="00CC55FD">
        <w:t>“</w:t>
      </w:r>
      <w:r w:rsidRPr="00710363">
        <w:t xml:space="preserve">State and </w:t>
      </w:r>
      <w:r w:rsidR="00CC55FD" w:rsidRPr="00710363">
        <w:t xml:space="preserve">Local Tax Systems: </w:t>
      </w:r>
      <w:r w:rsidRPr="00710363">
        <w:t xml:space="preserve">Balance </w:t>
      </w:r>
      <w:r w:rsidR="00CC55FD" w:rsidRPr="00710363">
        <w:t>Among Taxes Versus Balance Among Policy Goals</w:t>
      </w:r>
      <w:r w:rsidRPr="00710363">
        <w:t>.</w:t>
      </w:r>
      <w:r w:rsidR="00CC55FD">
        <w:t>”</w:t>
      </w:r>
      <w:r w:rsidRPr="00710363">
        <w:t xml:space="preserve"> In </w:t>
      </w:r>
      <w:r w:rsidR="004768A7" w:rsidRPr="00710363">
        <w:t>Frederick D. Stocker</w:t>
      </w:r>
      <w:r w:rsidR="004768A7">
        <w:t>,</w:t>
      </w:r>
      <w:r w:rsidR="00E61817">
        <w:t xml:space="preserve"> </w:t>
      </w:r>
      <w:r w:rsidR="004768A7">
        <w:t>ed.</w:t>
      </w:r>
      <w:r w:rsidR="004768A7" w:rsidRPr="00710363">
        <w:rPr>
          <w:i/>
        </w:rPr>
        <w:t xml:space="preserve"> </w:t>
      </w:r>
      <w:r w:rsidRPr="00710363">
        <w:rPr>
          <w:i/>
        </w:rPr>
        <w:t xml:space="preserve">The </w:t>
      </w:r>
      <w:r w:rsidR="00CC55FD">
        <w:rPr>
          <w:i/>
        </w:rPr>
        <w:t>Quest f</w:t>
      </w:r>
      <w:r w:rsidR="00CC55FD" w:rsidRPr="00710363">
        <w:rPr>
          <w:i/>
        </w:rPr>
        <w:t xml:space="preserve">or Balance </w:t>
      </w:r>
      <w:r w:rsidR="00CC55FD">
        <w:rPr>
          <w:i/>
        </w:rPr>
        <w:t>In</w:t>
      </w:r>
      <w:r w:rsidR="00CC55FD" w:rsidRPr="00710363">
        <w:rPr>
          <w:i/>
        </w:rPr>
        <w:t xml:space="preserve"> State-Local Revenue Structures</w:t>
      </w:r>
      <w:r w:rsidRPr="00710363">
        <w:t>, 39–69. Tax Policy Roundtable/Property Tax Papers Series #TRP-16. Cambridge, MA: Lincoln Institute of Land Policy.</w:t>
      </w:r>
    </w:p>
    <w:p w14:paraId="0C33C705" w14:textId="77777777" w:rsidR="00B17705" w:rsidRDefault="00B17705" w:rsidP="00181ACD">
      <w:pPr>
        <w:pStyle w:val="NormalWeb"/>
        <w:spacing w:before="0" w:beforeAutospacing="0" w:after="0" w:afterAutospacing="0" w:line="276" w:lineRule="auto"/>
        <w:ind w:left="720" w:hanging="720"/>
        <w:textAlignment w:val="baseline"/>
        <w:rPr>
          <w:rFonts w:eastAsia="+mn-ea"/>
          <w:bCs/>
          <w:kern w:val="24"/>
        </w:rPr>
      </w:pPr>
    </w:p>
    <w:p w14:paraId="15C9B06A" w14:textId="3D6A78D8" w:rsidR="005C5D4E" w:rsidRDefault="00090EF8" w:rsidP="00181ACD">
      <w:pPr>
        <w:pStyle w:val="NormalWeb"/>
        <w:spacing w:before="0" w:beforeAutospacing="0" w:after="0" w:afterAutospacing="0" w:line="276" w:lineRule="auto"/>
        <w:ind w:left="720" w:hanging="720"/>
        <w:textAlignment w:val="baseline"/>
        <w:rPr>
          <w:rFonts w:eastAsia="+mn-ea"/>
          <w:bCs/>
          <w:kern w:val="24"/>
        </w:rPr>
      </w:pPr>
      <w:r>
        <w:rPr>
          <w:rFonts w:eastAsia="+mn-ea"/>
          <w:bCs/>
          <w:kern w:val="24"/>
        </w:rPr>
        <w:lastRenderedPageBreak/>
        <w:t>L</w:t>
      </w:r>
      <w:r w:rsidR="005C5D4E" w:rsidRPr="00BF4B40">
        <w:rPr>
          <w:rFonts w:eastAsia="+mn-ea"/>
          <w:bCs/>
          <w:kern w:val="24"/>
        </w:rPr>
        <w:t xml:space="preserve">ewis, Paul G. 2001. </w:t>
      </w:r>
      <w:r w:rsidR="00CC55FD">
        <w:rPr>
          <w:rFonts w:eastAsia="+mn-ea"/>
          <w:bCs/>
          <w:kern w:val="24"/>
        </w:rPr>
        <w:t>“</w:t>
      </w:r>
      <w:r w:rsidR="005C5D4E" w:rsidRPr="00BF4B40">
        <w:rPr>
          <w:rFonts w:eastAsia="+mn-ea"/>
          <w:bCs/>
          <w:kern w:val="24"/>
        </w:rPr>
        <w:t xml:space="preserve">Retail </w:t>
      </w:r>
      <w:r w:rsidR="00CC55FD">
        <w:rPr>
          <w:rFonts w:eastAsia="+mn-ea"/>
          <w:bCs/>
          <w:kern w:val="24"/>
        </w:rPr>
        <w:t>P</w:t>
      </w:r>
      <w:r w:rsidR="005C5D4E" w:rsidRPr="00BF4B40">
        <w:rPr>
          <w:rFonts w:eastAsia="+mn-ea"/>
          <w:bCs/>
          <w:kern w:val="24"/>
        </w:rPr>
        <w:t xml:space="preserve">olitics: Local </w:t>
      </w:r>
      <w:r w:rsidR="00CC55FD" w:rsidRPr="00BF4B40">
        <w:rPr>
          <w:rFonts w:eastAsia="+mn-ea"/>
          <w:bCs/>
          <w:kern w:val="24"/>
        </w:rPr>
        <w:t>Sales T</w:t>
      </w:r>
      <w:r w:rsidR="00CC55FD" w:rsidRPr="00A81DBD">
        <w:rPr>
          <w:rFonts w:eastAsia="+mn-ea"/>
          <w:bCs/>
          <w:kern w:val="24"/>
        </w:rPr>
        <w:t xml:space="preserve">axes </w:t>
      </w:r>
      <w:r w:rsidR="00CC55FD">
        <w:rPr>
          <w:rFonts w:eastAsia="+mn-ea"/>
          <w:bCs/>
          <w:kern w:val="24"/>
        </w:rPr>
        <w:t>and t</w:t>
      </w:r>
      <w:r w:rsidR="00CC55FD" w:rsidRPr="00A81DBD">
        <w:rPr>
          <w:rFonts w:eastAsia="+mn-ea"/>
          <w:bCs/>
          <w:kern w:val="24"/>
        </w:rPr>
        <w:t xml:space="preserve">he Fiscalization </w:t>
      </w:r>
      <w:r w:rsidR="00CC55FD">
        <w:rPr>
          <w:rFonts w:eastAsia="+mn-ea"/>
          <w:bCs/>
          <w:kern w:val="24"/>
        </w:rPr>
        <w:t>o</w:t>
      </w:r>
      <w:r w:rsidR="00CC55FD" w:rsidRPr="00A81DBD">
        <w:rPr>
          <w:rFonts w:eastAsia="+mn-ea"/>
          <w:bCs/>
          <w:kern w:val="24"/>
        </w:rPr>
        <w:t>f Land Use</w:t>
      </w:r>
      <w:r w:rsidR="005C5D4E" w:rsidRPr="00A81DBD">
        <w:rPr>
          <w:rFonts w:eastAsia="+mn-ea"/>
          <w:bCs/>
          <w:kern w:val="24"/>
        </w:rPr>
        <w:t>.</w:t>
      </w:r>
      <w:r w:rsidR="00CC55FD">
        <w:rPr>
          <w:rFonts w:eastAsia="+mn-ea"/>
          <w:bCs/>
          <w:kern w:val="24"/>
        </w:rPr>
        <w:t>”</w:t>
      </w:r>
      <w:r w:rsidR="005C5D4E" w:rsidRPr="00A81DBD">
        <w:rPr>
          <w:rFonts w:eastAsia="+mn-ea"/>
          <w:bCs/>
          <w:kern w:val="24"/>
        </w:rPr>
        <w:t xml:space="preserve"> </w:t>
      </w:r>
      <w:r w:rsidR="005C5D4E" w:rsidRPr="00FE2BBD">
        <w:rPr>
          <w:rFonts w:eastAsia="+mn-ea"/>
          <w:bCs/>
          <w:i/>
          <w:iCs/>
          <w:kern w:val="24"/>
        </w:rPr>
        <w:t>Economic Development Quarterly</w:t>
      </w:r>
      <w:r w:rsidR="005C5D4E" w:rsidRPr="00D80CB2">
        <w:rPr>
          <w:rFonts w:eastAsia="+mn-ea"/>
          <w:bCs/>
          <w:kern w:val="24"/>
        </w:rPr>
        <w:t xml:space="preserve"> 15(1):</w:t>
      </w:r>
      <w:r w:rsidR="004768A7">
        <w:rPr>
          <w:rFonts w:eastAsia="+mn-ea"/>
          <w:bCs/>
          <w:kern w:val="24"/>
        </w:rPr>
        <w:t xml:space="preserve"> </w:t>
      </w:r>
      <w:r w:rsidR="005C5D4E" w:rsidRPr="00D80CB2">
        <w:rPr>
          <w:rFonts w:eastAsia="+mn-ea"/>
          <w:bCs/>
          <w:kern w:val="24"/>
        </w:rPr>
        <w:t>21</w:t>
      </w:r>
      <w:r w:rsidR="005C5D4E" w:rsidRPr="00D80CB2">
        <w:t>–</w:t>
      </w:r>
      <w:r w:rsidR="005C5D4E" w:rsidRPr="00D80CB2">
        <w:rPr>
          <w:rFonts w:eastAsia="+mn-ea"/>
          <w:bCs/>
          <w:kern w:val="24"/>
        </w:rPr>
        <w:t>35.</w:t>
      </w:r>
    </w:p>
    <w:p w14:paraId="3966B4DA" w14:textId="77777777" w:rsidR="00B17705" w:rsidRDefault="00B17705" w:rsidP="00181ACD">
      <w:pPr>
        <w:spacing w:after="0"/>
        <w:ind w:left="720" w:hanging="720"/>
      </w:pPr>
    </w:p>
    <w:p w14:paraId="09171705" w14:textId="0F8FF4F5" w:rsidR="005C5D4E" w:rsidRPr="00710363" w:rsidRDefault="005C5D4E" w:rsidP="00181ACD">
      <w:pPr>
        <w:spacing w:after="0"/>
        <w:ind w:left="720" w:hanging="720"/>
      </w:pPr>
      <w:r w:rsidRPr="00710363">
        <w:t>Luce, Jr., Thomas F.</w:t>
      </w:r>
      <w:r w:rsidR="009E3CC8">
        <w:t xml:space="preserve"> </w:t>
      </w:r>
      <w:r w:rsidRPr="00710363">
        <w:t xml:space="preserve">1994. </w:t>
      </w:r>
      <w:r w:rsidR="00CC55FD">
        <w:t>“</w:t>
      </w:r>
      <w:r w:rsidRPr="00710363">
        <w:t xml:space="preserve">Local </w:t>
      </w:r>
      <w:r w:rsidR="00CC55FD" w:rsidRPr="00710363">
        <w:t xml:space="preserve">Taxes, Public Services, </w:t>
      </w:r>
      <w:r w:rsidR="00CC55FD">
        <w:t>a</w:t>
      </w:r>
      <w:r w:rsidR="00CC55FD" w:rsidRPr="00710363">
        <w:t xml:space="preserve">nd </w:t>
      </w:r>
      <w:r w:rsidR="00CC55FD">
        <w:t>t</w:t>
      </w:r>
      <w:r w:rsidR="00CC55FD" w:rsidRPr="00710363">
        <w:t xml:space="preserve">he Intrametropolitan Location </w:t>
      </w:r>
      <w:r w:rsidR="00CC55FD">
        <w:t>o</w:t>
      </w:r>
      <w:r w:rsidR="00CC55FD" w:rsidRPr="00710363">
        <w:t xml:space="preserve">f Firms </w:t>
      </w:r>
      <w:r w:rsidR="00CC55FD">
        <w:t>a</w:t>
      </w:r>
      <w:r w:rsidR="00CC55FD" w:rsidRPr="00710363">
        <w:t>nd Households</w:t>
      </w:r>
      <w:r w:rsidRPr="00710363">
        <w:t>.</w:t>
      </w:r>
      <w:r w:rsidR="00CC55FD">
        <w:t>”</w:t>
      </w:r>
      <w:r w:rsidRPr="00710363">
        <w:t xml:space="preserve"> </w:t>
      </w:r>
      <w:r w:rsidRPr="00710363">
        <w:rPr>
          <w:i/>
        </w:rPr>
        <w:t>Public Finance Quarterly</w:t>
      </w:r>
      <w:r w:rsidRPr="00710363">
        <w:t xml:space="preserve"> 22(2):</w:t>
      </w:r>
      <w:r w:rsidR="004768A7">
        <w:t xml:space="preserve"> </w:t>
      </w:r>
      <w:r w:rsidRPr="00710363">
        <w:t>139–167.</w:t>
      </w:r>
    </w:p>
    <w:p w14:paraId="3434E537" w14:textId="77777777" w:rsidR="00B17705" w:rsidRDefault="00B17705" w:rsidP="00181ACD">
      <w:pPr>
        <w:spacing w:after="0"/>
        <w:ind w:left="720" w:hanging="720"/>
      </w:pPr>
    </w:p>
    <w:p w14:paraId="6B149101" w14:textId="17B898B7" w:rsidR="005C5D4E" w:rsidRPr="00710363" w:rsidRDefault="005C5D4E" w:rsidP="00181ACD">
      <w:pPr>
        <w:spacing w:after="0"/>
        <w:ind w:left="720" w:hanging="720"/>
      </w:pPr>
      <w:r w:rsidRPr="00710363">
        <w:t xml:space="preserve">Mikesell, John L. 1970. </w:t>
      </w:r>
      <w:r w:rsidR="00CC55FD">
        <w:t>“</w:t>
      </w:r>
      <w:r w:rsidRPr="00710363">
        <w:t xml:space="preserve">Central </w:t>
      </w:r>
      <w:r w:rsidR="00CC55FD">
        <w:t>Cities a</w:t>
      </w:r>
      <w:r w:rsidR="00CC55FD" w:rsidRPr="00710363">
        <w:t xml:space="preserve">nd Sales Tax Rate Differentials: </w:t>
      </w:r>
      <w:r w:rsidRPr="00710363">
        <w:t xml:space="preserve">The </w:t>
      </w:r>
      <w:r w:rsidR="00CC55FD" w:rsidRPr="00710363">
        <w:t>Border City Problem</w:t>
      </w:r>
      <w:r w:rsidRPr="00710363">
        <w:t>.</w:t>
      </w:r>
      <w:r w:rsidR="00CC55FD">
        <w:t>”</w:t>
      </w:r>
      <w:r w:rsidRPr="00710363">
        <w:t xml:space="preserve"> </w:t>
      </w:r>
      <w:r w:rsidRPr="00710363">
        <w:rPr>
          <w:i/>
          <w:iCs/>
        </w:rPr>
        <w:t xml:space="preserve">National Tax Journal </w:t>
      </w:r>
      <w:r w:rsidRPr="00710363">
        <w:t>23:</w:t>
      </w:r>
      <w:r w:rsidR="004768A7">
        <w:t xml:space="preserve"> </w:t>
      </w:r>
      <w:r w:rsidRPr="00710363">
        <w:t>206–214.</w:t>
      </w:r>
    </w:p>
    <w:p w14:paraId="6C4A3689" w14:textId="77777777" w:rsidR="00B17705" w:rsidRDefault="00B17705" w:rsidP="00181ACD">
      <w:pPr>
        <w:spacing w:after="0"/>
        <w:ind w:left="720" w:hanging="720"/>
      </w:pPr>
    </w:p>
    <w:p w14:paraId="5178AD9A" w14:textId="43031C3C" w:rsidR="005C5D4E" w:rsidRPr="00710363" w:rsidRDefault="005C5D4E" w:rsidP="00181ACD">
      <w:pPr>
        <w:spacing w:after="0"/>
        <w:ind w:left="720" w:hanging="720"/>
      </w:pPr>
      <w:r w:rsidRPr="00710363">
        <w:t>Mikesell, John</w:t>
      </w:r>
      <w:r w:rsidR="00B92C15">
        <w:t xml:space="preserve"> </w:t>
      </w:r>
      <w:r w:rsidRPr="00710363">
        <w:t>L., and C.</w:t>
      </w:r>
      <w:r w:rsidR="00B92C15">
        <w:t xml:space="preserve"> </w:t>
      </w:r>
      <w:r w:rsidRPr="00710363">
        <w:t>Kurt Zorn</w:t>
      </w:r>
      <w:r w:rsidR="004768A7">
        <w:t>.</w:t>
      </w:r>
      <w:r w:rsidR="009E3CC8">
        <w:t xml:space="preserve"> </w:t>
      </w:r>
      <w:r w:rsidRPr="00710363">
        <w:t xml:space="preserve">1986. </w:t>
      </w:r>
      <w:r w:rsidR="00557A18">
        <w:t>“</w:t>
      </w:r>
      <w:r w:rsidRPr="00710363">
        <w:t xml:space="preserve">Impact </w:t>
      </w:r>
      <w:r w:rsidR="00CC55FD">
        <w:t>o</w:t>
      </w:r>
      <w:r w:rsidR="00CC55FD" w:rsidRPr="00710363">
        <w:t xml:space="preserve">f </w:t>
      </w:r>
      <w:r w:rsidR="00CC55FD">
        <w:t>t</w:t>
      </w:r>
      <w:r w:rsidR="00CC55FD" w:rsidRPr="00710363">
        <w:t xml:space="preserve">he Sales Tax Rate </w:t>
      </w:r>
      <w:r w:rsidR="00557A18">
        <w:t>on I</w:t>
      </w:r>
      <w:r w:rsidR="00CC55FD" w:rsidRPr="00710363">
        <w:t xml:space="preserve">ts Base: </w:t>
      </w:r>
      <w:r w:rsidRPr="00710363">
        <w:t xml:space="preserve">Evidence </w:t>
      </w:r>
      <w:r w:rsidR="00CC55FD" w:rsidRPr="00710363">
        <w:t xml:space="preserve">From </w:t>
      </w:r>
      <w:r w:rsidR="00CC55FD">
        <w:t>a</w:t>
      </w:r>
      <w:r w:rsidR="00CC55FD" w:rsidRPr="00710363">
        <w:t xml:space="preserve"> Small Town.</w:t>
      </w:r>
      <w:r w:rsidR="00557A18">
        <w:t>”</w:t>
      </w:r>
      <w:r w:rsidR="00CC55FD" w:rsidRPr="00710363">
        <w:t xml:space="preserve"> </w:t>
      </w:r>
      <w:r w:rsidRPr="00710363">
        <w:rPr>
          <w:i/>
          <w:iCs/>
        </w:rPr>
        <w:t xml:space="preserve">Public Finance Quarterly </w:t>
      </w:r>
      <w:r w:rsidRPr="00710363">
        <w:t>14(3):</w:t>
      </w:r>
      <w:r w:rsidR="004768A7">
        <w:t xml:space="preserve"> </w:t>
      </w:r>
      <w:r w:rsidRPr="00710363">
        <w:t>329–338.</w:t>
      </w:r>
    </w:p>
    <w:p w14:paraId="761B1183" w14:textId="77777777" w:rsidR="00B17705" w:rsidRDefault="00B17705" w:rsidP="00181ACD">
      <w:pPr>
        <w:spacing w:after="0"/>
        <w:ind w:left="720" w:hanging="720"/>
      </w:pPr>
    </w:p>
    <w:p w14:paraId="1DA8BEEB" w14:textId="30DA6D1F" w:rsidR="005C5D4E" w:rsidRDefault="005C5D4E" w:rsidP="00181ACD">
      <w:pPr>
        <w:spacing w:after="0"/>
        <w:ind w:left="720" w:hanging="720"/>
      </w:pPr>
      <w:r w:rsidRPr="00710363">
        <w:t>Misiolek, Walter and D. Grady Perdue</w:t>
      </w:r>
      <w:r w:rsidR="004768A7">
        <w:t>.</w:t>
      </w:r>
      <w:r w:rsidR="009E3CC8">
        <w:t xml:space="preserve"> </w:t>
      </w:r>
      <w:r w:rsidRPr="00710363">
        <w:t xml:space="preserve">1987. </w:t>
      </w:r>
      <w:r w:rsidR="00CC55FD">
        <w:t>“</w:t>
      </w:r>
      <w:r w:rsidRPr="00710363">
        <w:t xml:space="preserve">The </w:t>
      </w:r>
      <w:r w:rsidR="00CC55FD" w:rsidRPr="00710363">
        <w:t xml:space="preserve">Portfolio Approach </w:t>
      </w:r>
      <w:r w:rsidR="00CC55FD">
        <w:t>t</w:t>
      </w:r>
      <w:r w:rsidR="00CC55FD" w:rsidRPr="00710363">
        <w:t xml:space="preserve">o State </w:t>
      </w:r>
      <w:r w:rsidR="00CC55FD">
        <w:t xml:space="preserve">and Local Tax Structure.” </w:t>
      </w:r>
      <w:r w:rsidRPr="00710363">
        <w:rPr>
          <w:i/>
        </w:rPr>
        <w:t>National Tax Journal</w:t>
      </w:r>
      <w:r w:rsidRPr="00710363">
        <w:t xml:space="preserve"> 40(1):</w:t>
      </w:r>
      <w:r w:rsidR="004768A7">
        <w:t xml:space="preserve"> </w:t>
      </w:r>
      <w:r w:rsidRPr="00710363">
        <w:t>111–114.</w:t>
      </w:r>
    </w:p>
    <w:p w14:paraId="077BD697" w14:textId="77777777" w:rsidR="00B17705" w:rsidRDefault="00B17705" w:rsidP="00181ACD">
      <w:pPr>
        <w:spacing w:after="0"/>
        <w:ind w:left="720" w:hanging="720"/>
      </w:pPr>
    </w:p>
    <w:p w14:paraId="6631784B" w14:textId="469918A0" w:rsidR="00090EF8" w:rsidRDefault="00090EF8" w:rsidP="00181ACD">
      <w:pPr>
        <w:spacing w:after="0"/>
        <w:ind w:left="720" w:hanging="720"/>
      </w:pPr>
      <w:r>
        <w:t>Neenan, William</w:t>
      </w:r>
      <w:r w:rsidR="00DC2A67">
        <w:t xml:space="preserve"> B. 1970</w:t>
      </w:r>
      <w:r>
        <w:t>.</w:t>
      </w:r>
      <w:r w:rsidR="00DC2A67">
        <w:t xml:space="preserve"> “Suburban-Central City Exploitation Thesis: One City’s Tale.” </w:t>
      </w:r>
      <w:r w:rsidR="00DC2A67" w:rsidRPr="00DC2A67">
        <w:rPr>
          <w:i/>
        </w:rPr>
        <w:t>National Tax Journal</w:t>
      </w:r>
      <w:r w:rsidR="00DC2A67">
        <w:t xml:space="preserve"> 23(2):</w:t>
      </w:r>
      <w:r w:rsidR="004768A7">
        <w:t xml:space="preserve"> </w:t>
      </w:r>
      <w:r w:rsidR="00DC2A67">
        <w:t>117-139.</w:t>
      </w:r>
      <w:r>
        <w:t xml:space="preserve"> </w:t>
      </w:r>
    </w:p>
    <w:p w14:paraId="34E4060B" w14:textId="77777777" w:rsidR="00B17705" w:rsidRDefault="00B17705" w:rsidP="00181ACD">
      <w:pPr>
        <w:spacing w:after="0"/>
        <w:ind w:left="720" w:hanging="720"/>
      </w:pPr>
    </w:p>
    <w:p w14:paraId="7D725F9E" w14:textId="1D3016CA" w:rsidR="00090EF8" w:rsidRDefault="00090EF8" w:rsidP="00181ACD">
      <w:pPr>
        <w:spacing w:after="0"/>
        <w:ind w:left="720" w:hanging="720"/>
      </w:pPr>
      <w:r w:rsidRPr="004E442F">
        <w:t>Nelson, Arthur C.</w:t>
      </w:r>
      <w:r>
        <w:t>,</w:t>
      </w:r>
      <w:r w:rsidRPr="004E442F">
        <w:t xml:space="preserve"> and Mitch Moody. 2003. </w:t>
      </w:r>
      <w:r w:rsidR="004768A7">
        <w:t>“</w:t>
      </w:r>
      <w:r w:rsidRPr="004E442F">
        <w:t xml:space="preserve">Paying for </w:t>
      </w:r>
      <w:r w:rsidR="004768A7">
        <w:t>P</w:t>
      </w:r>
      <w:r w:rsidRPr="004E442F">
        <w:t xml:space="preserve">rosperity: Impact </w:t>
      </w:r>
      <w:r w:rsidR="004768A7">
        <w:t>F</w:t>
      </w:r>
      <w:r w:rsidRPr="004E442F">
        <w:t xml:space="preserve">ees and </w:t>
      </w:r>
      <w:r w:rsidR="004768A7">
        <w:t>J</w:t>
      </w:r>
      <w:r w:rsidRPr="004E442F">
        <w:t xml:space="preserve">ob </w:t>
      </w:r>
      <w:r w:rsidR="004768A7">
        <w:t>G</w:t>
      </w:r>
      <w:r w:rsidRPr="004E442F">
        <w:t>rowth. The Brookings Institution Center on Urban and Metropolitan Policy.</w:t>
      </w:r>
    </w:p>
    <w:p w14:paraId="2AC8ADC3" w14:textId="77777777" w:rsidR="00B17705" w:rsidRDefault="00B17705" w:rsidP="00181ACD">
      <w:pPr>
        <w:spacing w:after="0"/>
        <w:ind w:left="720" w:hanging="720"/>
      </w:pPr>
    </w:p>
    <w:p w14:paraId="3CAC417A" w14:textId="4892E68E" w:rsidR="00B17705" w:rsidRDefault="00B17705" w:rsidP="00181ACD">
      <w:pPr>
        <w:spacing w:after="0"/>
        <w:ind w:left="720" w:hanging="720"/>
      </w:pPr>
      <w:r>
        <w:t xml:space="preserve">Program Review and Investigations Committee. 2006. </w:t>
      </w:r>
      <w:r w:rsidRPr="00892777">
        <w:rPr>
          <w:i/>
        </w:rPr>
        <w:t>Connecticut</w:t>
      </w:r>
      <w:r>
        <w:rPr>
          <w:i/>
        </w:rPr>
        <w:t>’s</w:t>
      </w:r>
      <w:r w:rsidRPr="00892777">
        <w:rPr>
          <w:i/>
        </w:rPr>
        <w:t xml:space="preserve"> Tax System</w:t>
      </w:r>
      <w:r>
        <w:t xml:space="preserve"> </w:t>
      </w:r>
      <w:hyperlink r:id="rId26" w:history="1">
        <w:r w:rsidRPr="00DC2FFF">
          <w:rPr>
            <w:rStyle w:val="Hyperlink"/>
          </w:rPr>
          <w:t>https://www.cga.ct.gov/2005/pridata/Studies/pdf/CT_Tax_System_Final_Report.pdf</w:t>
        </w:r>
      </w:hyperlink>
    </w:p>
    <w:p w14:paraId="6FBEDC8A" w14:textId="77777777" w:rsidR="00B17705" w:rsidRDefault="00B17705" w:rsidP="00181ACD">
      <w:pPr>
        <w:widowControl w:val="0"/>
        <w:autoSpaceDE w:val="0"/>
        <w:autoSpaceDN w:val="0"/>
        <w:adjustRightInd w:val="0"/>
        <w:spacing w:after="0"/>
        <w:ind w:left="720" w:hanging="720"/>
      </w:pPr>
    </w:p>
    <w:p w14:paraId="3ACBD795" w14:textId="0F1C86DC" w:rsidR="006857FC" w:rsidRDefault="006857FC" w:rsidP="00181ACD">
      <w:pPr>
        <w:widowControl w:val="0"/>
        <w:autoSpaceDE w:val="0"/>
        <w:autoSpaceDN w:val="0"/>
        <w:adjustRightInd w:val="0"/>
        <w:spacing w:after="0"/>
        <w:ind w:left="720" w:hanging="720"/>
      </w:pPr>
      <w:r>
        <w:t>Ross, Justin M. and Phuong Nguyen-Hoang</w:t>
      </w:r>
      <w:r w:rsidR="004768A7">
        <w:t>.</w:t>
      </w:r>
      <w:r>
        <w:t xml:space="preserve"> 2013. “School District Income Taxes: New Revenue or a Property Tax Substitute?” </w:t>
      </w:r>
      <w:r w:rsidRPr="006857FC">
        <w:rPr>
          <w:i/>
        </w:rPr>
        <w:t>Public Budgeting and Finance</w:t>
      </w:r>
      <w:r>
        <w:t xml:space="preserve"> 33(2): 19-40.</w:t>
      </w:r>
    </w:p>
    <w:p w14:paraId="081F9E03" w14:textId="77777777" w:rsidR="00B17705" w:rsidRDefault="00B17705" w:rsidP="00181ACD">
      <w:pPr>
        <w:spacing w:after="0"/>
        <w:ind w:left="720" w:hanging="720"/>
      </w:pPr>
    </w:p>
    <w:p w14:paraId="1A230539" w14:textId="65EBA4A6" w:rsidR="00877743" w:rsidRPr="005F0EA2" w:rsidRDefault="00877743" w:rsidP="00181ACD">
      <w:pPr>
        <w:spacing w:after="0"/>
        <w:ind w:left="720" w:hanging="720"/>
      </w:pPr>
      <w:r w:rsidRPr="005F0EA2">
        <w:t xml:space="preserve">Shields, Martin, and David Shideler. 2003. Do </w:t>
      </w:r>
      <w:r w:rsidR="004768A7">
        <w:t>C</w:t>
      </w:r>
      <w:r w:rsidRPr="005F0EA2">
        <w:t xml:space="preserve">ommuters </w:t>
      </w:r>
      <w:r w:rsidR="004768A7">
        <w:t>F</w:t>
      </w:r>
      <w:r w:rsidRPr="005F0EA2">
        <w:t xml:space="preserve">ree-ride? Estimating the </w:t>
      </w:r>
      <w:r w:rsidR="004768A7">
        <w:t>I</w:t>
      </w:r>
      <w:r w:rsidRPr="005F0EA2">
        <w:t xml:space="preserve">mpacts of </w:t>
      </w:r>
      <w:r w:rsidR="004768A7">
        <w:t>I</w:t>
      </w:r>
      <w:r w:rsidRPr="005F0EA2">
        <w:t xml:space="preserve">nterjurisdictional </w:t>
      </w:r>
      <w:r w:rsidR="004768A7">
        <w:t>C</w:t>
      </w:r>
      <w:r w:rsidRPr="005F0EA2">
        <w:t xml:space="preserve">ommuting on </w:t>
      </w:r>
      <w:r w:rsidR="004768A7">
        <w:t>L</w:t>
      </w:r>
      <w:r w:rsidRPr="005F0EA2">
        <w:t xml:space="preserve">ocal </w:t>
      </w:r>
      <w:r w:rsidR="004768A7">
        <w:t>P</w:t>
      </w:r>
      <w:r w:rsidRPr="005F0EA2">
        <w:t xml:space="preserve">ublic </w:t>
      </w:r>
      <w:r w:rsidR="004768A7">
        <w:t>Goods E</w:t>
      </w:r>
      <w:r w:rsidRPr="005F0EA2">
        <w:t xml:space="preserve">xpenditures. </w:t>
      </w:r>
      <w:r w:rsidRPr="005F0EA2">
        <w:rPr>
          <w:i/>
        </w:rPr>
        <w:t xml:space="preserve">Journal of Regional Analysis </w:t>
      </w:r>
      <w:r>
        <w:rPr>
          <w:i/>
        </w:rPr>
        <w:t>and</w:t>
      </w:r>
      <w:r w:rsidRPr="005F0EA2">
        <w:rPr>
          <w:i/>
        </w:rPr>
        <w:t xml:space="preserve"> Policy</w:t>
      </w:r>
      <w:r w:rsidRPr="005F0EA2">
        <w:t xml:space="preserve"> 33(1):</w:t>
      </w:r>
      <w:r w:rsidR="004768A7">
        <w:t xml:space="preserve"> </w:t>
      </w:r>
      <w:r w:rsidRPr="005F0EA2">
        <w:t>27–42.</w:t>
      </w:r>
    </w:p>
    <w:p w14:paraId="3FFD8094" w14:textId="77777777" w:rsidR="00B17705" w:rsidRDefault="00B17705" w:rsidP="00181ACD">
      <w:pPr>
        <w:widowControl w:val="0"/>
        <w:autoSpaceDE w:val="0"/>
        <w:autoSpaceDN w:val="0"/>
        <w:adjustRightInd w:val="0"/>
        <w:spacing w:after="0"/>
        <w:ind w:left="720" w:hanging="720"/>
      </w:pPr>
    </w:p>
    <w:p w14:paraId="3E994CC5" w14:textId="0C3325C5" w:rsidR="00877743" w:rsidRPr="00710363" w:rsidRDefault="00877743" w:rsidP="00181ACD">
      <w:pPr>
        <w:widowControl w:val="0"/>
        <w:autoSpaceDE w:val="0"/>
        <w:autoSpaceDN w:val="0"/>
        <w:adjustRightInd w:val="0"/>
        <w:spacing w:after="0"/>
        <w:ind w:left="720" w:hanging="720"/>
      </w:pPr>
      <w:r>
        <w:t xml:space="preserve">Sjoquist, David L. and Rayna Stoycheva. 2012. “Local Revenue Diversification: User Charges, Sales Taxes, and Income Taxes.” In Robert D. Ebel and John E. Petersen (eds), </w:t>
      </w:r>
      <w:r w:rsidRPr="004768A7">
        <w:rPr>
          <w:i/>
        </w:rPr>
        <w:t>The Oxford Handbook of State and Local Government Finance</w:t>
      </w:r>
      <w:r>
        <w:t xml:space="preserve">, </w:t>
      </w:r>
      <w:r w:rsidR="00E61817">
        <w:t xml:space="preserve">429-462. </w:t>
      </w:r>
      <w:r>
        <w:t>New Yo</w:t>
      </w:r>
      <w:r w:rsidR="00E61817">
        <w:t>rk: Oxford University Press.</w:t>
      </w:r>
    </w:p>
    <w:p w14:paraId="7B3A7D09" w14:textId="77777777" w:rsidR="00B17705" w:rsidRDefault="00B17705" w:rsidP="00181ACD">
      <w:pPr>
        <w:pStyle w:val="NormalWeb"/>
        <w:spacing w:before="0" w:beforeAutospacing="0" w:after="0" w:afterAutospacing="0" w:line="276" w:lineRule="auto"/>
        <w:ind w:left="720" w:hanging="720"/>
        <w:textAlignment w:val="baseline"/>
        <w:rPr>
          <w:rFonts w:eastAsia="+mn-ea"/>
          <w:bCs/>
          <w:kern w:val="24"/>
        </w:rPr>
      </w:pPr>
    </w:p>
    <w:p w14:paraId="384427E9" w14:textId="49F95BCA" w:rsidR="005C5D4E" w:rsidRPr="00710363" w:rsidRDefault="005C5D4E" w:rsidP="00181ACD">
      <w:pPr>
        <w:pStyle w:val="NormalWeb"/>
        <w:spacing w:before="0" w:beforeAutospacing="0" w:after="0" w:afterAutospacing="0" w:line="276" w:lineRule="auto"/>
        <w:ind w:left="720" w:hanging="720"/>
        <w:textAlignment w:val="baseline"/>
        <w:rPr>
          <w:rFonts w:eastAsia="+mn-ea"/>
          <w:bCs/>
          <w:kern w:val="24"/>
        </w:rPr>
      </w:pPr>
      <w:r w:rsidRPr="00BF4B40">
        <w:rPr>
          <w:rFonts w:eastAsia="+mn-ea"/>
          <w:bCs/>
          <w:kern w:val="24"/>
        </w:rPr>
        <w:t>Sjoquist, David L., Mary Beth Walker, and Sally Wallace</w:t>
      </w:r>
      <w:r w:rsidR="002F5FBC">
        <w:rPr>
          <w:rFonts w:eastAsia="+mn-ea"/>
          <w:bCs/>
          <w:kern w:val="24"/>
        </w:rPr>
        <w:t>.</w:t>
      </w:r>
      <w:r w:rsidR="009E3CC8">
        <w:rPr>
          <w:rFonts w:eastAsia="+mn-ea"/>
          <w:bCs/>
          <w:kern w:val="24"/>
        </w:rPr>
        <w:t xml:space="preserve"> </w:t>
      </w:r>
      <w:r w:rsidRPr="00A81DBD">
        <w:rPr>
          <w:rFonts w:eastAsia="+mn-ea"/>
          <w:bCs/>
          <w:kern w:val="24"/>
        </w:rPr>
        <w:t xml:space="preserve">2005. </w:t>
      </w:r>
      <w:r w:rsidR="00CC55FD">
        <w:rPr>
          <w:rFonts w:eastAsia="+mn-ea"/>
          <w:bCs/>
          <w:kern w:val="24"/>
        </w:rPr>
        <w:t>“</w:t>
      </w:r>
      <w:r w:rsidRPr="00A81DBD">
        <w:rPr>
          <w:rFonts w:eastAsia="+mn-ea"/>
          <w:bCs/>
          <w:kern w:val="24"/>
        </w:rPr>
        <w:t xml:space="preserve">Estimating </w:t>
      </w:r>
      <w:r w:rsidR="00CC55FD">
        <w:rPr>
          <w:rFonts w:eastAsia="+mn-ea"/>
          <w:bCs/>
          <w:kern w:val="24"/>
        </w:rPr>
        <w:t>Differential Responses t</w:t>
      </w:r>
      <w:r w:rsidR="00CC55FD" w:rsidRPr="00A81DBD">
        <w:rPr>
          <w:rFonts w:eastAsia="+mn-ea"/>
          <w:bCs/>
          <w:kern w:val="24"/>
        </w:rPr>
        <w:t xml:space="preserve">o Local Fiscal Conditions: </w:t>
      </w:r>
      <w:r w:rsidRPr="00A81DBD">
        <w:rPr>
          <w:rFonts w:eastAsia="+mn-ea"/>
          <w:bCs/>
          <w:kern w:val="24"/>
        </w:rPr>
        <w:t xml:space="preserve">A </w:t>
      </w:r>
      <w:r w:rsidR="00CC55FD" w:rsidRPr="00A81DBD">
        <w:rPr>
          <w:rFonts w:eastAsia="+mn-ea"/>
          <w:bCs/>
          <w:kern w:val="24"/>
        </w:rPr>
        <w:t>Mixture Model Analysis</w:t>
      </w:r>
      <w:r w:rsidRPr="00A81DBD">
        <w:rPr>
          <w:rFonts w:eastAsia="+mn-ea"/>
          <w:bCs/>
          <w:kern w:val="24"/>
        </w:rPr>
        <w:t>.</w:t>
      </w:r>
      <w:r w:rsidR="00CC55FD">
        <w:rPr>
          <w:rFonts w:eastAsia="+mn-ea"/>
          <w:bCs/>
          <w:kern w:val="24"/>
        </w:rPr>
        <w:t>”</w:t>
      </w:r>
      <w:r w:rsidRPr="00A81DBD">
        <w:rPr>
          <w:rFonts w:eastAsia="+mn-ea"/>
          <w:bCs/>
          <w:kern w:val="24"/>
        </w:rPr>
        <w:t xml:space="preserve"> </w:t>
      </w:r>
      <w:r w:rsidRPr="00FE2BBD">
        <w:rPr>
          <w:rFonts w:eastAsia="+mn-ea"/>
          <w:bCs/>
          <w:i/>
          <w:iCs/>
          <w:kern w:val="24"/>
        </w:rPr>
        <w:t>Public Finance Review</w:t>
      </w:r>
      <w:r w:rsidRPr="00D80CB2">
        <w:rPr>
          <w:rFonts w:eastAsia="+mn-ea"/>
          <w:bCs/>
          <w:kern w:val="24"/>
        </w:rPr>
        <w:t xml:space="preserve"> 33(1):</w:t>
      </w:r>
      <w:r w:rsidR="002F5FBC">
        <w:rPr>
          <w:rFonts w:eastAsia="+mn-ea"/>
          <w:bCs/>
          <w:kern w:val="24"/>
        </w:rPr>
        <w:t xml:space="preserve"> </w:t>
      </w:r>
      <w:r w:rsidRPr="00D80CB2">
        <w:rPr>
          <w:rFonts w:eastAsia="+mn-ea"/>
          <w:bCs/>
          <w:kern w:val="24"/>
        </w:rPr>
        <w:t>36</w:t>
      </w:r>
      <w:r w:rsidRPr="00D80CB2">
        <w:t>–</w:t>
      </w:r>
      <w:r w:rsidRPr="00A87A4B">
        <w:rPr>
          <w:rFonts w:eastAsia="+mn-ea"/>
          <w:bCs/>
          <w:kern w:val="24"/>
        </w:rPr>
        <w:t>61.</w:t>
      </w:r>
    </w:p>
    <w:p w14:paraId="0DDBC938" w14:textId="77777777" w:rsidR="00B17705" w:rsidRDefault="00B17705" w:rsidP="00181ACD">
      <w:pPr>
        <w:pStyle w:val="NormalWeb"/>
        <w:spacing w:before="0" w:beforeAutospacing="0" w:after="0" w:afterAutospacing="0" w:line="276" w:lineRule="auto"/>
        <w:ind w:left="720" w:hanging="720"/>
        <w:textAlignment w:val="baseline"/>
        <w:rPr>
          <w:rFonts w:eastAsia="+mn-ea"/>
          <w:bCs/>
          <w:kern w:val="24"/>
        </w:rPr>
      </w:pPr>
    </w:p>
    <w:p w14:paraId="29BBF1A8" w14:textId="213CBB94" w:rsidR="005C5D4E" w:rsidRDefault="005C5D4E" w:rsidP="00181ACD">
      <w:pPr>
        <w:pStyle w:val="NormalWeb"/>
        <w:spacing w:before="0" w:beforeAutospacing="0" w:after="0" w:afterAutospacing="0" w:line="276" w:lineRule="auto"/>
        <w:ind w:left="720" w:hanging="720"/>
        <w:textAlignment w:val="baseline"/>
        <w:rPr>
          <w:rFonts w:eastAsia="+mn-ea"/>
          <w:bCs/>
          <w:kern w:val="24"/>
        </w:rPr>
      </w:pPr>
      <w:r w:rsidRPr="00BF4B40">
        <w:rPr>
          <w:rFonts w:eastAsia="+mn-ea"/>
          <w:bCs/>
          <w:kern w:val="24"/>
        </w:rPr>
        <w:lastRenderedPageBreak/>
        <w:t>Sjoquist, David L., Sally Wallace, and Barbara Edwards</w:t>
      </w:r>
      <w:r w:rsidR="002F5FBC">
        <w:rPr>
          <w:rFonts w:eastAsia="+mn-ea"/>
          <w:bCs/>
          <w:kern w:val="24"/>
        </w:rPr>
        <w:t>.</w:t>
      </w:r>
      <w:r w:rsidR="009E3CC8">
        <w:rPr>
          <w:rFonts w:eastAsia="+mn-ea"/>
          <w:bCs/>
          <w:kern w:val="24"/>
        </w:rPr>
        <w:t xml:space="preserve"> </w:t>
      </w:r>
      <w:r w:rsidRPr="00BF4B40">
        <w:rPr>
          <w:rFonts w:eastAsia="+mn-ea"/>
          <w:bCs/>
          <w:kern w:val="24"/>
        </w:rPr>
        <w:t>2004</w:t>
      </w:r>
      <w:r w:rsidR="002F5FBC">
        <w:rPr>
          <w:rFonts w:eastAsia="+mn-ea"/>
          <w:bCs/>
          <w:kern w:val="24"/>
        </w:rPr>
        <w:t>.</w:t>
      </w:r>
      <w:r w:rsidRPr="00BF4B40">
        <w:rPr>
          <w:rFonts w:eastAsia="+mn-ea"/>
          <w:bCs/>
          <w:kern w:val="24"/>
        </w:rPr>
        <w:t xml:space="preserve"> </w:t>
      </w:r>
      <w:r w:rsidR="00CC55FD">
        <w:rPr>
          <w:rFonts w:eastAsia="+mn-ea"/>
          <w:bCs/>
          <w:kern w:val="24"/>
        </w:rPr>
        <w:t>“</w:t>
      </w:r>
      <w:r w:rsidRPr="00BF4B40">
        <w:rPr>
          <w:rFonts w:eastAsia="+mn-ea"/>
          <w:bCs/>
          <w:kern w:val="24"/>
        </w:rPr>
        <w:t xml:space="preserve">What </w:t>
      </w:r>
      <w:r w:rsidR="00CC55FD">
        <w:rPr>
          <w:rFonts w:eastAsia="+mn-ea"/>
          <w:bCs/>
          <w:kern w:val="24"/>
        </w:rPr>
        <w:t>a</w:t>
      </w:r>
      <w:r w:rsidR="00CC55FD" w:rsidRPr="00BF4B40">
        <w:rPr>
          <w:rFonts w:eastAsia="+mn-ea"/>
          <w:bCs/>
          <w:kern w:val="24"/>
        </w:rPr>
        <w:t xml:space="preserve"> Tangled Web: </w:t>
      </w:r>
      <w:r w:rsidRPr="00BF4B40">
        <w:rPr>
          <w:rFonts w:eastAsia="+mn-ea"/>
          <w:bCs/>
          <w:kern w:val="24"/>
        </w:rPr>
        <w:t xml:space="preserve">Local </w:t>
      </w:r>
      <w:r w:rsidR="00CC55FD">
        <w:rPr>
          <w:rFonts w:eastAsia="+mn-ea"/>
          <w:bCs/>
          <w:kern w:val="24"/>
        </w:rPr>
        <w:t>Property, Income a</w:t>
      </w:r>
      <w:r w:rsidR="00CC55FD" w:rsidRPr="00BF4B40">
        <w:rPr>
          <w:rFonts w:eastAsia="+mn-ea"/>
          <w:bCs/>
          <w:kern w:val="24"/>
        </w:rPr>
        <w:t>nd Sales Taxes</w:t>
      </w:r>
      <w:r w:rsidRPr="00BF4B40">
        <w:rPr>
          <w:rFonts w:eastAsia="+mn-ea"/>
          <w:bCs/>
          <w:kern w:val="24"/>
        </w:rPr>
        <w:t>.</w:t>
      </w:r>
      <w:r w:rsidR="00CC55FD">
        <w:rPr>
          <w:rFonts w:eastAsia="+mn-ea"/>
          <w:bCs/>
          <w:kern w:val="24"/>
        </w:rPr>
        <w:t>”</w:t>
      </w:r>
      <w:r w:rsidRPr="00BF4B40">
        <w:rPr>
          <w:rFonts w:eastAsia="+mn-ea"/>
          <w:bCs/>
          <w:kern w:val="24"/>
        </w:rPr>
        <w:t xml:space="preserve"> In </w:t>
      </w:r>
      <w:r w:rsidR="002F5FBC" w:rsidRPr="00D80CB2">
        <w:rPr>
          <w:rFonts w:eastAsia="+mn-ea"/>
          <w:bCs/>
          <w:kern w:val="24"/>
        </w:rPr>
        <w:t>Amy Ellen Schwartz</w:t>
      </w:r>
      <w:r w:rsidR="002F5FBC">
        <w:rPr>
          <w:rFonts w:eastAsia="+mn-ea"/>
          <w:bCs/>
          <w:kern w:val="24"/>
        </w:rPr>
        <w:t>,</w:t>
      </w:r>
      <w:r w:rsidR="00E61817">
        <w:rPr>
          <w:rFonts w:eastAsia="+mn-ea"/>
          <w:bCs/>
          <w:kern w:val="24"/>
        </w:rPr>
        <w:t xml:space="preserve"> </w:t>
      </w:r>
      <w:r w:rsidR="002F5FBC">
        <w:rPr>
          <w:rFonts w:eastAsia="+mn-ea"/>
          <w:bCs/>
          <w:kern w:val="24"/>
        </w:rPr>
        <w:t>ed.</w:t>
      </w:r>
      <w:r w:rsidR="002F5FBC" w:rsidRPr="00FE2BBD">
        <w:rPr>
          <w:rFonts w:eastAsia="+mn-ea"/>
          <w:bCs/>
          <w:i/>
          <w:iCs/>
          <w:kern w:val="24"/>
        </w:rPr>
        <w:t xml:space="preserve"> </w:t>
      </w:r>
      <w:r w:rsidRPr="00FE2BBD">
        <w:rPr>
          <w:rFonts w:eastAsia="+mn-ea"/>
          <w:bCs/>
          <w:i/>
          <w:iCs/>
          <w:kern w:val="24"/>
        </w:rPr>
        <w:t>City taxes, city spending: Essays in honor of Dick Netzer</w:t>
      </w:r>
      <w:r w:rsidRPr="00D80CB2">
        <w:rPr>
          <w:rFonts w:eastAsia="+mn-ea"/>
          <w:bCs/>
          <w:kern w:val="24"/>
        </w:rPr>
        <w:t>, 42</w:t>
      </w:r>
      <w:r w:rsidRPr="00D80CB2">
        <w:t>–</w:t>
      </w:r>
      <w:r w:rsidRPr="00D80CB2">
        <w:rPr>
          <w:rFonts w:eastAsia="+mn-ea"/>
          <w:bCs/>
          <w:kern w:val="24"/>
        </w:rPr>
        <w:t xml:space="preserve">70. Northampton, MA: Edward Elgar. </w:t>
      </w:r>
    </w:p>
    <w:p w14:paraId="43C32211" w14:textId="77777777" w:rsidR="00B17705" w:rsidRDefault="00B17705" w:rsidP="00181ACD">
      <w:pPr>
        <w:spacing w:after="0"/>
        <w:ind w:left="720" w:hanging="720"/>
        <w:rPr>
          <w:rFonts w:eastAsia="Calibri"/>
          <w:lang w:bidi="ar-SA"/>
        </w:rPr>
      </w:pPr>
    </w:p>
    <w:p w14:paraId="26C7B3CA" w14:textId="026B2385" w:rsidR="00090EF8" w:rsidRDefault="00090EF8" w:rsidP="00181ACD">
      <w:pPr>
        <w:spacing w:after="0"/>
        <w:ind w:left="720" w:hanging="720"/>
        <w:rPr>
          <w:rFonts w:eastAsia="+mn-ea"/>
          <w:bCs/>
          <w:kern w:val="24"/>
        </w:rPr>
      </w:pPr>
      <w:r w:rsidRPr="004E442F">
        <w:rPr>
          <w:rFonts w:eastAsia="Calibri"/>
          <w:lang w:bidi="ar-SA"/>
        </w:rPr>
        <w:t>Snyder, Thomas P.</w:t>
      </w:r>
      <w:r>
        <w:rPr>
          <w:rFonts w:eastAsia="Calibri"/>
          <w:lang w:bidi="ar-SA"/>
        </w:rPr>
        <w:t>,</w:t>
      </w:r>
      <w:r w:rsidRPr="004E442F">
        <w:rPr>
          <w:rFonts w:eastAsia="Calibri"/>
          <w:lang w:bidi="ar-SA"/>
        </w:rPr>
        <w:t xml:space="preserve"> and Michael A. Stegman. 1986. </w:t>
      </w:r>
      <w:r w:rsidRPr="004E442F">
        <w:rPr>
          <w:rFonts w:eastAsia="Calibri"/>
          <w:i/>
          <w:lang w:bidi="ar-SA"/>
        </w:rPr>
        <w:t xml:space="preserve">Paying for </w:t>
      </w:r>
      <w:r w:rsidR="002F5FBC">
        <w:rPr>
          <w:rFonts w:eastAsia="Calibri"/>
          <w:i/>
          <w:lang w:bidi="ar-SA"/>
        </w:rPr>
        <w:t>G</w:t>
      </w:r>
      <w:r w:rsidRPr="004E442F">
        <w:rPr>
          <w:rFonts w:eastAsia="Calibri"/>
          <w:i/>
          <w:lang w:bidi="ar-SA"/>
        </w:rPr>
        <w:t xml:space="preserve">rowth: Using </w:t>
      </w:r>
      <w:r w:rsidR="002F5FBC">
        <w:rPr>
          <w:rFonts w:eastAsia="Calibri"/>
          <w:i/>
          <w:lang w:bidi="ar-SA"/>
        </w:rPr>
        <w:t>D</w:t>
      </w:r>
      <w:r w:rsidRPr="004E442F">
        <w:rPr>
          <w:rFonts w:eastAsia="Calibri"/>
          <w:i/>
          <w:lang w:bidi="ar-SA"/>
        </w:rPr>
        <w:t xml:space="preserve">evelopment </w:t>
      </w:r>
      <w:r w:rsidR="002F5FBC">
        <w:rPr>
          <w:rFonts w:eastAsia="Calibri"/>
          <w:i/>
          <w:lang w:bidi="ar-SA"/>
        </w:rPr>
        <w:t>I</w:t>
      </w:r>
      <w:r w:rsidRPr="004E442F">
        <w:rPr>
          <w:rFonts w:eastAsia="Calibri"/>
          <w:i/>
          <w:lang w:bidi="ar-SA"/>
        </w:rPr>
        <w:t xml:space="preserve">mpact </w:t>
      </w:r>
      <w:r w:rsidR="002F5FBC">
        <w:rPr>
          <w:rFonts w:eastAsia="Calibri"/>
          <w:i/>
          <w:lang w:bidi="ar-SA"/>
        </w:rPr>
        <w:t>F</w:t>
      </w:r>
      <w:r w:rsidRPr="004E442F">
        <w:rPr>
          <w:rFonts w:eastAsia="Calibri"/>
          <w:i/>
          <w:lang w:bidi="ar-SA"/>
        </w:rPr>
        <w:t xml:space="preserve">ees to </w:t>
      </w:r>
      <w:r w:rsidR="002F5FBC">
        <w:rPr>
          <w:rFonts w:eastAsia="Calibri"/>
          <w:i/>
          <w:lang w:bidi="ar-SA"/>
        </w:rPr>
        <w:t>F</w:t>
      </w:r>
      <w:r w:rsidRPr="004E442F">
        <w:rPr>
          <w:rFonts w:eastAsia="Calibri"/>
          <w:i/>
          <w:lang w:bidi="ar-SA"/>
        </w:rPr>
        <w:t xml:space="preserve">inance </w:t>
      </w:r>
      <w:r w:rsidR="002F5FBC">
        <w:rPr>
          <w:rFonts w:eastAsia="Calibri"/>
          <w:i/>
          <w:lang w:bidi="ar-SA"/>
        </w:rPr>
        <w:t>I</w:t>
      </w:r>
      <w:r w:rsidRPr="004E442F">
        <w:rPr>
          <w:rFonts w:eastAsia="Calibri"/>
          <w:i/>
          <w:lang w:bidi="ar-SA"/>
        </w:rPr>
        <w:t>nfrastructure</w:t>
      </w:r>
      <w:r>
        <w:rPr>
          <w:rFonts w:eastAsia="Calibri"/>
          <w:lang w:bidi="ar-SA"/>
        </w:rPr>
        <w:t>. Washington, DC:</w:t>
      </w:r>
      <w:r w:rsidRPr="004E442F">
        <w:rPr>
          <w:rFonts w:eastAsia="Calibri"/>
          <w:lang w:bidi="ar-SA"/>
        </w:rPr>
        <w:t xml:space="preserve"> Urban Land Institute.</w:t>
      </w:r>
    </w:p>
    <w:p w14:paraId="2FFEACE9" w14:textId="77777777" w:rsidR="00B17705" w:rsidRDefault="00B17705" w:rsidP="00181ACD">
      <w:pPr>
        <w:spacing w:after="0"/>
        <w:ind w:left="720" w:hanging="720"/>
      </w:pPr>
    </w:p>
    <w:p w14:paraId="5DD61CB5" w14:textId="19014386" w:rsidR="005C5D4E" w:rsidRPr="00710363" w:rsidRDefault="005C5D4E" w:rsidP="00181ACD">
      <w:pPr>
        <w:spacing w:after="0"/>
        <w:ind w:left="720" w:hanging="720"/>
        <w:rPr>
          <w:lang w:bidi="ar-SA"/>
        </w:rPr>
      </w:pPr>
      <w:r w:rsidRPr="00710363">
        <w:t>Tosun, Mehmet S., and Mark L. Skidmore</w:t>
      </w:r>
      <w:r w:rsidR="002F5FBC">
        <w:t>.</w:t>
      </w:r>
      <w:r w:rsidR="009E3CC8">
        <w:t xml:space="preserve"> </w:t>
      </w:r>
      <w:r w:rsidRPr="00710363">
        <w:t xml:space="preserve">2007. </w:t>
      </w:r>
      <w:r w:rsidR="00CC55FD">
        <w:t>“</w:t>
      </w:r>
      <w:r w:rsidRPr="00710363">
        <w:t>Cross</w:t>
      </w:r>
      <w:r w:rsidR="00CC55FD" w:rsidRPr="00710363">
        <w:t xml:space="preserve">-Border Shopping </w:t>
      </w:r>
      <w:r w:rsidR="00CC55FD">
        <w:t>a</w:t>
      </w:r>
      <w:r w:rsidR="00CC55FD" w:rsidRPr="00710363">
        <w:t xml:space="preserve">nd </w:t>
      </w:r>
      <w:r w:rsidR="00CC55FD">
        <w:t>t</w:t>
      </w:r>
      <w:r w:rsidR="00CC55FD" w:rsidRPr="00710363">
        <w:t xml:space="preserve">he Sales Tax: </w:t>
      </w:r>
      <w:r w:rsidRPr="00710363">
        <w:t xml:space="preserve">An </w:t>
      </w:r>
      <w:r w:rsidR="00CC55FD" w:rsidRPr="00710363">
        <w:t xml:space="preserve">Examination </w:t>
      </w:r>
      <w:r w:rsidR="006A3CFF">
        <w:t>o</w:t>
      </w:r>
      <w:r w:rsidR="00CC55FD" w:rsidRPr="00710363">
        <w:t xml:space="preserve">f Food Purchases </w:t>
      </w:r>
      <w:r w:rsidR="006A3CFF">
        <w:t>i</w:t>
      </w:r>
      <w:r w:rsidR="00CC55FD" w:rsidRPr="00710363">
        <w:t xml:space="preserve">n </w:t>
      </w:r>
      <w:r w:rsidRPr="00710363">
        <w:t>West Virginia.</w:t>
      </w:r>
      <w:r w:rsidR="00CC55FD">
        <w:t>”</w:t>
      </w:r>
      <w:r w:rsidRPr="00710363">
        <w:t xml:space="preserve"> </w:t>
      </w:r>
      <w:r w:rsidRPr="00710363">
        <w:rPr>
          <w:i/>
        </w:rPr>
        <w:t>The B.E. Journal of Economic Analysis &amp; Policy</w:t>
      </w:r>
      <w:r w:rsidRPr="00710363">
        <w:t xml:space="preserve"> 7(1): Art 63. </w:t>
      </w:r>
      <w:hyperlink r:id="rId27" w:history="1">
        <w:r w:rsidRPr="00710363">
          <w:rPr>
            <w:rStyle w:val="Hyperlink"/>
            <w:lang w:bidi="ar-SA"/>
          </w:rPr>
          <w:t>http://w</w:t>
        </w:r>
        <w:r w:rsidRPr="00CE78C0">
          <w:rPr>
            <w:rStyle w:val="Hyperlink"/>
            <w:lang w:bidi="ar-SA"/>
          </w:rPr>
          <w:t>ww.bepress.com/bejeap/vol7/iss1/art63</w:t>
        </w:r>
      </w:hyperlink>
      <w:r w:rsidRPr="00710363">
        <w:t>.</w:t>
      </w:r>
    </w:p>
    <w:p w14:paraId="583C2C1A" w14:textId="77777777" w:rsidR="00B17705" w:rsidRDefault="00B17705" w:rsidP="00181ACD">
      <w:pPr>
        <w:spacing w:after="0"/>
        <w:ind w:left="720" w:hanging="720"/>
      </w:pPr>
    </w:p>
    <w:p w14:paraId="7A182EF5" w14:textId="12C3336B" w:rsidR="005C5D4E" w:rsidRPr="00710363" w:rsidRDefault="005C5D4E" w:rsidP="00181ACD">
      <w:pPr>
        <w:spacing w:after="0"/>
        <w:ind w:left="720" w:hanging="720"/>
      </w:pPr>
      <w:r w:rsidRPr="00CE78C0">
        <w:t>U.S. Bureau of the Census</w:t>
      </w:r>
      <w:r w:rsidR="002F5FBC">
        <w:t>.</w:t>
      </w:r>
      <w:r w:rsidR="00B92C15">
        <w:t xml:space="preserve"> </w:t>
      </w:r>
      <w:r w:rsidRPr="00CE78C0">
        <w:t>20</w:t>
      </w:r>
      <w:r w:rsidR="002F5FBC">
        <w:t>12</w:t>
      </w:r>
      <w:r w:rsidR="00B92C15">
        <w:t>.</w:t>
      </w:r>
      <w:r w:rsidRPr="00CE78C0">
        <w:t xml:space="preserve"> </w:t>
      </w:r>
      <w:r w:rsidRPr="006A3CFF">
        <w:rPr>
          <w:i/>
        </w:rPr>
        <w:t>State and Local Government Finances</w:t>
      </w:r>
      <w:r w:rsidRPr="00CE78C0">
        <w:t xml:space="preserve">, available at </w:t>
      </w:r>
      <w:hyperlink r:id="rId28" w:history="1">
        <w:r w:rsidRPr="00710363">
          <w:rPr>
            <w:rStyle w:val="Hyperlink"/>
          </w:rPr>
          <w:t>http://www.census.gov/govs/estimate/</w:t>
        </w:r>
      </w:hyperlink>
      <w:r w:rsidRPr="00710363">
        <w:t xml:space="preserve"> Accessed August 2, 201</w:t>
      </w:r>
      <w:r w:rsidR="002F5FBC">
        <w:t>5</w:t>
      </w:r>
      <w:r w:rsidRPr="00710363">
        <w:t>.</w:t>
      </w:r>
    </w:p>
    <w:p w14:paraId="1774C9E6" w14:textId="77777777" w:rsidR="00B17705" w:rsidRDefault="00B17705" w:rsidP="00181ACD">
      <w:pPr>
        <w:spacing w:after="0"/>
        <w:ind w:left="720" w:hanging="720"/>
      </w:pPr>
    </w:p>
    <w:p w14:paraId="14976324" w14:textId="7FE044AD" w:rsidR="00090EF8" w:rsidRDefault="005C5D4E" w:rsidP="00181ACD">
      <w:pPr>
        <w:spacing w:after="0"/>
        <w:ind w:left="720" w:hanging="720"/>
      </w:pPr>
      <w:r w:rsidRPr="00710363">
        <w:t>U.S. Bureau of the Census</w:t>
      </w:r>
      <w:r w:rsidR="002F5FBC">
        <w:t xml:space="preserve">. </w:t>
      </w:r>
      <w:r w:rsidRPr="00710363">
        <w:t xml:space="preserve">1951. </w:t>
      </w:r>
      <w:r w:rsidR="00557A18" w:rsidRPr="00557A18">
        <w:rPr>
          <w:i/>
        </w:rPr>
        <w:t>U.S.</w:t>
      </w:r>
      <w:r w:rsidR="00557A18">
        <w:t xml:space="preserve"> </w:t>
      </w:r>
      <w:r w:rsidRPr="009E3CC8">
        <w:rPr>
          <w:i/>
        </w:rPr>
        <w:t>Statistical Abstract</w:t>
      </w:r>
      <w:r w:rsidRPr="00710363">
        <w:t>, 72</w:t>
      </w:r>
      <w:r w:rsidRPr="00710363">
        <w:rPr>
          <w:vertAlign w:val="superscript"/>
        </w:rPr>
        <w:t>nd</w:t>
      </w:r>
      <w:r w:rsidRPr="00710363">
        <w:t xml:space="preserve"> Edition, Washington, DC: U.S. Printing Office.</w:t>
      </w:r>
    </w:p>
    <w:p w14:paraId="767237F8" w14:textId="77777777" w:rsidR="00B17705" w:rsidRDefault="00B17705" w:rsidP="00181ACD">
      <w:pPr>
        <w:spacing w:after="0"/>
        <w:ind w:left="720" w:hanging="720"/>
      </w:pPr>
    </w:p>
    <w:p w14:paraId="6354FDA0" w14:textId="1F0F0F80" w:rsidR="005C5D4E" w:rsidRDefault="005C5D4E" w:rsidP="00181ACD">
      <w:pPr>
        <w:spacing w:after="0"/>
        <w:ind w:left="720" w:hanging="720"/>
      </w:pPr>
      <w:r w:rsidRPr="00710363">
        <w:t xml:space="preserve">Wagner, Richard E. 1976. </w:t>
      </w:r>
      <w:r w:rsidR="006A3CFF">
        <w:t>“</w:t>
      </w:r>
      <w:r w:rsidRPr="00710363">
        <w:t xml:space="preserve">Revenue </w:t>
      </w:r>
      <w:r w:rsidR="006A3CFF" w:rsidRPr="00710363">
        <w:t xml:space="preserve">Structure, Fiscal Illusion, </w:t>
      </w:r>
      <w:r w:rsidR="006A3CFF">
        <w:t>a</w:t>
      </w:r>
      <w:r w:rsidR="006A3CFF" w:rsidRPr="00710363">
        <w:t>nd Budgetary Choice</w:t>
      </w:r>
      <w:r w:rsidRPr="00710363">
        <w:t>.</w:t>
      </w:r>
      <w:r w:rsidR="006A3CFF">
        <w:t>”</w:t>
      </w:r>
      <w:r w:rsidRPr="00710363">
        <w:t xml:space="preserve"> </w:t>
      </w:r>
      <w:r w:rsidRPr="00710363">
        <w:rPr>
          <w:i/>
        </w:rPr>
        <w:t>Public Choice</w:t>
      </w:r>
      <w:r w:rsidRPr="00710363">
        <w:t xml:space="preserve"> 25(Spring):</w:t>
      </w:r>
      <w:r w:rsidR="002F5FBC">
        <w:t xml:space="preserve"> </w:t>
      </w:r>
      <w:r w:rsidRPr="00710363">
        <w:t>45–61.</w:t>
      </w:r>
    </w:p>
    <w:p w14:paraId="16DA26DF" w14:textId="77777777" w:rsidR="00B17705" w:rsidRDefault="00B17705" w:rsidP="00181ACD">
      <w:pPr>
        <w:spacing w:after="0"/>
        <w:ind w:left="720" w:hanging="720"/>
        <w:rPr>
          <w:bCs/>
          <w:color w:val="000000"/>
        </w:rPr>
      </w:pPr>
    </w:p>
    <w:p w14:paraId="6EFABACE" w14:textId="1991F8EE" w:rsidR="005C5D4E" w:rsidRPr="00710363" w:rsidRDefault="005C5D4E" w:rsidP="00181ACD">
      <w:pPr>
        <w:spacing w:after="0"/>
        <w:ind w:left="720" w:hanging="720"/>
        <w:rPr>
          <w:bCs/>
          <w:color w:val="000000"/>
        </w:rPr>
      </w:pPr>
      <w:r w:rsidRPr="00710363">
        <w:rPr>
          <w:bCs/>
          <w:color w:val="000000"/>
        </w:rPr>
        <w:t>Wallace, Sally, and Barbara M. Edwards</w:t>
      </w:r>
      <w:r w:rsidR="002F5FBC">
        <w:rPr>
          <w:bCs/>
          <w:color w:val="000000"/>
        </w:rPr>
        <w:t>.</w:t>
      </w:r>
      <w:r w:rsidR="009E3CC8">
        <w:rPr>
          <w:bCs/>
          <w:color w:val="000000"/>
        </w:rPr>
        <w:t xml:space="preserve"> </w:t>
      </w:r>
      <w:r w:rsidRPr="00710363">
        <w:rPr>
          <w:bCs/>
          <w:color w:val="000000"/>
        </w:rPr>
        <w:t xml:space="preserve">1999. </w:t>
      </w:r>
      <w:r w:rsidR="006A3CFF">
        <w:rPr>
          <w:bCs/>
          <w:color w:val="000000"/>
        </w:rPr>
        <w:t>“</w:t>
      </w:r>
      <w:r w:rsidRPr="00710363">
        <w:rPr>
          <w:bCs/>
          <w:color w:val="000000"/>
        </w:rPr>
        <w:t xml:space="preserve">Personal </w:t>
      </w:r>
      <w:r w:rsidR="006A3CFF" w:rsidRPr="00710363">
        <w:rPr>
          <w:bCs/>
          <w:color w:val="000000"/>
        </w:rPr>
        <w:t>Income Tax</w:t>
      </w:r>
      <w:r w:rsidRPr="00710363">
        <w:rPr>
          <w:bCs/>
          <w:color w:val="000000"/>
        </w:rPr>
        <w:t>.</w:t>
      </w:r>
      <w:r w:rsidR="006A3CFF">
        <w:rPr>
          <w:bCs/>
          <w:color w:val="000000"/>
        </w:rPr>
        <w:t>” In</w:t>
      </w:r>
      <w:r w:rsidRPr="00710363">
        <w:rPr>
          <w:bCs/>
          <w:color w:val="000000"/>
        </w:rPr>
        <w:t xml:space="preserve"> </w:t>
      </w:r>
      <w:r w:rsidR="002F5FBC" w:rsidRPr="00710363">
        <w:rPr>
          <w:bCs/>
          <w:color w:val="000000"/>
        </w:rPr>
        <w:t>W. Bartley Hildreth and James A. Richardson</w:t>
      </w:r>
      <w:r w:rsidR="002F5FBC">
        <w:rPr>
          <w:bCs/>
          <w:color w:val="000000"/>
        </w:rPr>
        <w:t xml:space="preserve"> eds.</w:t>
      </w:r>
      <w:r w:rsidR="002F5FBC" w:rsidRPr="00710363">
        <w:rPr>
          <w:bCs/>
          <w:i/>
          <w:color w:val="000000"/>
        </w:rPr>
        <w:t xml:space="preserve"> </w:t>
      </w:r>
      <w:r w:rsidRPr="00710363">
        <w:rPr>
          <w:bCs/>
          <w:i/>
          <w:color w:val="000000"/>
        </w:rPr>
        <w:t>Handbook on Taxation</w:t>
      </w:r>
      <w:r w:rsidR="00E61817">
        <w:rPr>
          <w:bCs/>
          <w:i/>
          <w:color w:val="000000"/>
        </w:rPr>
        <w:t>,</w:t>
      </w:r>
      <w:r w:rsidRPr="00710363">
        <w:rPr>
          <w:bCs/>
          <w:color w:val="000000"/>
        </w:rPr>
        <w:t xml:space="preserve"> 149</w:t>
      </w:r>
      <w:r w:rsidRPr="00710363">
        <w:t>–</w:t>
      </w:r>
      <w:r w:rsidRPr="00710363">
        <w:rPr>
          <w:bCs/>
          <w:color w:val="000000"/>
        </w:rPr>
        <w:t>190. New York: Marcel Dekker, Inc.</w:t>
      </w:r>
    </w:p>
    <w:p w14:paraId="4A120391" w14:textId="77777777" w:rsidR="00B17705" w:rsidRDefault="00B17705" w:rsidP="00181ACD">
      <w:pPr>
        <w:spacing w:after="0"/>
        <w:ind w:left="720" w:hanging="720"/>
      </w:pPr>
    </w:p>
    <w:p w14:paraId="23DD5E3C" w14:textId="549593BB" w:rsidR="005C5D4E" w:rsidRPr="00710363" w:rsidRDefault="005C5D4E" w:rsidP="00181ACD">
      <w:pPr>
        <w:spacing w:after="0"/>
        <w:ind w:left="720" w:hanging="720"/>
      </w:pPr>
      <w:r w:rsidRPr="00710363">
        <w:t>Walsh, Michael J., and Jonathan D. Jones</w:t>
      </w:r>
      <w:r w:rsidR="002F5FBC">
        <w:t>.</w:t>
      </w:r>
      <w:r w:rsidR="009E3CC8">
        <w:t xml:space="preserve"> 1</w:t>
      </w:r>
      <w:r w:rsidRPr="00710363">
        <w:t xml:space="preserve">988. </w:t>
      </w:r>
      <w:r w:rsidR="006A3CFF">
        <w:t>“</w:t>
      </w:r>
      <w:r w:rsidRPr="00710363">
        <w:t xml:space="preserve">More </w:t>
      </w:r>
      <w:r w:rsidR="006A3CFF">
        <w:t>Evidence on t</w:t>
      </w:r>
      <w:r w:rsidR="006A3CFF" w:rsidRPr="00710363">
        <w:t xml:space="preserve">he ‘Burden Tax’ Effect: </w:t>
      </w:r>
      <w:r w:rsidRPr="00710363">
        <w:t xml:space="preserve">The </w:t>
      </w:r>
      <w:r w:rsidR="006A3CFF">
        <w:t>Case o</w:t>
      </w:r>
      <w:r w:rsidR="006A3CFF" w:rsidRPr="00710363">
        <w:t xml:space="preserve">f </w:t>
      </w:r>
      <w:r w:rsidRPr="00710363">
        <w:t>West Virginia</w:t>
      </w:r>
      <w:r w:rsidR="006A3CFF" w:rsidRPr="00710363">
        <w:t>,</w:t>
      </w:r>
      <w:r w:rsidRPr="00710363">
        <w:t xml:space="preserve"> 1979–1984.</w:t>
      </w:r>
      <w:r w:rsidR="006A3CFF">
        <w:t>”</w:t>
      </w:r>
      <w:r w:rsidRPr="00710363">
        <w:t xml:space="preserve"> </w:t>
      </w:r>
      <w:r w:rsidRPr="00710363">
        <w:rPr>
          <w:i/>
          <w:iCs/>
        </w:rPr>
        <w:t xml:space="preserve">National Tax Journal </w:t>
      </w:r>
      <w:r w:rsidRPr="00710363">
        <w:t>61(2):</w:t>
      </w:r>
      <w:r w:rsidR="002F5FBC">
        <w:t xml:space="preserve"> </w:t>
      </w:r>
      <w:r w:rsidRPr="00710363">
        <w:t>261–265.</w:t>
      </w:r>
    </w:p>
    <w:p w14:paraId="301FA140" w14:textId="77777777" w:rsidR="00B17705" w:rsidRDefault="00B17705" w:rsidP="00181ACD">
      <w:pPr>
        <w:spacing w:after="0"/>
        <w:ind w:left="720" w:hanging="720"/>
      </w:pPr>
    </w:p>
    <w:p w14:paraId="172B33FD" w14:textId="20788B2E" w:rsidR="005C5D4E" w:rsidRDefault="005C5D4E" w:rsidP="00181ACD">
      <w:pPr>
        <w:spacing w:after="0"/>
        <w:ind w:left="720" w:hanging="720"/>
      </w:pPr>
      <w:r w:rsidRPr="00710363">
        <w:t xml:space="preserve">White, Fred C. 1983. </w:t>
      </w:r>
      <w:r w:rsidR="006A3CFF">
        <w:t>“</w:t>
      </w:r>
      <w:r w:rsidRPr="00710363">
        <w:t>Trade</w:t>
      </w:r>
      <w:r w:rsidR="006A3CFF" w:rsidRPr="00710363">
        <w:t xml:space="preserve">-Off </w:t>
      </w:r>
      <w:r w:rsidR="006A3CFF">
        <w:t>i</w:t>
      </w:r>
      <w:r w:rsidR="006A3CFF" w:rsidRPr="00710363">
        <w:t xml:space="preserve">n Growth </w:t>
      </w:r>
      <w:r w:rsidR="006A3CFF">
        <w:t>and Stability in</w:t>
      </w:r>
      <w:r w:rsidR="006A3CFF" w:rsidRPr="00710363">
        <w:t xml:space="preserve"> State Taxes</w:t>
      </w:r>
      <w:r w:rsidRPr="00710363">
        <w:t>.</w:t>
      </w:r>
      <w:r w:rsidR="006A3CFF">
        <w:t>”</w:t>
      </w:r>
      <w:r w:rsidRPr="00710363">
        <w:t xml:space="preserve"> </w:t>
      </w:r>
      <w:r w:rsidRPr="00710363">
        <w:rPr>
          <w:i/>
        </w:rPr>
        <w:t>National Tax Journal</w:t>
      </w:r>
      <w:r w:rsidRPr="00710363">
        <w:t xml:space="preserve"> 36(1):</w:t>
      </w:r>
      <w:r w:rsidR="002F5FBC">
        <w:t xml:space="preserve"> </w:t>
      </w:r>
      <w:r w:rsidRPr="00710363">
        <w:t>103–114.</w:t>
      </w:r>
    </w:p>
    <w:p w14:paraId="4879EA58" w14:textId="77777777" w:rsidR="00B17705" w:rsidRDefault="00B17705" w:rsidP="00181ACD">
      <w:pPr>
        <w:pStyle w:val="NormalWeb"/>
        <w:spacing w:before="0" w:beforeAutospacing="0" w:after="0" w:afterAutospacing="0" w:line="276" w:lineRule="auto"/>
        <w:ind w:left="720" w:hanging="720"/>
        <w:rPr>
          <w:bCs/>
        </w:rPr>
      </w:pPr>
    </w:p>
    <w:p w14:paraId="6F762DAD" w14:textId="33C516BE" w:rsidR="00EF7D44" w:rsidRDefault="00EF7D44" w:rsidP="00181ACD">
      <w:pPr>
        <w:pStyle w:val="NormalWeb"/>
        <w:spacing w:before="0" w:beforeAutospacing="0" w:after="0" w:afterAutospacing="0" w:line="276" w:lineRule="auto"/>
        <w:ind w:left="720" w:hanging="720"/>
        <w:rPr>
          <w:bCs/>
        </w:rPr>
      </w:pPr>
      <w:r w:rsidRPr="00EF7D44">
        <w:rPr>
          <w:bCs/>
        </w:rPr>
        <w:t>Yilma</w:t>
      </w:r>
      <w:r w:rsidR="003A703C">
        <w:rPr>
          <w:bCs/>
        </w:rPr>
        <w:t>z</w:t>
      </w:r>
      <w:r>
        <w:rPr>
          <w:bCs/>
        </w:rPr>
        <w:t>,</w:t>
      </w:r>
      <w:r w:rsidRPr="00EF7D44">
        <w:rPr>
          <w:bCs/>
        </w:rPr>
        <w:t xml:space="preserve"> Yesim and Robert Zahradnik</w:t>
      </w:r>
      <w:r w:rsidR="002F5FBC">
        <w:rPr>
          <w:bCs/>
        </w:rPr>
        <w:t>.</w:t>
      </w:r>
      <w:r w:rsidR="009E3CC8">
        <w:rPr>
          <w:bCs/>
        </w:rPr>
        <w:t xml:space="preserve"> </w:t>
      </w:r>
      <w:r w:rsidRPr="003A703C">
        <w:rPr>
          <w:bCs/>
        </w:rPr>
        <w:t>2008</w:t>
      </w:r>
      <w:r w:rsidRPr="00EF7D44">
        <w:rPr>
          <w:bCs/>
        </w:rPr>
        <w:t>.</w:t>
      </w:r>
      <w:r>
        <w:rPr>
          <w:bCs/>
        </w:rPr>
        <w:t xml:space="preserve"> </w:t>
      </w:r>
      <w:r w:rsidR="006A3CFF">
        <w:rPr>
          <w:bCs/>
        </w:rPr>
        <w:t>“</w:t>
      </w:r>
      <w:r w:rsidRPr="00EF7D44">
        <w:rPr>
          <w:bCs/>
        </w:rPr>
        <w:t>Measuring the Fiscal Capacity of the District of Columbia—A</w:t>
      </w:r>
      <w:r>
        <w:rPr>
          <w:bCs/>
        </w:rPr>
        <w:t xml:space="preserve"> </w:t>
      </w:r>
      <w:r w:rsidRPr="00EF7D44">
        <w:rPr>
          <w:bCs/>
        </w:rPr>
        <w:t>Comparison of Revenue Raising Capacity and Expenditure Need</w:t>
      </w:r>
      <w:r w:rsidR="006A3CFF">
        <w:rPr>
          <w:bCs/>
        </w:rPr>
        <w:t>.</w:t>
      </w:r>
      <w:r w:rsidRPr="00EF7D44">
        <w:rPr>
          <w:bCs/>
        </w:rPr>
        <w:t>”</w:t>
      </w:r>
      <w:r w:rsidR="003A703C">
        <w:rPr>
          <w:bCs/>
        </w:rPr>
        <w:t xml:space="preserve"> Unpublished paper. D.C. Office of Revenue Analysis.</w:t>
      </w:r>
    </w:p>
    <w:p w14:paraId="4EBFC966" w14:textId="77777777" w:rsidR="00B17705" w:rsidRDefault="00B17705" w:rsidP="00181ACD">
      <w:pPr>
        <w:pStyle w:val="NormalWeb"/>
        <w:spacing w:before="0" w:beforeAutospacing="0" w:after="0" w:afterAutospacing="0" w:line="276" w:lineRule="auto"/>
        <w:ind w:left="720" w:hanging="720"/>
        <w:rPr>
          <w:bCs/>
        </w:rPr>
      </w:pPr>
    </w:p>
    <w:p w14:paraId="2E9E2FEA" w14:textId="35CE4734" w:rsidR="00B17705" w:rsidRDefault="002F0EFC" w:rsidP="00181ACD">
      <w:pPr>
        <w:pStyle w:val="NormalWeb"/>
        <w:spacing w:before="0" w:beforeAutospacing="0" w:after="0" w:afterAutospacing="0" w:line="276" w:lineRule="auto"/>
        <w:ind w:left="720" w:hanging="720"/>
        <w:rPr>
          <w:bCs/>
        </w:rPr>
      </w:pPr>
      <w:r>
        <w:rPr>
          <w:bCs/>
        </w:rPr>
        <w:t>Zhao, Bo and Jennifer Weiner</w:t>
      </w:r>
      <w:r w:rsidR="002F5FBC">
        <w:rPr>
          <w:bCs/>
        </w:rPr>
        <w:t>. 2015</w:t>
      </w:r>
      <w:r>
        <w:rPr>
          <w:bCs/>
        </w:rPr>
        <w:t xml:space="preserve">. </w:t>
      </w:r>
      <w:r w:rsidRPr="002F5FBC">
        <w:rPr>
          <w:bCs/>
          <w:i/>
        </w:rPr>
        <w:t>Measuring Municipal Fiscal Disparities in Connecticut</w:t>
      </w:r>
      <w:r>
        <w:rPr>
          <w:bCs/>
        </w:rPr>
        <w:t xml:space="preserve">. Research Report 15-1, New England Public Policy Center, </w:t>
      </w:r>
      <w:r w:rsidR="00DE4FF4">
        <w:rPr>
          <w:bCs/>
        </w:rPr>
        <w:t>Federal Research Bank of Boson.</w:t>
      </w:r>
    </w:p>
    <w:p w14:paraId="550FB48D" w14:textId="77777777" w:rsidR="00AC3D1A" w:rsidRDefault="00AC3D1A" w:rsidP="00181ACD">
      <w:pPr>
        <w:pStyle w:val="NormalWeb"/>
        <w:spacing w:before="0" w:beforeAutospacing="0" w:after="0" w:afterAutospacing="0" w:line="276" w:lineRule="auto"/>
        <w:ind w:left="720" w:hanging="720"/>
        <w:rPr>
          <w:bCs/>
        </w:rPr>
      </w:pPr>
    </w:p>
    <w:p w14:paraId="3354C734" w14:textId="33F3AA4E" w:rsidR="003D4E5E" w:rsidRPr="00662E00" w:rsidRDefault="003D4E5E" w:rsidP="00181ACD">
      <w:pPr>
        <w:ind w:left="720" w:hanging="720"/>
        <w:rPr>
          <w:rStyle w:val="standard-view-style"/>
          <w:b/>
        </w:rPr>
      </w:pPr>
      <w:r w:rsidRPr="00662E00">
        <w:rPr>
          <w:rStyle w:val="Strong"/>
          <w:b w:val="0"/>
        </w:rPr>
        <w:lastRenderedPageBreak/>
        <w:t>Zhao</w:t>
      </w:r>
      <w:r w:rsidRPr="00662E00">
        <w:rPr>
          <w:rStyle w:val="standard-view-style"/>
          <w:b/>
        </w:rPr>
        <w:t xml:space="preserve">, </w:t>
      </w:r>
      <w:r w:rsidRPr="00662E00">
        <w:rPr>
          <w:rStyle w:val="standard-view-style"/>
        </w:rPr>
        <w:t>Zhirong Jerry</w:t>
      </w:r>
      <w:r w:rsidR="00090EF8" w:rsidRPr="00662E00">
        <w:rPr>
          <w:rStyle w:val="standard-view-style"/>
        </w:rPr>
        <w:t xml:space="preserve"> and</w:t>
      </w:r>
      <w:r w:rsidRPr="00662E00">
        <w:rPr>
          <w:rStyle w:val="standard-view-style"/>
        </w:rPr>
        <w:t xml:space="preserve"> Jung, Changhoon</w:t>
      </w:r>
      <w:r w:rsidR="002F5FBC" w:rsidRPr="00662E00">
        <w:rPr>
          <w:rStyle w:val="standard-view-style"/>
        </w:rPr>
        <w:t xml:space="preserve">. </w:t>
      </w:r>
      <w:r w:rsidR="001E626E" w:rsidRPr="00662E00">
        <w:rPr>
          <w:rStyle w:val="standard-view-style"/>
        </w:rPr>
        <w:t>2008.</w:t>
      </w:r>
      <w:r w:rsidRPr="00662E00">
        <w:rPr>
          <w:rStyle w:val="standard-view-style"/>
        </w:rPr>
        <w:t xml:space="preserve"> </w:t>
      </w:r>
      <w:bookmarkStart w:id="121" w:name="Result_1"/>
      <w:r w:rsidR="001E626E" w:rsidRPr="00662E00">
        <w:t>“Does Earmarked Revenue Provide Property Tax Relief? Long-Term Budgetary Effects of Georgia's Local Option Sales Tax</w:t>
      </w:r>
      <w:bookmarkEnd w:id="121"/>
      <w:r w:rsidR="001E626E" w:rsidRPr="00662E00">
        <w:t xml:space="preserve">.” </w:t>
      </w:r>
      <w:r w:rsidRPr="00662E00">
        <w:rPr>
          <w:rStyle w:val="standard-view-style"/>
          <w:i/>
        </w:rPr>
        <w:t>Public Budgeting and Finance</w:t>
      </w:r>
      <w:r w:rsidRPr="00662E00">
        <w:rPr>
          <w:rStyle w:val="standard-view-style"/>
        </w:rPr>
        <w:t xml:space="preserve"> 28</w:t>
      </w:r>
      <w:r w:rsidR="001E626E" w:rsidRPr="00662E00">
        <w:rPr>
          <w:rStyle w:val="standard-view-style"/>
        </w:rPr>
        <w:t>(</w:t>
      </w:r>
      <w:r w:rsidRPr="00662E00">
        <w:rPr>
          <w:rStyle w:val="standard-view-style"/>
        </w:rPr>
        <w:t>4</w:t>
      </w:r>
      <w:r w:rsidR="001E626E" w:rsidRPr="00662E00">
        <w:rPr>
          <w:rStyle w:val="standard-view-style"/>
        </w:rPr>
        <w:t xml:space="preserve">): </w:t>
      </w:r>
      <w:r w:rsidRPr="00662E00">
        <w:rPr>
          <w:rStyle w:val="standard-view-style"/>
        </w:rPr>
        <w:t>52-70</w:t>
      </w:r>
      <w:r w:rsidR="001E626E" w:rsidRPr="00662E00">
        <w:rPr>
          <w:rStyle w:val="standard-view-style"/>
        </w:rPr>
        <w:t>.</w:t>
      </w:r>
    </w:p>
    <w:p w14:paraId="23C32B9A" w14:textId="1B9FDD27" w:rsidR="005C5D4E" w:rsidRPr="00710363" w:rsidRDefault="005C5D4E" w:rsidP="00181ACD">
      <w:pPr>
        <w:spacing w:after="0"/>
        <w:ind w:left="720" w:hanging="720"/>
        <w:rPr>
          <w:bCs/>
          <w:color w:val="000000"/>
        </w:rPr>
      </w:pPr>
      <w:r w:rsidRPr="00710363">
        <w:rPr>
          <w:bCs/>
          <w:color w:val="000000"/>
        </w:rPr>
        <w:t xml:space="preserve">Zodrow, George R. 2001. </w:t>
      </w:r>
      <w:r w:rsidR="006A3CFF">
        <w:rPr>
          <w:bCs/>
          <w:color w:val="000000"/>
        </w:rPr>
        <w:t>“</w:t>
      </w:r>
      <w:r w:rsidRPr="00710363">
        <w:rPr>
          <w:bCs/>
          <w:color w:val="000000"/>
        </w:rPr>
        <w:t xml:space="preserve">Reflections </w:t>
      </w:r>
      <w:r w:rsidR="006A3CFF">
        <w:rPr>
          <w:bCs/>
          <w:color w:val="000000"/>
        </w:rPr>
        <w:t>o</w:t>
      </w:r>
      <w:r w:rsidR="006A3CFF" w:rsidRPr="00710363">
        <w:rPr>
          <w:bCs/>
          <w:color w:val="000000"/>
        </w:rPr>
        <w:t xml:space="preserve">n </w:t>
      </w:r>
      <w:r w:rsidR="00557A18">
        <w:rPr>
          <w:bCs/>
          <w:color w:val="000000"/>
        </w:rPr>
        <w:t>t</w:t>
      </w:r>
      <w:r w:rsidR="006A3CFF" w:rsidRPr="00710363">
        <w:rPr>
          <w:bCs/>
          <w:color w:val="000000"/>
        </w:rPr>
        <w:t xml:space="preserve">he New View </w:t>
      </w:r>
      <w:r w:rsidR="006A3CFF">
        <w:rPr>
          <w:bCs/>
          <w:color w:val="000000"/>
        </w:rPr>
        <w:t>a</w:t>
      </w:r>
      <w:r w:rsidR="006A3CFF" w:rsidRPr="00710363">
        <w:rPr>
          <w:bCs/>
          <w:color w:val="000000"/>
        </w:rPr>
        <w:t xml:space="preserve">nd </w:t>
      </w:r>
      <w:r w:rsidR="006A3CFF">
        <w:rPr>
          <w:bCs/>
          <w:color w:val="000000"/>
        </w:rPr>
        <w:t>t</w:t>
      </w:r>
      <w:r w:rsidR="006A3CFF" w:rsidRPr="00710363">
        <w:rPr>
          <w:bCs/>
          <w:color w:val="000000"/>
        </w:rPr>
        <w:t xml:space="preserve">he Benefit View </w:t>
      </w:r>
      <w:r w:rsidR="006A3CFF">
        <w:rPr>
          <w:bCs/>
          <w:color w:val="000000"/>
        </w:rPr>
        <w:t>o</w:t>
      </w:r>
      <w:r w:rsidR="006A3CFF" w:rsidRPr="00710363">
        <w:rPr>
          <w:bCs/>
          <w:color w:val="000000"/>
        </w:rPr>
        <w:t xml:space="preserve">f </w:t>
      </w:r>
      <w:r w:rsidR="006A3CFF">
        <w:rPr>
          <w:bCs/>
          <w:color w:val="000000"/>
        </w:rPr>
        <w:t>t</w:t>
      </w:r>
      <w:r w:rsidR="006A3CFF" w:rsidRPr="00710363">
        <w:rPr>
          <w:bCs/>
          <w:color w:val="000000"/>
        </w:rPr>
        <w:t>he Property Tax</w:t>
      </w:r>
      <w:r w:rsidRPr="00710363">
        <w:rPr>
          <w:bCs/>
          <w:color w:val="000000"/>
        </w:rPr>
        <w:t>.</w:t>
      </w:r>
      <w:r w:rsidR="006A3CFF">
        <w:rPr>
          <w:bCs/>
          <w:color w:val="000000"/>
        </w:rPr>
        <w:t>”</w:t>
      </w:r>
      <w:r w:rsidRPr="00710363">
        <w:rPr>
          <w:bCs/>
          <w:color w:val="000000"/>
        </w:rPr>
        <w:t xml:space="preserve"> In </w:t>
      </w:r>
      <w:r w:rsidR="002F5FBC" w:rsidRPr="00710363">
        <w:rPr>
          <w:bCs/>
          <w:color w:val="000000"/>
        </w:rPr>
        <w:t>Wallace E. Oates</w:t>
      </w:r>
      <w:r w:rsidR="002F5FBC">
        <w:rPr>
          <w:bCs/>
          <w:color w:val="000000"/>
        </w:rPr>
        <w:t>, ed.</w:t>
      </w:r>
      <w:r w:rsidR="002F5FBC" w:rsidRPr="00710363">
        <w:rPr>
          <w:bCs/>
          <w:i/>
          <w:color w:val="000000"/>
        </w:rPr>
        <w:t xml:space="preserve"> </w:t>
      </w:r>
      <w:r w:rsidR="002F5FBC">
        <w:rPr>
          <w:bCs/>
          <w:i/>
          <w:color w:val="000000"/>
        </w:rPr>
        <w:t>Property Ta</w:t>
      </w:r>
      <w:r w:rsidRPr="00710363">
        <w:rPr>
          <w:bCs/>
          <w:i/>
          <w:color w:val="000000"/>
        </w:rPr>
        <w:t xml:space="preserve">xation and </w:t>
      </w:r>
      <w:r w:rsidR="002F5FBC">
        <w:rPr>
          <w:bCs/>
          <w:i/>
          <w:color w:val="000000"/>
        </w:rPr>
        <w:t>L</w:t>
      </w:r>
      <w:r w:rsidRPr="00710363">
        <w:rPr>
          <w:bCs/>
          <w:i/>
          <w:color w:val="000000"/>
        </w:rPr>
        <w:t xml:space="preserve">ocal </w:t>
      </w:r>
      <w:r w:rsidR="002F5FBC">
        <w:rPr>
          <w:bCs/>
          <w:i/>
          <w:color w:val="000000"/>
        </w:rPr>
        <w:t>G</w:t>
      </w:r>
      <w:r w:rsidRPr="00710363">
        <w:rPr>
          <w:bCs/>
          <w:i/>
          <w:color w:val="000000"/>
        </w:rPr>
        <w:t xml:space="preserve">overnment </w:t>
      </w:r>
      <w:r w:rsidR="002F5FBC">
        <w:rPr>
          <w:bCs/>
          <w:i/>
          <w:color w:val="000000"/>
        </w:rPr>
        <w:t>F</w:t>
      </w:r>
      <w:r w:rsidRPr="00710363">
        <w:rPr>
          <w:bCs/>
          <w:i/>
          <w:color w:val="000000"/>
        </w:rPr>
        <w:t>inance</w:t>
      </w:r>
      <w:r w:rsidR="002F5FBC">
        <w:rPr>
          <w:bCs/>
          <w:i/>
          <w:color w:val="000000"/>
        </w:rPr>
        <w:t xml:space="preserve">, </w:t>
      </w:r>
      <w:r w:rsidRPr="00710363">
        <w:rPr>
          <w:bCs/>
          <w:color w:val="000000"/>
        </w:rPr>
        <w:t>79</w:t>
      </w:r>
      <w:r w:rsidRPr="00710363">
        <w:t>–</w:t>
      </w:r>
      <w:r w:rsidRPr="00710363">
        <w:rPr>
          <w:bCs/>
          <w:color w:val="000000"/>
        </w:rPr>
        <w:t>111. Cambridge, MA: Lincoln Institute of Land Policy.</w:t>
      </w:r>
    </w:p>
    <w:p w14:paraId="29158A20" w14:textId="344DFB6F" w:rsidR="00D90F82" w:rsidRDefault="00D90F82" w:rsidP="00D422A0">
      <w:pPr>
        <w:spacing w:after="0" w:line="360" w:lineRule="auto"/>
      </w:pPr>
    </w:p>
    <w:p w14:paraId="304ADD7B" w14:textId="77777777" w:rsidR="00EF56C5" w:rsidRDefault="00EF56C5" w:rsidP="00D422A0">
      <w:pPr>
        <w:spacing w:after="0" w:line="360" w:lineRule="auto"/>
        <w:rPr>
          <w:b/>
        </w:rPr>
      </w:pPr>
    </w:p>
    <w:p w14:paraId="431F8BC1" w14:textId="77777777" w:rsidR="007E3076" w:rsidRDefault="007E3076" w:rsidP="00D422A0">
      <w:pPr>
        <w:spacing w:after="0" w:line="360" w:lineRule="auto"/>
        <w:rPr>
          <w:b/>
        </w:rPr>
      </w:pPr>
    </w:p>
    <w:p w14:paraId="2C413D50" w14:textId="77777777" w:rsidR="00D90F82" w:rsidRDefault="00D90F82" w:rsidP="00D422A0">
      <w:pPr>
        <w:spacing w:after="0" w:line="360" w:lineRule="auto"/>
        <w:rPr>
          <w:b/>
        </w:rPr>
      </w:pPr>
      <w:r>
        <w:rPr>
          <w:b/>
        </w:rPr>
        <w:br w:type="page"/>
      </w:r>
    </w:p>
    <w:p w14:paraId="2FDFF3B0" w14:textId="00DDBF04" w:rsidR="001E626E" w:rsidRDefault="001E626E" w:rsidP="00DE4FF4">
      <w:pPr>
        <w:pStyle w:val="Heading1"/>
      </w:pPr>
      <w:bookmarkStart w:id="122" w:name="_Toc433373683"/>
      <w:r w:rsidRPr="00B44939">
        <w:lastRenderedPageBreak/>
        <w:t>Appendix A.</w:t>
      </w:r>
      <w:r w:rsidR="0073042B">
        <w:t xml:space="preserve"> </w:t>
      </w:r>
      <w:r w:rsidR="007F5BD5">
        <w:t xml:space="preserve">Notes on </w:t>
      </w:r>
      <w:r w:rsidRPr="00B44939">
        <w:t>Revenue Data</w:t>
      </w:r>
      <w:r w:rsidR="007F5BD5">
        <w:t xml:space="preserve"> and Revenue Estimation</w:t>
      </w:r>
      <w:r w:rsidRPr="00B44939">
        <w:t>.</w:t>
      </w:r>
      <w:bookmarkEnd w:id="122"/>
    </w:p>
    <w:p w14:paraId="3E979A15" w14:textId="69C334D3" w:rsidR="007F5BD5" w:rsidRPr="00B44939" w:rsidRDefault="00D30A9B" w:rsidP="00DE4FF4">
      <w:pPr>
        <w:pStyle w:val="Heading2"/>
      </w:pPr>
      <w:bookmarkStart w:id="123" w:name="_Toc433373684"/>
      <w:r>
        <w:t>Census Bureau Revenue Data</w:t>
      </w:r>
      <w:bookmarkEnd w:id="123"/>
    </w:p>
    <w:p w14:paraId="018DECF7" w14:textId="1A05D8F3" w:rsidR="001E626E" w:rsidRDefault="001E626E" w:rsidP="00D422A0">
      <w:pPr>
        <w:pStyle w:val="NoSpacing"/>
        <w:spacing w:line="360" w:lineRule="auto"/>
        <w:ind w:firstLine="720"/>
      </w:pPr>
      <w:r>
        <w:t xml:space="preserve">The data for Tables </w:t>
      </w:r>
      <w:r w:rsidRPr="00154F18">
        <w:t xml:space="preserve">1, 2, </w:t>
      </w:r>
      <w:r w:rsidR="00154F18" w:rsidRPr="00154F18">
        <w:t>4</w:t>
      </w:r>
      <w:r w:rsidRPr="00154F18">
        <w:t xml:space="preserve">, </w:t>
      </w:r>
      <w:r w:rsidR="00154F18" w:rsidRPr="00154F18">
        <w:t>10</w:t>
      </w:r>
      <w:r w:rsidRPr="00154F18">
        <w:t xml:space="preserve">, and </w:t>
      </w:r>
      <w:r w:rsidR="00154F18" w:rsidRPr="00154F18">
        <w:t>11</w:t>
      </w:r>
      <w:r>
        <w:t xml:space="preserve"> come from the 2012 Census of Government conducted by the U.S. Bureau of the Census.</w:t>
      </w:r>
      <w:r w:rsidR="0073042B">
        <w:t xml:space="preserve"> </w:t>
      </w:r>
      <w:r>
        <w:t>For each state, the Census provides revenue data by four types of local governments: counties, municipalities, townships, special districts, and school districts.</w:t>
      </w:r>
      <w:r w:rsidR="0073042B">
        <w:t xml:space="preserve"> </w:t>
      </w:r>
      <w:r w:rsidR="006952C1">
        <w:t>The focus of this report is on towns in Connecticut. Connecticut towns provides services that in other states are provided by counties, municipa</w:t>
      </w:r>
      <w:r>
        <w:t>lities, townships, and school districts</w:t>
      </w:r>
      <w:r w:rsidR="00EA721C">
        <w:t>. Thus, for comparison purposes, the data for these four types of local government</w:t>
      </w:r>
      <w:r>
        <w:t xml:space="preserve"> were combined to produce the data used in the Tables.</w:t>
      </w:r>
      <w:r w:rsidR="0073042B">
        <w:t xml:space="preserve"> </w:t>
      </w:r>
      <w:r w:rsidR="00EA721C">
        <w:t>The data thus exclude special districts.</w:t>
      </w:r>
    </w:p>
    <w:p w14:paraId="00CE7D9D" w14:textId="0CB5A649" w:rsidR="00D30A9B" w:rsidRPr="00D30A9B" w:rsidRDefault="00D30A9B" w:rsidP="00DE4FF4">
      <w:pPr>
        <w:pStyle w:val="Heading2"/>
      </w:pPr>
      <w:bookmarkStart w:id="124" w:name="_Toc433373685"/>
      <w:r w:rsidRPr="00D30A9B">
        <w:t>Herfindahl Index</w:t>
      </w:r>
      <w:bookmarkEnd w:id="124"/>
    </w:p>
    <w:p w14:paraId="3CC874C8" w14:textId="073E74B0" w:rsidR="001E626E" w:rsidRDefault="001E626E" w:rsidP="00D422A0">
      <w:pPr>
        <w:pStyle w:val="NoSpacing"/>
        <w:spacing w:line="360" w:lineRule="auto"/>
        <w:ind w:firstLine="720"/>
      </w:pPr>
      <w:r>
        <w:t>The Census identified the following 27 sources of own source revenue:</w:t>
      </w:r>
      <w:r w:rsidR="0073042B">
        <w:t xml:space="preserve"> </w:t>
      </w:r>
      <w:r>
        <w:t>property tax, general sales tax, motor fuel tax, alcoholic beverage tax, tobacco product tax, public utility tax, individual income tax, corporate income tax, motor vehicle tax, other selective sales tax, all other taxes, education charges, hospital charges, highway charges, air transportation charges, parking facilities charges, sea and inland water charges, natural resource charges, park and recreation charges, housing and community development charges,</w:t>
      </w:r>
      <w:r w:rsidR="0073042B">
        <w:t xml:space="preserve"> </w:t>
      </w:r>
      <w:r>
        <w:t>sewerage charges, solid waste management charges, other charges, other general revenue, sale of property, special assessments, and interest earnings.</w:t>
      </w:r>
      <w:r w:rsidR="0073042B">
        <w:t xml:space="preserve"> </w:t>
      </w:r>
      <w:r>
        <w:t xml:space="preserve">These were the categories used to construct the Herfindahl Index. </w:t>
      </w:r>
      <w:r>
        <w:rPr>
          <w:color w:val="000000"/>
        </w:rPr>
        <w:t>While the value of the Herfindahl Index will differ depending on how many categories are used, the rankings of states does not change much if some of the categories are combined.</w:t>
      </w:r>
    </w:p>
    <w:p w14:paraId="1596DDA8" w14:textId="2FB9057B" w:rsidR="001E626E" w:rsidRDefault="001E626E" w:rsidP="00DE4FF4">
      <w:pPr>
        <w:pStyle w:val="Heading2"/>
      </w:pPr>
      <w:bookmarkStart w:id="125" w:name="_Toc433373686"/>
      <w:r>
        <w:t>Estimating Sales Tax Revenue</w:t>
      </w:r>
      <w:bookmarkEnd w:id="125"/>
    </w:p>
    <w:p w14:paraId="52BE83DC" w14:textId="036A5C43" w:rsidR="00154F18" w:rsidRDefault="001E626E" w:rsidP="00154F18">
      <w:pPr>
        <w:spacing w:after="0" w:line="360" w:lineRule="auto"/>
        <w:ind w:firstLine="720"/>
        <w:rPr>
          <w:color w:val="000000"/>
        </w:rPr>
      </w:pPr>
      <w:r>
        <w:rPr>
          <w:color w:val="000000"/>
        </w:rPr>
        <w:t>T</w:t>
      </w:r>
      <w:r w:rsidRPr="000A2012">
        <w:rPr>
          <w:color w:val="000000"/>
        </w:rPr>
        <w:t xml:space="preserve">he Connecticut Department of Revenue </w:t>
      </w:r>
      <w:r>
        <w:rPr>
          <w:color w:val="000000"/>
        </w:rPr>
        <w:t>Services provided sales</w:t>
      </w:r>
      <w:r w:rsidR="00154F18">
        <w:rPr>
          <w:color w:val="000000"/>
        </w:rPr>
        <w:t xml:space="preserve"> and use t</w:t>
      </w:r>
      <w:r>
        <w:rPr>
          <w:color w:val="000000"/>
        </w:rPr>
        <w:t>ax</w:t>
      </w:r>
      <w:r w:rsidR="00154F18">
        <w:rPr>
          <w:color w:val="000000"/>
        </w:rPr>
        <w:t xml:space="preserve"> due</w:t>
      </w:r>
      <w:r w:rsidR="00E61817">
        <w:rPr>
          <w:color w:val="000000"/>
        </w:rPr>
        <w:t xml:space="preserve"> by</w:t>
      </w:r>
      <w:r w:rsidRPr="000A2012">
        <w:rPr>
          <w:color w:val="000000"/>
        </w:rPr>
        <w:t xml:space="preserve"> </w:t>
      </w:r>
      <w:r w:rsidR="00154F18">
        <w:rPr>
          <w:color w:val="000000"/>
        </w:rPr>
        <w:t>town</w:t>
      </w:r>
      <w:r>
        <w:rPr>
          <w:color w:val="000000"/>
        </w:rPr>
        <w:t xml:space="preserve">. For most retail establishments </w:t>
      </w:r>
      <w:r w:rsidR="00154F18">
        <w:rPr>
          <w:color w:val="000000"/>
        </w:rPr>
        <w:t>DRS was</w:t>
      </w:r>
      <w:r>
        <w:rPr>
          <w:color w:val="000000"/>
        </w:rPr>
        <w:t xml:space="preserve"> able to allocate sales to the town in which the sale was made. However, some </w:t>
      </w:r>
      <w:r w:rsidRPr="000A2012">
        <w:rPr>
          <w:color w:val="000000"/>
        </w:rPr>
        <w:t>firms that collect sales tax</w:t>
      </w:r>
      <w:r>
        <w:rPr>
          <w:color w:val="000000"/>
        </w:rPr>
        <w:t>es</w:t>
      </w:r>
      <w:r w:rsidRPr="000A2012">
        <w:rPr>
          <w:color w:val="000000"/>
        </w:rPr>
        <w:t xml:space="preserve"> in multiple </w:t>
      </w:r>
      <w:r>
        <w:rPr>
          <w:color w:val="000000"/>
        </w:rPr>
        <w:t>towns</w:t>
      </w:r>
      <w:r w:rsidRPr="000A2012">
        <w:rPr>
          <w:color w:val="000000"/>
        </w:rPr>
        <w:t xml:space="preserve"> report all of </w:t>
      </w:r>
      <w:r>
        <w:rPr>
          <w:color w:val="000000"/>
        </w:rPr>
        <w:t>their</w:t>
      </w:r>
      <w:r w:rsidRPr="000A2012">
        <w:rPr>
          <w:color w:val="000000"/>
        </w:rPr>
        <w:t xml:space="preserve"> sales tax collection</w:t>
      </w:r>
      <w:r>
        <w:rPr>
          <w:color w:val="000000"/>
        </w:rPr>
        <w:t>s</w:t>
      </w:r>
      <w:r w:rsidRPr="000A2012">
        <w:rPr>
          <w:color w:val="000000"/>
        </w:rPr>
        <w:t xml:space="preserve"> on one form</w:t>
      </w:r>
      <w:r w:rsidR="00130130">
        <w:rPr>
          <w:color w:val="000000"/>
        </w:rPr>
        <w:t xml:space="preserve">. </w:t>
      </w:r>
      <w:r w:rsidR="00154F18">
        <w:rPr>
          <w:color w:val="000000"/>
        </w:rPr>
        <w:t xml:space="preserve">DRS data suggests that </w:t>
      </w:r>
      <w:r w:rsidR="00130130">
        <w:rPr>
          <w:color w:val="000000"/>
        </w:rPr>
        <w:t>multi-outlet vendors</w:t>
      </w:r>
      <w:r w:rsidR="00154F18">
        <w:rPr>
          <w:color w:val="000000"/>
        </w:rPr>
        <w:t xml:space="preserve"> account for 13.1 percent of total </w:t>
      </w:r>
      <w:r w:rsidR="00130130">
        <w:rPr>
          <w:color w:val="000000"/>
        </w:rPr>
        <w:t>tax due.</w:t>
      </w:r>
      <w:r>
        <w:rPr>
          <w:color w:val="000000"/>
        </w:rPr>
        <w:t xml:space="preserve"> Attributing all of these sales to the vendor’s headquarter town would ov</w:t>
      </w:r>
      <w:r w:rsidR="00130130">
        <w:rPr>
          <w:color w:val="000000"/>
        </w:rPr>
        <w:t xml:space="preserve">erstate the sales in that town, although an unknown number of these multi-outlet vendors have outlets in only one town. </w:t>
      </w:r>
      <w:r w:rsidR="00E61817">
        <w:rPr>
          <w:color w:val="000000"/>
        </w:rPr>
        <w:t xml:space="preserve">We allocated the sales taxes due from multi-outlet vendors to towns based on the town’s share of total state employment. </w:t>
      </w:r>
      <w:r w:rsidR="00130130">
        <w:rPr>
          <w:color w:val="000000"/>
        </w:rPr>
        <w:t xml:space="preserve">Sales taxes are also collected from out-of-state vendors selling in Connecticut; revenue from these vendors account for 23.1 percent of </w:t>
      </w:r>
      <w:r w:rsidR="00130130">
        <w:rPr>
          <w:color w:val="000000"/>
        </w:rPr>
        <w:lastRenderedPageBreak/>
        <w:t>sales taxes due. We do not know in what town the sales were made. We could have arbitrarily allocated these revenues, but choose not to. Thus, the estimated revenue by town will understate the actual revenue that a town would likely receive if a sales tax is adopted.</w:t>
      </w:r>
    </w:p>
    <w:p w14:paraId="3D76FF32" w14:textId="38F8C02B" w:rsidR="001E626E" w:rsidRDefault="001E626E" w:rsidP="00DE4FF4">
      <w:pPr>
        <w:pStyle w:val="Heading2"/>
      </w:pPr>
      <w:bookmarkStart w:id="126" w:name="_Toc433373687"/>
      <w:r w:rsidRPr="003A7C71">
        <w:t xml:space="preserve">Estimating </w:t>
      </w:r>
      <w:r w:rsidR="00A73F8C">
        <w:t>Income</w:t>
      </w:r>
      <w:r w:rsidRPr="003A7C71">
        <w:t xml:space="preserve"> Tax Revenue</w:t>
      </w:r>
      <w:bookmarkEnd w:id="126"/>
    </w:p>
    <w:p w14:paraId="39F0F415" w14:textId="3B9BFA24" w:rsidR="00A73F8C" w:rsidRPr="00A73F8C" w:rsidRDefault="00A73F8C" w:rsidP="00D422A0">
      <w:pPr>
        <w:spacing w:after="0" w:line="360" w:lineRule="auto"/>
        <w:rPr>
          <w:color w:val="000000"/>
        </w:rPr>
      </w:pPr>
      <w:r>
        <w:rPr>
          <w:color w:val="000000"/>
        </w:rPr>
        <w:tab/>
        <w:t xml:space="preserve">The Connecticut Department of Revenue Services provided data on Connecticut </w:t>
      </w:r>
      <w:r w:rsidR="00E61817">
        <w:rPr>
          <w:color w:val="000000"/>
        </w:rPr>
        <w:t>a</w:t>
      </w:r>
      <w:r>
        <w:rPr>
          <w:color w:val="000000"/>
        </w:rPr>
        <w:t>dj</w:t>
      </w:r>
      <w:r w:rsidR="00E61817">
        <w:rPr>
          <w:color w:val="000000"/>
        </w:rPr>
        <w:t>usted g</w:t>
      </w:r>
      <w:r>
        <w:rPr>
          <w:color w:val="000000"/>
        </w:rPr>
        <w:t xml:space="preserve">ross </w:t>
      </w:r>
      <w:r w:rsidR="00E61817">
        <w:rPr>
          <w:color w:val="000000"/>
        </w:rPr>
        <w:t>i</w:t>
      </w:r>
      <w:r>
        <w:rPr>
          <w:color w:val="000000"/>
        </w:rPr>
        <w:t xml:space="preserve">ncome and </w:t>
      </w:r>
      <w:r w:rsidR="00E61817">
        <w:rPr>
          <w:color w:val="000000"/>
        </w:rPr>
        <w:t>t</w:t>
      </w:r>
      <w:r>
        <w:rPr>
          <w:color w:val="000000"/>
        </w:rPr>
        <w:t xml:space="preserve">ax </w:t>
      </w:r>
      <w:r w:rsidR="00E61817">
        <w:rPr>
          <w:color w:val="000000"/>
        </w:rPr>
        <w:t>l</w:t>
      </w:r>
      <w:r>
        <w:rPr>
          <w:color w:val="000000"/>
        </w:rPr>
        <w:t xml:space="preserve">iability by town of residence for tax year 2013. Returns from out-of-state and out-of-country could not be assigned to a town; including them would increase AGI by 3.1 percent and tax liability by 3.5 percent. </w:t>
      </w:r>
    </w:p>
    <w:p w14:paraId="5BEC8038" w14:textId="0487D478" w:rsidR="00276953" w:rsidRDefault="001E626E" w:rsidP="00D422A0">
      <w:pPr>
        <w:spacing w:after="0" w:line="360" w:lineRule="auto"/>
      </w:pPr>
      <w:r>
        <w:tab/>
        <w:t xml:space="preserve">The Connecticut Department of Labor provided total wage and salary income for residents of each town by place of employment. </w:t>
      </w:r>
      <w:r w:rsidR="00276953">
        <w:t xml:space="preserve">These data </w:t>
      </w:r>
      <w:r w:rsidR="00E61817">
        <w:t xml:space="preserve">come </w:t>
      </w:r>
      <w:r w:rsidR="00276953">
        <w:t xml:space="preserve">from quarterly reports </w:t>
      </w:r>
      <w:r w:rsidR="00E61817">
        <w:t xml:space="preserve">filed </w:t>
      </w:r>
      <w:r w:rsidR="00276953">
        <w:t xml:space="preserve">by </w:t>
      </w:r>
      <w:r w:rsidR="00A73F8C">
        <w:t xml:space="preserve">establishments with employees </w:t>
      </w:r>
      <w:r w:rsidR="00276953">
        <w:t>who ar</w:t>
      </w:r>
      <w:r w:rsidR="00A73F8C">
        <w:t>e required to report wages for each employee by place of work for the employment security tax</w:t>
      </w:r>
      <w:r w:rsidR="00276953">
        <w:t>; these are commonly called ES202 reports</w:t>
      </w:r>
      <w:r w:rsidR="00A73F8C">
        <w:t xml:space="preserve">. </w:t>
      </w:r>
      <w:r w:rsidR="00276953">
        <w:t xml:space="preserve">Not all firms are required to file, so the data will underestimate tax revenue from an earned income tax by place of employment. But adjustments were made to account for the missing establishments. </w:t>
      </w:r>
    </w:p>
    <w:p w14:paraId="2C69173F" w14:textId="3C267716" w:rsidR="00985D89" w:rsidRDefault="00276953" w:rsidP="00D422A0">
      <w:pPr>
        <w:spacing w:after="0" w:line="360" w:lineRule="auto"/>
        <w:ind w:firstLine="720"/>
      </w:pPr>
      <w:r>
        <w:rPr>
          <w:bCs/>
        </w:rPr>
        <w:t>Estimating the earned income tax revenue when the tax is imposed by location of the residence and place of work, with a credit for taxes paid by place of work</w:t>
      </w:r>
      <w:r w:rsidR="004268EB">
        <w:rPr>
          <w:bCs/>
        </w:rPr>
        <w:t>,</w:t>
      </w:r>
      <w:r>
        <w:rPr>
          <w:bCs/>
        </w:rPr>
        <w:t xml:space="preserve"> is more difficult. </w:t>
      </w:r>
      <w:r>
        <w:t>The DOL matched the</w:t>
      </w:r>
      <w:r w:rsidR="00A73F8C">
        <w:t xml:space="preserve"> social security numbers</w:t>
      </w:r>
      <w:r>
        <w:t xml:space="preserve"> from the ES202 reports with social security</w:t>
      </w:r>
      <w:r w:rsidR="00A73F8C">
        <w:t xml:space="preserve"> numbers </w:t>
      </w:r>
      <w:r>
        <w:t>from the</w:t>
      </w:r>
      <w:r w:rsidR="00A73F8C">
        <w:t xml:space="preserve"> Department of Motor Vehicle records in order to determine town of residence</w:t>
      </w:r>
      <w:r>
        <w:t xml:space="preserve"> of each employee</w:t>
      </w:r>
      <w:r w:rsidR="00A73F8C">
        <w:t xml:space="preserve">. </w:t>
      </w:r>
      <w:r>
        <w:t xml:space="preserve">DOL had an 87 percent match </w:t>
      </w:r>
      <w:r w:rsidR="00E61817">
        <w:t xml:space="preserve">rate. Nonmatching was </w:t>
      </w:r>
      <w:r>
        <w:t>due to errors in report</w:t>
      </w:r>
      <w:r w:rsidR="00E61817">
        <w:t>ed</w:t>
      </w:r>
      <w:r>
        <w:t xml:space="preserve"> social security numbers and </w:t>
      </w:r>
      <w:r w:rsidR="004268EB">
        <w:t xml:space="preserve">to </w:t>
      </w:r>
      <w:r>
        <w:t>employees without Connecticut driver’s licenses, including out-of-state workers. In addition</w:t>
      </w:r>
      <w:r w:rsidR="00E61817">
        <w:t>,</w:t>
      </w:r>
      <w:r>
        <w:t xml:space="preserve"> these data do not include </w:t>
      </w:r>
      <w:r w:rsidR="004268EB">
        <w:t>wage and salary</w:t>
      </w:r>
      <w:r>
        <w:t xml:space="preserve"> income of Connecticut residents who work out-of-state</w:t>
      </w:r>
      <w:r w:rsidR="00AC0FBE">
        <w:t xml:space="preserve">; to the extent that these workers work in New York City, they will get a credit for the taxes they pay to NYC. </w:t>
      </w:r>
      <w:r w:rsidR="00985D89">
        <w:t>We allocated to towns the wage and salary income that was not assigned to a town by DOL. We did this assuming the distribution of the unassigned income was the same as the assigned income. Thus, the estimated statewide tax bases are the same, but the distribution across towns differ.</w:t>
      </w:r>
    </w:p>
    <w:p w14:paraId="2707B2DD" w14:textId="6452FD14" w:rsidR="00002DD3" w:rsidRDefault="00AC0FBE" w:rsidP="00D422A0">
      <w:pPr>
        <w:spacing w:after="0" w:line="360" w:lineRule="auto"/>
        <w:ind w:firstLine="720"/>
      </w:pPr>
      <w:r>
        <w:t>Because of these difficulties, the estimated revenue</w:t>
      </w:r>
      <w:r w:rsidR="00985D89">
        <w:t>s</w:t>
      </w:r>
      <w:r>
        <w:t xml:space="preserve"> from this version of the earned income tax are less reliable than the </w:t>
      </w:r>
      <w:r w:rsidR="00985D89">
        <w:t xml:space="preserve">estimated revenue for the </w:t>
      </w:r>
      <w:r>
        <w:t xml:space="preserve">tax based on place of work. </w:t>
      </w:r>
    </w:p>
    <w:p w14:paraId="1A97EDD7" w14:textId="77777777" w:rsidR="00CD2706" w:rsidRDefault="00AC0FBE" w:rsidP="00D422A0">
      <w:pPr>
        <w:spacing w:after="0" w:line="360" w:lineRule="auto"/>
        <w:ind w:firstLine="720"/>
      </w:pPr>
      <w:r>
        <w:t>ES202 data only include wage and salary data, and thus w</w:t>
      </w:r>
      <w:r w:rsidR="001E626E">
        <w:t xml:space="preserve">e had to adjust these data to account for other sources of earned income. To do that we used Census data to determine non-wage and salary earnings as a percentage of total earned income for each town. We inflated the </w:t>
      </w:r>
      <w:r w:rsidR="001E626E">
        <w:lastRenderedPageBreak/>
        <w:t xml:space="preserve">DOL wage and salary income earned in each town by this percentage. We assume that the distribution of this other earned income for each town by place of residence is the same as the distribution of wages and salary income. </w:t>
      </w:r>
    </w:p>
    <w:p w14:paraId="0E782CDE" w14:textId="351CA3E0" w:rsidR="007F5BD5" w:rsidRDefault="00CD2706" w:rsidP="00D422A0">
      <w:pPr>
        <w:spacing w:after="0" w:line="360" w:lineRule="auto"/>
        <w:ind w:firstLine="720"/>
      </w:pPr>
      <w:r>
        <w:t>We compared our estimate of earned income by residence to earned income as reported by the Census Bureau’s American Community Survey (ACS), which is reported by residence. The state totals were within 1 percent of each other. There are differences in the two values for some towns, but generally less than 10 percent. The ACS data is based on a survey with an average error of 10 percent.</w:t>
      </w:r>
      <w:r w:rsidR="007F5BD5">
        <w:br w:type="page"/>
      </w:r>
    </w:p>
    <w:p w14:paraId="2976556B" w14:textId="24A3D262" w:rsidR="001E626E" w:rsidRDefault="007F5BD5" w:rsidP="00DE4FF4">
      <w:pPr>
        <w:pStyle w:val="Heading1"/>
      </w:pPr>
      <w:bookmarkStart w:id="127" w:name="_Toc433373688"/>
      <w:r w:rsidRPr="007F5BD5">
        <w:lastRenderedPageBreak/>
        <w:t xml:space="preserve">Appendix </w:t>
      </w:r>
      <w:r w:rsidR="00D30A9B">
        <w:t xml:space="preserve">B. Appendix </w:t>
      </w:r>
      <w:r w:rsidRPr="007F5BD5">
        <w:t>Tables</w:t>
      </w:r>
      <w:bookmarkEnd w:id="127"/>
    </w:p>
    <w:tbl>
      <w:tblPr>
        <w:tblW w:w="8848" w:type="dxa"/>
        <w:tblInd w:w="108" w:type="dxa"/>
        <w:tblLook w:val="04A0" w:firstRow="1" w:lastRow="0" w:firstColumn="1" w:lastColumn="0" w:noHBand="0" w:noVBand="1"/>
      </w:tblPr>
      <w:tblGrid>
        <w:gridCol w:w="1586"/>
        <w:gridCol w:w="1261"/>
        <w:gridCol w:w="1293"/>
        <w:gridCol w:w="1650"/>
        <w:gridCol w:w="1289"/>
        <w:gridCol w:w="1769"/>
      </w:tblGrid>
      <w:tr w:rsidR="008C45EB" w:rsidRPr="007239A6" w14:paraId="7B1249BC" w14:textId="20F6A7A3" w:rsidTr="00181ACD">
        <w:trPr>
          <w:trHeight w:val="288"/>
        </w:trPr>
        <w:tc>
          <w:tcPr>
            <w:tcW w:w="8848" w:type="dxa"/>
            <w:gridSpan w:val="6"/>
            <w:tcBorders>
              <w:left w:val="nil"/>
              <w:bottom w:val="single" w:sz="4" w:space="0" w:color="auto"/>
              <w:right w:val="nil"/>
            </w:tcBorders>
            <w:shd w:val="clear" w:color="auto" w:fill="auto"/>
            <w:noWrap/>
          </w:tcPr>
          <w:p w14:paraId="12B084ED" w14:textId="3AF52E6E" w:rsidR="008C45EB" w:rsidRPr="007239A6" w:rsidRDefault="008C45EB" w:rsidP="005831B2">
            <w:pPr>
              <w:pStyle w:val="Heading4"/>
              <w:rPr>
                <w:lang w:bidi="ar-SA"/>
              </w:rPr>
            </w:pPr>
            <w:bookmarkStart w:id="128" w:name="_Toc433373700"/>
            <w:r w:rsidRPr="007239A6">
              <w:rPr>
                <w:lang w:bidi="ar-SA"/>
              </w:rPr>
              <w:t>Table A</w:t>
            </w:r>
            <w:r>
              <w:rPr>
                <w:lang w:bidi="ar-SA"/>
              </w:rPr>
              <w:t>1</w:t>
            </w:r>
            <w:r w:rsidRPr="007239A6">
              <w:rPr>
                <w:lang w:bidi="ar-SA"/>
              </w:rPr>
              <w:t>. Local and Regional Sales Tax Revenue</w:t>
            </w:r>
            <w:r>
              <w:rPr>
                <w:lang w:bidi="ar-SA"/>
              </w:rPr>
              <w:t xml:space="preserve"> and Fiscal Disparity Index</w:t>
            </w:r>
            <w:bookmarkEnd w:id="128"/>
          </w:p>
        </w:tc>
      </w:tr>
      <w:tr w:rsidR="00015A86" w:rsidRPr="007239A6" w14:paraId="463C1E08" w14:textId="18E83B89" w:rsidTr="00181ACD">
        <w:trPr>
          <w:trHeight w:val="288"/>
        </w:trPr>
        <w:tc>
          <w:tcPr>
            <w:tcW w:w="1586" w:type="dxa"/>
            <w:tcBorders>
              <w:top w:val="single" w:sz="4" w:space="0" w:color="auto"/>
              <w:left w:val="nil"/>
              <w:bottom w:val="single" w:sz="4" w:space="0" w:color="auto"/>
              <w:right w:val="nil"/>
            </w:tcBorders>
            <w:shd w:val="clear" w:color="auto" w:fill="auto"/>
            <w:noWrap/>
            <w:vAlign w:val="bottom"/>
          </w:tcPr>
          <w:p w14:paraId="4C42BE2B" w14:textId="77777777" w:rsidR="00015A86" w:rsidRPr="007239A6" w:rsidRDefault="00015A86" w:rsidP="00BE59D8">
            <w:pPr>
              <w:spacing w:after="0" w:line="240" w:lineRule="auto"/>
              <w:rPr>
                <w:b/>
                <w:color w:val="000000"/>
                <w:sz w:val="22"/>
                <w:szCs w:val="22"/>
                <w:lang w:bidi="ar-SA"/>
              </w:rPr>
            </w:pPr>
          </w:p>
        </w:tc>
        <w:tc>
          <w:tcPr>
            <w:tcW w:w="2554" w:type="dxa"/>
            <w:gridSpan w:val="2"/>
            <w:tcBorders>
              <w:top w:val="single" w:sz="4" w:space="0" w:color="auto"/>
              <w:left w:val="nil"/>
              <w:bottom w:val="single" w:sz="4" w:space="0" w:color="auto"/>
              <w:right w:val="nil"/>
            </w:tcBorders>
            <w:shd w:val="clear" w:color="auto" w:fill="auto"/>
            <w:noWrap/>
            <w:vAlign w:val="bottom"/>
          </w:tcPr>
          <w:p w14:paraId="37865F3F" w14:textId="2A662DC2" w:rsidR="00015A86" w:rsidRPr="007239A6" w:rsidRDefault="00015A86" w:rsidP="00BE59D8">
            <w:pPr>
              <w:spacing w:after="0" w:line="240" w:lineRule="auto"/>
              <w:jc w:val="center"/>
              <w:rPr>
                <w:b/>
                <w:color w:val="000000"/>
                <w:sz w:val="22"/>
                <w:szCs w:val="22"/>
                <w:lang w:bidi="ar-SA"/>
              </w:rPr>
            </w:pPr>
            <w:r w:rsidRPr="007239A6">
              <w:rPr>
                <w:b/>
                <w:color w:val="000000"/>
                <w:sz w:val="22"/>
                <w:szCs w:val="22"/>
                <w:lang w:bidi="ar-SA"/>
              </w:rPr>
              <w:t>Local Sales Tax</w:t>
            </w:r>
          </w:p>
        </w:tc>
        <w:tc>
          <w:tcPr>
            <w:tcW w:w="2939" w:type="dxa"/>
            <w:gridSpan w:val="2"/>
            <w:tcBorders>
              <w:top w:val="single" w:sz="4" w:space="0" w:color="auto"/>
              <w:left w:val="nil"/>
              <w:bottom w:val="single" w:sz="4" w:space="0" w:color="auto"/>
              <w:right w:val="nil"/>
            </w:tcBorders>
            <w:shd w:val="clear" w:color="auto" w:fill="auto"/>
            <w:noWrap/>
            <w:vAlign w:val="bottom"/>
          </w:tcPr>
          <w:p w14:paraId="3900D5BE" w14:textId="352533E0" w:rsidR="00015A86" w:rsidRPr="007239A6" w:rsidRDefault="00015A86" w:rsidP="00BE59D8">
            <w:pPr>
              <w:spacing w:after="0" w:line="240" w:lineRule="auto"/>
              <w:jc w:val="center"/>
              <w:rPr>
                <w:b/>
                <w:color w:val="000000"/>
                <w:sz w:val="22"/>
                <w:szCs w:val="22"/>
                <w:lang w:bidi="ar-SA"/>
              </w:rPr>
            </w:pPr>
            <w:r w:rsidRPr="007239A6">
              <w:rPr>
                <w:b/>
                <w:color w:val="000000"/>
                <w:sz w:val="22"/>
                <w:szCs w:val="22"/>
                <w:lang w:bidi="ar-SA"/>
              </w:rPr>
              <w:t>Regional Sales Tax</w:t>
            </w:r>
          </w:p>
        </w:tc>
        <w:tc>
          <w:tcPr>
            <w:tcW w:w="1769" w:type="dxa"/>
            <w:tcBorders>
              <w:top w:val="single" w:sz="4" w:space="0" w:color="auto"/>
              <w:left w:val="nil"/>
              <w:bottom w:val="single" w:sz="4" w:space="0" w:color="auto"/>
              <w:right w:val="nil"/>
            </w:tcBorders>
          </w:tcPr>
          <w:p w14:paraId="6E8D6500" w14:textId="77777777" w:rsidR="00015A86" w:rsidRPr="007239A6" w:rsidRDefault="00015A86" w:rsidP="00BE59D8">
            <w:pPr>
              <w:spacing w:after="0" w:line="240" w:lineRule="auto"/>
              <w:jc w:val="center"/>
              <w:rPr>
                <w:b/>
                <w:color w:val="000000"/>
                <w:sz w:val="22"/>
                <w:szCs w:val="22"/>
                <w:lang w:bidi="ar-SA"/>
              </w:rPr>
            </w:pPr>
          </w:p>
        </w:tc>
      </w:tr>
      <w:tr w:rsidR="00015A86" w:rsidRPr="007239A6" w14:paraId="3854B0D2" w14:textId="4168A8A9" w:rsidTr="00181ACD">
        <w:trPr>
          <w:trHeight w:val="288"/>
        </w:trPr>
        <w:tc>
          <w:tcPr>
            <w:tcW w:w="1586" w:type="dxa"/>
            <w:tcBorders>
              <w:top w:val="single" w:sz="4" w:space="0" w:color="auto"/>
              <w:left w:val="nil"/>
              <w:bottom w:val="single" w:sz="4" w:space="0" w:color="auto"/>
              <w:right w:val="nil"/>
            </w:tcBorders>
            <w:shd w:val="clear" w:color="auto" w:fill="auto"/>
            <w:noWrap/>
            <w:vAlign w:val="bottom"/>
          </w:tcPr>
          <w:p w14:paraId="0B58F931" w14:textId="77777777" w:rsidR="00015A86" w:rsidRPr="007239A6" w:rsidRDefault="00015A86" w:rsidP="00BE59D8">
            <w:pPr>
              <w:spacing w:after="0" w:line="240" w:lineRule="auto"/>
              <w:rPr>
                <w:b/>
                <w:color w:val="000000"/>
                <w:sz w:val="22"/>
                <w:szCs w:val="22"/>
                <w:lang w:bidi="ar-SA"/>
              </w:rPr>
            </w:pPr>
            <w:r w:rsidRPr="007239A6">
              <w:rPr>
                <w:b/>
                <w:color w:val="000000"/>
                <w:sz w:val="22"/>
                <w:szCs w:val="22"/>
                <w:lang w:bidi="ar-SA"/>
              </w:rPr>
              <w:t>Town</w:t>
            </w:r>
          </w:p>
        </w:tc>
        <w:tc>
          <w:tcPr>
            <w:tcW w:w="1261" w:type="dxa"/>
            <w:tcBorders>
              <w:top w:val="single" w:sz="4" w:space="0" w:color="auto"/>
              <w:left w:val="nil"/>
              <w:bottom w:val="single" w:sz="4" w:space="0" w:color="auto"/>
              <w:right w:val="nil"/>
            </w:tcBorders>
            <w:shd w:val="clear" w:color="auto" w:fill="auto"/>
            <w:noWrap/>
            <w:vAlign w:val="bottom"/>
          </w:tcPr>
          <w:p w14:paraId="6F5C8FEF" w14:textId="77777777" w:rsidR="00015A86" w:rsidRPr="007239A6" w:rsidRDefault="00015A86" w:rsidP="00BE59D8">
            <w:pPr>
              <w:spacing w:after="0" w:line="240" w:lineRule="auto"/>
              <w:jc w:val="right"/>
              <w:rPr>
                <w:b/>
                <w:color w:val="000000"/>
                <w:sz w:val="22"/>
                <w:szCs w:val="22"/>
                <w:lang w:bidi="ar-SA"/>
              </w:rPr>
            </w:pPr>
            <w:r w:rsidRPr="007239A6">
              <w:rPr>
                <w:b/>
                <w:color w:val="000000"/>
                <w:sz w:val="22"/>
                <w:szCs w:val="22"/>
                <w:lang w:bidi="ar-SA"/>
              </w:rPr>
              <w:t>Total ($1,000)</w:t>
            </w:r>
          </w:p>
        </w:tc>
        <w:tc>
          <w:tcPr>
            <w:tcW w:w="1293" w:type="dxa"/>
            <w:tcBorders>
              <w:top w:val="single" w:sz="4" w:space="0" w:color="auto"/>
              <w:left w:val="nil"/>
              <w:bottom w:val="single" w:sz="4" w:space="0" w:color="auto"/>
              <w:right w:val="nil"/>
            </w:tcBorders>
            <w:shd w:val="clear" w:color="auto" w:fill="auto"/>
            <w:noWrap/>
            <w:vAlign w:val="bottom"/>
          </w:tcPr>
          <w:p w14:paraId="4D0ABA6F" w14:textId="77777777" w:rsidR="00015A86" w:rsidRPr="007239A6" w:rsidRDefault="00015A86" w:rsidP="00BE59D8">
            <w:pPr>
              <w:spacing w:after="0" w:line="240" w:lineRule="auto"/>
              <w:jc w:val="right"/>
              <w:rPr>
                <w:b/>
                <w:color w:val="000000"/>
                <w:sz w:val="22"/>
                <w:szCs w:val="22"/>
                <w:lang w:bidi="ar-SA"/>
              </w:rPr>
            </w:pPr>
            <w:r w:rsidRPr="007239A6">
              <w:rPr>
                <w:b/>
                <w:color w:val="000000"/>
                <w:sz w:val="22"/>
                <w:szCs w:val="22"/>
                <w:lang w:bidi="ar-SA"/>
              </w:rPr>
              <w:t>Per Capita</w:t>
            </w:r>
          </w:p>
        </w:tc>
        <w:tc>
          <w:tcPr>
            <w:tcW w:w="1650" w:type="dxa"/>
            <w:tcBorders>
              <w:top w:val="single" w:sz="4" w:space="0" w:color="auto"/>
              <w:left w:val="nil"/>
              <w:bottom w:val="single" w:sz="4" w:space="0" w:color="auto"/>
              <w:right w:val="nil"/>
            </w:tcBorders>
            <w:shd w:val="clear" w:color="auto" w:fill="auto"/>
            <w:noWrap/>
            <w:vAlign w:val="bottom"/>
          </w:tcPr>
          <w:p w14:paraId="2F9F22D8" w14:textId="77777777" w:rsidR="00015A86" w:rsidRPr="007239A6" w:rsidRDefault="00015A86" w:rsidP="00BE59D8">
            <w:pPr>
              <w:spacing w:after="0" w:line="240" w:lineRule="auto"/>
              <w:jc w:val="right"/>
              <w:rPr>
                <w:b/>
                <w:color w:val="000000"/>
                <w:sz w:val="22"/>
                <w:szCs w:val="22"/>
                <w:lang w:bidi="ar-SA"/>
              </w:rPr>
            </w:pPr>
            <w:r w:rsidRPr="007239A6">
              <w:rPr>
                <w:b/>
                <w:color w:val="000000"/>
                <w:sz w:val="22"/>
                <w:szCs w:val="22"/>
                <w:lang w:bidi="ar-SA"/>
              </w:rPr>
              <w:t>Total ($1,000)</w:t>
            </w:r>
          </w:p>
        </w:tc>
        <w:tc>
          <w:tcPr>
            <w:tcW w:w="1289" w:type="dxa"/>
            <w:tcBorders>
              <w:top w:val="single" w:sz="4" w:space="0" w:color="auto"/>
              <w:left w:val="nil"/>
              <w:bottom w:val="single" w:sz="4" w:space="0" w:color="auto"/>
              <w:right w:val="nil"/>
            </w:tcBorders>
            <w:shd w:val="clear" w:color="auto" w:fill="auto"/>
            <w:noWrap/>
            <w:vAlign w:val="bottom"/>
          </w:tcPr>
          <w:p w14:paraId="07088F3D" w14:textId="77777777" w:rsidR="00015A86" w:rsidRPr="007239A6" w:rsidRDefault="00015A86" w:rsidP="00BE59D8">
            <w:pPr>
              <w:spacing w:after="0" w:line="240" w:lineRule="auto"/>
              <w:jc w:val="right"/>
              <w:rPr>
                <w:b/>
                <w:color w:val="000000"/>
                <w:sz w:val="22"/>
                <w:szCs w:val="22"/>
                <w:lang w:bidi="ar-SA"/>
              </w:rPr>
            </w:pPr>
            <w:r w:rsidRPr="007239A6">
              <w:rPr>
                <w:b/>
                <w:color w:val="000000"/>
                <w:sz w:val="22"/>
                <w:szCs w:val="22"/>
                <w:lang w:bidi="ar-SA"/>
              </w:rPr>
              <w:t>Per Capita</w:t>
            </w:r>
          </w:p>
        </w:tc>
        <w:tc>
          <w:tcPr>
            <w:tcW w:w="1769" w:type="dxa"/>
            <w:tcBorders>
              <w:top w:val="single" w:sz="4" w:space="0" w:color="auto"/>
              <w:left w:val="nil"/>
              <w:bottom w:val="single" w:sz="4" w:space="0" w:color="auto"/>
              <w:right w:val="nil"/>
            </w:tcBorders>
          </w:tcPr>
          <w:p w14:paraId="1A4ECB0A" w14:textId="15A4AE10" w:rsidR="00015A86" w:rsidRPr="007239A6" w:rsidRDefault="00015A86" w:rsidP="00BE59D8">
            <w:pPr>
              <w:spacing w:after="0" w:line="240" w:lineRule="auto"/>
              <w:jc w:val="right"/>
              <w:rPr>
                <w:b/>
                <w:color w:val="000000"/>
                <w:sz w:val="22"/>
                <w:szCs w:val="22"/>
                <w:lang w:bidi="ar-SA"/>
              </w:rPr>
            </w:pPr>
            <w:r>
              <w:rPr>
                <w:b/>
                <w:color w:val="000000"/>
                <w:sz w:val="22"/>
                <w:szCs w:val="22"/>
                <w:lang w:bidi="ar-SA"/>
              </w:rPr>
              <w:t>Fiscal Disparity Index</w:t>
            </w:r>
          </w:p>
        </w:tc>
      </w:tr>
      <w:tr w:rsidR="00015A86" w:rsidRPr="007239A6" w14:paraId="4B56E120" w14:textId="5BD00464" w:rsidTr="00181ACD">
        <w:trPr>
          <w:trHeight w:val="288"/>
        </w:trPr>
        <w:tc>
          <w:tcPr>
            <w:tcW w:w="1586" w:type="dxa"/>
            <w:tcBorders>
              <w:top w:val="single" w:sz="4" w:space="0" w:color="auto"/>
              <w:left w:val="nil"/>
              <w:bottom w:val="nil"/>
              <w:right w:val="nil"/>
            </w:tcBorders>
            <w:shd w:val="clear" w:color="auto" w:fill="auto"/>
            <w:noWrap/>
            <w:vAlign w:val="bottom"/>
            <w:hideMark/>
          </w:tcPr>
          <w:p w14:paraId="241042CE"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Andover</w:t>
            </w:r>
          </w:p>
        </w:tc>
        <w:tc>
          <w:tcPr>
            <w:tcW w:w="1261" w:type="dxa"/>
            <w:tcBorders>
              <w:top w:val="single" w:sz="4" w:space="0" w:color="auto"/>
              <w:left w:val="nil"/>
              <w:bottom w:val="nil"/>
              <w:right w:val="nil"/>
            </w:tcBorders>
            <w:shd w:val="clear" w:color="auto" w:fill="auto"/>
            <w:noWrap/>
            <w:vAlign w:val="bottom"/>
          </w:tcPr>
          <w:p w14:paraId="1EDF9C80" w14:textId="5CF542DF" w:rsidR="00015A86" w:rsidRPr="007239A6" w:rsidRDefault="00015A86" w:rsidP="004C356D">
            <w:pPr>
              <w:spacing w:after="0" w:line="240" w:lineRule="auto"/>
              <w:jc w:val="right"/>
              <w:rPr>
                <w:color w:val="000000"/>
                <w:sz w:val="22"/>
                <w:szCs w:val="22"/>
                <w:lang w:bidi="ar-SA"/>
              </w:rPr>
            </w:pPr>
            <w:r w:rsidRPr="007239A6">
              <w:rPr>
                <w:sz w:val="20"/>
                <w:szCs w:val="20"/>
              </w:rPr>
              <w:t>84.2</w:t>
            </w:r>
          </w:p>
        </w:tc>
        <w:tc>
          <w:tcPr>
            <w:tcW w:w="1293" w:type="dxa"/>
            <w:tcBorders>
              <w:top w:val="single" w:sz="4" w:space="0" w:color="auto"/>
              <w:left w:val="nil"/>
              <w:bottom w:val="nil"/>
              <w:right w:val="nil"/>
            </w:tcBorders>
            <w:shd w:val="clear" w:color="auto" w:fill="auto"/>
            <w:noWrap/>
            <w:vAlign w:val="bottom"/>
          </w:tcPr>
          <w:p w14:paraId="03838ECE" w14:textId="0776D8E4" w:rsidR="00015A86" w:rsidRPr="007239A6" w:rsidRDefault="00015A86" w:rsidP="004C356D">
            <w:pPr>
              <w:spacing w:after="0" w:line="240" w:lineRule="auto"/>
              <w:jc w:val="right"/>
              <w:rPr>
                <w:color w:val="000000"/>
                <w:sz w:val="22"/>
                <w:szCs w:val="22"/>
                <w:lang w:bidi="ar-SA"/>
              </w:rPr>
            </w:pPr>
            <w:r w:rsidRPr="007239A6">
              <w:rPr>
                <w:sz w:val="20"/>
                <w:szCs w:val="20"/>
              </w:rPr>
              <w:t xml:space="preserve">27 </w:t>
            </w:r>
          </w:p>
        </w:tc>
        <w:tc>
          <w:tcPr>
            <w:tcW w:w="1650" w:type="dxa"/>
            <w:tcBorders>
              <w:top w:val="single" w:sz="4" w:space="0" w:color="auto"/>
              <w:left w:val="nil"/>
              <w:bottom w:val="nil"/>
              <w:right w:val="nil"/>
            </w:tcBorders>
            <w:shd w:val="clear" w:color="auto" w:fill="auto"/>
            <w:noWrap/>
            <w:vAlign w:val="bottom"/>
          </w:tcPr>
          <w:p w14:paraId="690A2011" w14:textId="75014F74" w:rsidR="00015A86" w:rsidRPr="007239A6" w:rsidRDefault="00015A86" w:rsidP="004C356D">
            <w:pPr>
              <w:spacing w:after="0" w:line="240" w:lineRule="auto"/>
              <w:jc w:val="right"/>
              <w:rPr>
                <w:color w:val="000000"/>
                <w:sz w:val="22"/>
                <w:szCs w:val="22"/>
                <w:lang w:bidi="ar-SA"/>
              </w:rPr>
            </w:pPr>
            <w:r w:rsidRPr="007239A6">
              <w:rPr>
                <w:sz w:val="20"/>
                <w:szCs w:val="20"/>
              </w:rPr>
              <w:t>268.3</w:t>
            </w:r>
          </w:p>
        </w:tc>
        <w:tc>
          <w:tcPr>
            <w:tcW w:w="1289" w:type="dxa"/>
            <w:tcBorders>
              <w:top w:val="single" w:sz="4" w:space="0" w:color="auto"/>
              <w:left w:val="nil"/>
              <w:bottom w:val="nil"/>
              <w:right w:val="nil"/>
            </w:tcBorders>
            <w:shd w:val="clear" w:color="auto" w:fill="auto"/>
            <w:noWrap/>
            <w:vAlign w:val="bottom"/>
          </w:tcPr>
          <w:p w14:paraId="447D24F6" w14:textId="0A8D9510" w:rsidR="00015A86" w:rsidRPr="007239A6" w:rsidRDefault="00015A86" w:rsidP="004C356D">
            <w:pPr>
              <w:spacing w:after="0" w:line="240" w:lineRule="auto"/>
              <w:jc w:val="right"/>
              <w:rPr>
                <w:color w:val="000000"/>
                <w:sz w:val="22"/>
                <w:szCs w:val="22"/>
                <w:lang w:bidi="ar-SA"/>
              </w:rPr>
            </w:pPr>
            <w:r w:rsidRPr="007239A6">
              <w:rPr>
                <w:sz w:val="20"/>
                <w:szCs w:val="20"/>
              </w:rPr>
              <w:t xml:space="preserve">87 </w:t>
            </w:r>
          </w:p>
        </w:tc>
        <w:tc>
          <w:tcPr>
            <w:tcW w:w="1769" w:type="dxa"/>
            <w:tcBorders>
              <w:top w:val="single" w:sz="4" w:space="0" w:color="auto"/>
              <w:left w:val="nil"/>
              <w:bottom w:val="nil"/>
              <w:right w:val="nil"/>
            </w:tcBorders>
            <w:vAlign w:val="bottom"/>
          </w:tcPr>
          <w:p w14:paraId="3BD93E2E" w14:textId="555D9609" w:rsidR="00015A86" w:rsidRPr="00A54231" w:rsidRDefault="00015A86" w:rsidP="004C356D">
            <w:pPr>
              <w:spacing w:after="0" w:line="240" w:lineRule="auto"/>
              <w:jc w:val="right"/>
              <w:rPr>
                <w:sz w:val="20"/>
                <w:szCs w:val="20"/>
              </w:rPr>
            </w:pPr>
            <w:r w:rsidRPr="00A54231">
              <w:rPr>
                <w:color w:val="000000"/>
                <w:sz w:val="20"/>
                <w:szCs w:val="20"/>
              </w:rPr>
              <w:t>75.81</w:t>
            </w:r>
          </w:p>
        </w:tc>
      </w:tr>
      <w:tr w:rsidR="00015A86" w:rsidRPr="007239A6" w14:paraId="79D5E640" w14:textId="183347A0" w:rsidTr="00181ACD">
        <w:trPr>
          <w:trHeight w:val="288"/>
        </w:trPr>
        <w:tc>
          <w:tcPr>
            <w:tcW w:w="1586" w:type="dxa"/>
            <w:tcBorders>
              <w:top w:val="nil"/>
              <w:left w:val="nil"/>
              <w:bottom w:val="nil"/>
              <w:right w:val="nil"/>
            </w:tcBorders>
            <w:shd w:val="clear" w:color="auto" w:fill="auto"/>
            <w:noWrap/>
            <w:vAlign w:val="bottom"/>
            <w:hideMark/>
          </w:tcPr>
          <w:p w14:paraId="5F07672F"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Ansonia</w:t>
            </w:r>
          </w:p>
        </w:tc>
        <w:tc>
          <w:tcPr>
            <w:tcW w:w="1261" w:type="dxa"/>
            <w:tcBorders>
              <w:top w:val="nil"/>
              <w:left w:val="nil"/>
              <w:bottom w:val="nil"/>
              <w:right w:val="nil"/>
            </w:tcBorders>
            <w:shd w:val="clear" w:color="auto" w:fill="auto"/>
            <w:noWrap/>
            <w:vAlign w:val="bottom"/>
          </w:tcPr>
          <w:p w14:paraId="3A0E58C1" w14:textId="48134465" w:rsidR="00015A86" w:rsidRPr="007239A6" w:rsidRDefault="00015A86" w:rsidP="004C356D">
            <w:pPr>
              <w:spacing w:after="0" w:line="240" w:lineRule="auto"/>
              <w:jc w:val="right"/>
              <w:rPr>
                <w:color w:val="000000"/>
                <w:sz w:val="22"/>
                <w:szCs w:val="22"/>
                <w:lang w:bidi="ar-SA"/>
              </w:rPr>
            </w:pPr>
            <w:r w:rsidRPr="007239A6">
              <w:rPr>
                <w:sz w:val="20"/>
                <w:szCs w:val="20"/>
              </w:rPr>
              <w:t>1,104.0</w:t>
            </w:r>
          </w:p>
        </w:tc>
        <w:tc>
          <w:tcPr>
            <w:tcW w:w="1293" w:type="dxa"/>
            <w:tcBorders>
              <w:top w:val="nil"/>
              <w:left w:val="nil"/>
              <w:bottom w:val="nil"/>
              <w:right w:val="nil"/>
            </w:tcBorders>
            <w:shd w:val="clear" w:color="auto" w:fill="auto"/>
            <w:noWrap/>
            <w:vAlign w:val="bottom"/>
          </w:tcPr>
          <w:p w14:paraId="536FC66B" w14:textId="756B636A" w:rsidR="00015A86" w:rsidRPr="007239A6" w:rsidRDefault="00015A86" w:rsidP="004C356D">
            <w:pPr>
              <w:spacing w:after="0" w:line="240" w:lineRule="auto"/>
              <w:jc w:val="right"/>
              <w:rPr>
                <w:color w:val="000000"/>
                <w:sz w:val="22"/>
                <w:szCs w:val="22"/>
                <w:lang w:bidi="ar-SA"/>
              </w:rPr>
            </w:pPr>
            <w:r w:rsidRPr="007239A6">
              <w:rPr>
                <w:sz w:val="20"/>
                <w:szCs w:val="20"/>
              </w:rPr>
              <w:t xml:space="preserve">58 </w:t>
            </w:r>
          </w:p>
        </w:tc>
        <w:tc>
          <w:tcPr>
            <w:tcW w:w="1650" w:type="dxa"/>
            <w:tcBorders>
              <w:top w:val="nil"/>
              <w:left w:val="nil"/>
              <w:bottom w:val="nil"/>
              <w:right w:val="nil"/>
            </w:tcBorders>
            <w:shd w:val="clear" w:color="auto" w:fill="auto"/>
            <w:noWrap/>
            <w:vAlign w:val="bottom"/>
          </w:tcPr>
          <w:p w14:paraId="021BDCB4" w14:textId="4E51F92B" w:rsidR="00015A86" w:rsidRPr="007239A6" w:rsidRDefault="00015A86" w:rsidP="004C356D">
            <w:pPr>
              <w:spacing w:after="0" w:line="240" w:lineRule="auto"/>
              <w:jc w:val="right"/>
              <w:rPr>
                <w:color w:val="000000"/>
                <w:sz w:val="22"/>
                <w:szCs w:val="22"/>
                <w:lang w:bidi="ar-SA"/>
              </w:rPr>
            </w:pPr>
            <w:r w:rsidRPr="007239A6">
              <w:rPr>
                <w:sz w:val="20"/>
                <w:szCs w:val="20"/>
              </w:rPr>
              <w:t>1334.5</w:t>
            </w:r>
          </w:p>
        </w:tc>
        <w:tc>
          <w:tcPr>
            <w:tcW w:w="1289" w:type="dxa"/>
            <w:tcBorders>
              <w:top w:val="nil"/>
              <w:left w:val="nil"/>
              <w:bottom w:val="nil"/>
              <w:right w:val="nil"/>
            </w:tcBorders>
            <w:shd w:val="clear" w:color="auto" w:fill="auto"/>
            <w:noWrap/>
            <w:vAlign w:val="bottom"/>
          </w:tcPr>
          <w:p w14:paraId="01EE931A" w14:textId="749C46E0" w:rsidR="00015A86" w:rsidRPr="007239A6" w:rsidRDefault="00015A86" w:rsidP="004C356D">
            <w:pPr>
              <w:spacing w:after="0" w:line="240" w:lineRule="auto"/>
              <w:jc w:val="right"/>
              <w:rPr>
                <w:color w:val="000000"/>
                <w:sz w:val="22"/>
                <w:szCs w:val="22"/>
                <w:lang w:bidi="ar-SA"/>
              </w:rPr>
            </w:pPr>
            <w:r w:rsidRPr="007239A6">
              <w:rPr>
                <w:sz w:val="20"/>
                <w:szCs w:val="20"/>
              </w:rPr>
              <w:t xml:space="preserve">70 </w:t>
            </w:r>
          </w:p>
        </w:tc>
        <w:tc>
          <w:tcPr>
            <w:tcW w:w="1769" w:type="dxa"/>
            <w:tcBorders>
              <w:top w:val="nil"/>
              <w:left w:val="nil"/>
              <w:bottom w:val="nil"/>
              <w:right w:val="nil"/>
            </w:tcBorders>
            <w:vAlign w:val="bottom"/>
          </w:tcPr>
          <w:p w14:paraId="3F2B6E19" w14:textId="11AB605E" w:rsidR="00015A86" w:rsidRPr="00A54231" w:rsidRDefault="00015A86" w:rsidP="004C356D">
            <w:pPr>
              <w:spacing w:after="0" w:line="240" w:lineRule="auto"/>
              <w:jc w:val="right"/>
              <w:rPr>
                <w:sz w:val="20"/>
                <w:szCs w:val="20"/>
              </w:rPr>
            </w:pPr>
            <w:r w:rsidRPr="00A54231">
              <w:rPr>
                <w:color w:val="000000"/>
                <w:sz w:val="20"/>
                <w:szCs w:val="20"/>
              </w:rPr>
              <w:t>667.30</w:t>
            </w:r>
          </w:p>
        </w:tc>
      </w:tr>
      <w:tr w:rsidR="00015A86" w:rsidRPr="007239A6" w14:paraId="73C979E1" w14:textId="002B92AD" w:rsidTr="00181ACD">
        <w:trPr>
          <w:trHeight w:val="288"/>
        </w:trPr>
        <w:tc>
          <w:tcPr>
            <w:tcW w:w="1586" w:type="dxa"/>
            <w:tcBorders>
              <w:top w:val="nil"/>
              <w:left w:val="nil"/>
              <w:bottom w:val="nil"/>
              <w:right w:val="nil"/>
            </w:tcBorders>
            <w:shd w:val="clear" w:color="auto" w:fill="auto"/>
            <w:noWrap/>
            <w:vAlign w:val="bottom"/>
            <w:hideMark/>
          </w:tcPr>
          <w:p w14:paraId="1DEF107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Ashford</w:t>
            </w:r>
          </w:p>
        </w:tc>
        <w:tc>
          <w:tcPr>
            <w:tcW w:w="1261" w:type="dxa"/>
            <w:tcBorders>
              <w:top w:val="nil"/>
              <w:left w:val="nil"/>
              <w:bottom w:val="nil"/>
              <w:right w:val="nil"/>
            </w:tcBorders>
            <w:shd w:val="clear" w:color="auto" w:fill="auto"/>
            <w:noWrap/>
            <w:vAlign w:val="bottom"/>
          </w:tcPr>
          <w:p w14:paraId="7757C918" w14:textId="2633B94D" w:rsidR="00015A86" w:rsidRPr="007239A6" w:rsidRDefault="00015A86" w:rsidP="004C356D">
            <w:pPr>
              <w:spacing w:after="0" w:line="240" w:lineRule="auto"/>
              <w:jc w:val="right"/>
              <w:rPr>
                <w:color w:val="000000"/>
                <w:sz w:val="22"/>
                <w:szCs w:val="22"/>
                <w:lang w:bidi="ar-SA"/>
              </w:rPr>
            </w:pPr>
            <w:r w:rsidRPr="007239A6">
              <w:rPr>
                <w:sz w:val="20"/>
                <w:szCs w:val="20"/>
              </w:rPr>
              <w:t>135.7</w:t>
            </w:r>
          </w:p>
        </w:tc>
        <w:tc>
          <w:tcPr>
            <w:tcW w:w="1293" w:type="dxa"/>
            <w:tcBorders>
              <w:top w:val="nil"/>
              <w:left w:val="nil"/>
              <w:bottom w:val="nil"/>
              <w:right w:val="nil"/>
            </w:tcBorders>
            <w:shd w:val="clear" w:color="auto" w:fill="auto"/>
            <w:noWrap/>
            <w:vAlign w:val="bottom"/>
          </w:tcPr>
          <w:p w14:paraId="7DCAA76F" w14:textId="33D1C960" w:rsidR="00015A86" w:rsidRPr="007239A6" w:rsidRDefault="00015A86" w:rsidP="004C356D">
            <w:pPr>
              <w:spacing w:after="0" w:line="240" w:lineRule="auto"/>
              <w:jc w:val="right"/>
              <w:rPr>
                <w:color w:val="000000"/>
                <w:sz w:val="22"/>
                <w:szCs w:val="22"/>
                <w:lang w:bidi="ar-SA"/>
              </w:rPr>
            </w:pPr>
            <w:r w:rsidRPr="007239A6">
              <w:rPr>
                <w:sz w:val="20"/>
                <w:szCs w:val="20"/>
              </w:rPr>
              <w:t xml:space="preserve">32 </w:t>
            </w:r>
          </w:p>
        </w:tc>
        <w:tc>
          <w:tcPr>
            <w:tcW w:w="1650" w:type="dxa"/>
            <w:tcBorders>
              <w:top w:val="nil"/>
              <w:left w:val="nil"/>
              <w:bottom w:val="nil"/>
              <w:right w:val="nil"/>
            </w:tcBorders>
            <w:shd w:val="clear" w:color="auto" w:fill="auto"/>
            <w:noWrap/>
            <w:vAlign w:val="bottom"/>
          </w:tcPr>
          <w:p w14:paraId="62864821" w14:textId="39D0D358" w:rsidR="00015A86" w:rsidRPr="007239A6" w:rsidRDefault="00015A86" w:rsidP="004C356D">
            <w:pPr>
              <w:spacing w:after="0" w:line="240" w:lineRule="auto"/>
              <w:jc w:val="right"/>
              <w:rPr>
                <w:color w:val="000000"/>
                <w:sz w:val="22"/>
                <w:szCs w:val="22"/>
                <w:lang w:bidi="ar-SA"/>
              </w:rPr>
            </w:pPr>
            <w:r w:rsidRPr="007239A6">
              <w:rPr>
                <w:sz w:val="20"/>
                <w:szCs w:val="20"/>
              </w:rPr>
              <w:t>207.3</w:t>
            </w:r>
          </w:p>
        </w:tc>
        <w:tc>
          <w:tcPr>
            <w:tcW w:w="1289" w:type="dxa"/>
            <w:tcBorders>
              <w:top w:val="nil"/>
              <w:left w:val="nil"/>
              <w:bottom w:val="nil"/>
              <w:right w:val="nil"/>
            </w:tcBorders>
            <w:shd w:val="clear" w:color="auto" w:fill="auto"/>
            <w:noWrap/>
            <w:vAlign w:val="bottom"/>
          </w:tcPr>
          <w:p w14:paraId="548A0F1A" w14:textId="2A57E4D4" w:rsidR="00015A86" w:rsidRPr="007239A6" w:rsidRDefault="00015A86" w:rsidP="004C356D">
            <w:pPr>
              <w:spacing w:after="0" w:line="240" w:lineRule="auto"/>
              <w:jc w:val="right"/>
              <w:rPr>
                <w:color w:val="000000"/>
                <w:sz w:val="22"/>
                <w:szCs w:val="22"/>
                <w:lang w:bidi="ar-SA"/>
              </w:rPr>
            </w:pPr>
            <w:r w:rsidRPr="007239A6">
              <w:rPr>
                <w:sz w:val="20"/>
                <w:szCs w:val="20"/>
              </w:rPr>
              <w:t xml:space="preserve">48 </w:t>
            </w:r>
          </w:p>
        </w:tc>
        <w:tc>
          <w:tcPr>
            <w:tcW w:w="1769" w:type="dxa"/>
            <w:tcBorders>
              <w:top w:val="nil"/>
              <w:left w:val="nil"/>
              <w:bottom w:val="nil"/>
              <w:right w:val="nil"/>
            </w:tcBorders>
            <w:vAlign w:val="bottom"/>
          </w:tcPr>
          <w:p w14:paraId="6BD32700" w14:textId="72720FD1" w:rsidR="00015A86" w:rsidRPr="00A54231" w:rsidRDefault="00015A86" w:rsidP="004C356D">
            <w:pPr>
              <w:spacing w:after="0" w:line="240" w:lineRule="auto"/>
              <w:jc w:val="right"/>
              <w:rPr>
                <w:sz w:val="20"/>
                <w:szCs w:val="20"/>
              </w:rPr>
            </w:pPr>
            <w:r w:rsidRPr="00A54231">
              <w:rPr>
                <w:color w:val="000000"/>
                <w:sz w:val="20"/>
                <w:szCs w:val="20"/>
              </w:rPr>
              <w:t>289.15</w:t>
            </w:r>
          </w:p>
        </w:tc>
      </w:tr>
      <w:tr w:rsidR="00015A86" w:rsidRPr="007239A6" w14:paraId="5E9DDA3A" w14:textId="1E8C1B2C" w:rsidTr="00181ACD">
        <w:trPr>
          <w:trHeight w:val="288"/>
        </w:trPr>
        <w:tc>
          <w:tcPr>
            <w:tcW w:w="1586" w:type="dxa"/>
            <w:tcBorders>
              <w:top w:val="nil"/>
              <w:left w:val="nil"/>
              <w:bottom w:val="nil"/>
              <w:right w:val="nil"/>
            </w:tcBorders>
            <w:shd w:val="clear" w:color="auto" w:fill="auto"/>
            <w:noWrap/>
            <w:vAlign w:val="bottom"/>
            <w:hideMark/>
          </w:tcPr>
          <w:p w14:paraId="13559B09"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Avon</w:t>
            </w:r>
          </w:p>
        </w:tc>
        <w:tc>
          <w:tcPr>
            <w:tcW w:w="1261" w:type="dxa"/>
            <w:tcBorders>
              <w:top w:val="nil"/>
              <w:left w:val="nil"/>
              <w:bottom w:val="nil"/>
              <w:right w:val="nil"/>
            </w:tcBorders>
            <w:shd w:val="clear" w:color="auto" w:fill="auto"/>
            <w:noWrap/>
            <w:vAlign w:val="bottom"/>
          </w:tcPr>
          <w:p w14:paraId="56296A21" w14:textId="295873F3" w:rsidR="00015A86" w:rsidRPr="007239A6" w:rsidRDefault="00015A86" w:rsidP="004C356D">
            <w:pPr>
              <w:spacing w:after="0" w:line="240" w:lineRule="auto"/>
              <w:jc w:val="right"/>
              <w:rPr>
                <w:color w:val="000000"/>
                <w:sz w:val="22"/>
                <w:szCs w:val="22"/>
                <w:lang w:bidi="ar-SA"/>
              </w:rPr>
            </w:pPr>
            <w:r w:rsidRPr="007239A6">
              <w:rPr>
                <w:sz w:val="20"/>
                <w:szCs w:val="20"/>
              </w:rPr>
              <w:t>2,343.5</w:t>
            </w:r>
          </w:p>
        </w:tc>
        <w:tc>
          <w:tcPr>
            <w:tcW w:w="1293" w:type="dxa"/>
            <w:tcBorders>
              <w:top w:val="nil"/>
              <w:left w:val="nil"/>
              <w:bottom w:val="nil"/>
              <w:right w:val="nil"/>
            </w:tcBorders>
            <w:shd w:val="clear" w:color="auto" w:fill="auto"/>
            <w:noWrap/>
            <w:vAlign w:val="bottom"/>
          </w:tcPr>
          <w:p w14:paraId="0DD9673B" w14:textId="1227490F" w:rsidR="00015A86" w:rsidRPr="007239A6" w:rsidRDefault="00015A86" w:rsidP="004C356D">
            <w:pPr>
              <w:spacing w:after="0" w:line="240" w:lineRule="auto"/>
              <w:jc w:val="right"/>
              <w:rPr>
                <w:color w:val="000000"/>
                <w:sz w:val="22"/>
                <w:szCs w:val="22"/>
                <w:lang w:bidi="ar-SA"/>
              </w:rPr>
            </w:pPr>
            <w:r w:rsidRPr="007239A6">
              <w:rPr>
                <w:sz w:val="20"/>
                <w:szCs w:val="20"/>
              </w:rPr>
              <w:t xml:space="preserve">129 </w:t>
            </w:r>
          </w:p>
        </w:tc>
        <w:tc>
          <w:tcPr>
            <w:tcW w:w="1650" w:type="dxa"/>
            <w:tcBorders>
              <w:top w:val="nil"/>
              <w:left w:val="nil"/>
              <w:bottom w:val="nil"/>
              <w:right w:val="nil"/>
            </w:tcBorders>
            <w:shd w:val="clear" w:color="auto" w:fill="auto"/>
            <w:noWrap/>
            <w:vAlign w:val="bottom"/>
          </w:tcPr>
          <w:p w14:paraId="685A03D8" w14:textId="1B489FF4" w:rsidR="00015A86" w:rsidRPr="007239A6" w:rsidRDefault="00015A86" w:rsidP="004C356D">
            <w:pPr>
              <w:spacing w:after="0" w:line="240" w:lineRule="auto"/>
              <w:jc w:val="right"/>
              <w:rPr>
                <w:color w:val="000000"/>
                <w:sz w:val="22"/>
                <w:szCs w:val="22"/>
                <w:lang w:bidi="ar-SA"/>
              </w:rPr>
            </w:pPr>
            <w:r w:rsidRPr="007239A6">
              <w:rPr>
                <w:sz w:val="20"/>
                <w:szCs w:val="20"/>
              </w:rPr>
              <w:t>2342.8</w:t>
            </w:r>
          </w:p>
        </w:tc>
        <w:tc>
          <w:tcPr>
            <w:tcW w:w="1289" w:type="dxa"/>
            <w:tcBorders>
              <w:top w:val="nil"/>
              <w:left w:val="nil"/>
              <w:bottom w:val="nil"/>
              <w:right w:val="nil"/>
            </w:tcBorders>
            <w:shd w:val="clear" w:color="auto" w:fill="auto"/>
            <w:noWrap/>
            <w:vAlign w:val="bottom"/>
          </w:tcPr>
          <w:p w14:paraId="60526543" w14:textId="08F270C3" w:rsidR="00015A86" w:rsidRPr="007239A6" w:rsidRDefault="00015A86" w:rsidP="004C356D">
            <w:pPr>
              <w:spacing w:after="0" w:line="240" w:lineRule="auto"/>
              <w:jc w:val="right"/>
              <w:rPr>
                <w:color w:val="000000"/>
                <w:sz w:val="22"/>
                <w:szCs w:val="22"/>
                <w:lang w:bidi="ar-SA"/>
              </w:rPr>
            </w:pPr>
            <w:r w:rsidRPr="007239A6">
              <w:rPr>
                <w:sz w:val="20"/>
                <w:szCs w:val="20"/>
              </w:rPr>
              <w:t xml:space="preserve">129 </w:t>
            </w:r>
          </w:p>
        </w:tc>
        <w:tc>
          <w:tcPr>
            <w:tcW w:w="1769" w:type="dxa"/>
            <w:tcBorders>
              <w:top w:val="nil"/>
              <w:left w:val="nil"/>
              <w:bottom w:val="nil"/>
              <w:right w:val="nil"/>
            </w:tcBorders>
            <w:vAlign w:val="bottom"/>
          </w:tcPr>
          <w:p w14:paraId="5EBA37F8" w14:textId="4C99FB88" w:rsidR="00015A86" w:rsidRPr="00A54231" w:rsidRDefault="00015A86" w:rsidP="004C356D">
            <w:pPr>
              <w:spacing w:after="0" w:line="240" w:lineRule="auto"/>
              <w:jc w:val="right"/>
              <w:rPr>
                <w:sz w:val="20"/>
                <w:szCs w:val="20"/>
              </w:rPr>
            </w:pPr>
            <w:r w:rsidRPr="00A54231">
              <w:rPr>
                <w:color w:val="000000"/>
                <w:sz w:val="20"/>
                <w:szCs w:val="20"/>
              </w:rPr>
              <w:t>-611.39</w:t>
            </w:r>
          </w:p>
        </w:tc>
      </w:tr>
      <w:tr w:rsidR="00015A86" w:rsidRPr="007239A6" w14:paraId="2F3D2756" w14:textId="2902121E" w:rsidTr="00181ACD">
        <w:trPr>
          <w:trHeight w:val="288"/>
        </w:trPr>
        <w:tc>
          <w:tcPr>
            <w:tcW w:w="1586" w:type="dxa"/>
            <w:tcBorders>
              <w:top w:val="nil"/>
              <w:left w:val="nil"/>
              <w:bottom w:val="nil"/>
              <w:right w:val="nil"/>
            </w:tcBorders>
            <w:shd w:val="clear" w:color="auto" w:fill="auto"/>
            <w:noWrap/>
            <w:vAlign w:val="bottom"/>
            <w:hideMark/>
          </w:tcPr>
          <w:p w14:paraId="68C9B9E9"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Barkhamsted</w:t>
            </w:r>
          </w:p>
        </w:tc>
        <w:tc>
          <w:tcPr>
            <w:tcW w:w="1261" w:type="dxa"/>
            <w:tcBorders>
              <w:top w:val="nil"/>
              <w:left w:val="nil"/>
              <w:bottom w:val="nil"/>
              <w:right w:val="nil"/>
            </w:tcBorders>
            <w:shd w:val="clear" w:color="auto" w:fill="auto"/>
            <w:noWrap/>
            <w:vAlign w:val="bottom"/>
          </w:tcPr>
          <w:p w14:paraId="1DEE0D7E" w14:textId="4164F4DD" w:rsidR="00015A86" w:rsidRPr="007239A6" w:rsidRDefault="00015A86" w:rsidP="004C356D">
            <w:pPr>
              <w:spacing w:after="0" w:line="240" w:lineRule="auto"/>
              <w:jc w:val="right"/>
              <w:rPr>
                <w:color w:val="000000"/>
                <w:sz w:val="22"/>
                <w:szCs w:val="22"/>
                <w:lang w:bidi="ar-SA"/>
              </w:rPr>
            </w:pPr>
            <w:r w:rsidRPr="007239A6">
              <w:rPr>
                <w:sz w:val="20"/>
                <w:szCs w:val="20"/>
              </w:rPr>
              <w:t>162.0</w:t>
            </w:r>
          </w:p>
        </w:tc>
        <w:tc>
          <w:tcPr>
            <w:tcW w:w="1293" w:type="dxa"/>
            <w:tcBorders>
              <w:top w:val="nil"/>
              <w:left w:val="nil"/>
              <w:bottom w:val="nil"/>
              <w:right w:val="nil"/>
            </w:tcBorders>
            <w:shd w:val="clear" w:color="auto" w:fill="auto"/>
            <w:noWrap/>
            <w:vAlign w:val="bottom"/>
          </w:tcPr>
          <w:p w14:paraId="50885930" w14:textId="082A8E7B" w:rsidR="00015A86" w:rsidRPr="007239A6" w:rsidRDefault="00015A86" w:rsidP="004C356D">
            <w:pPr>
              <w:spacing w:after="0" w:line="240" w:lineRule="auto"/>
              <w:jc w:val="right"/>
              <w:rPr>
                <w:color w:val="000000"/>
                <w:sz w:val="22"/>
                <w:szCs w:val="22"/>
                <w:lang w:bidi="ar-SA"/>
              </w:rPr>
            </w:pPr>
            <w:r w:rsidRPr="007239A6">
              <w:rPr>
                <w:sz w:val="20"/>
                <w:szCs w:val="20"/>
              </w:rPr>
              <w:t xml:space="preserve">43 </w:t>
            </w:r>
          </w:p>
        </w:tc>
        <w:tc>
          <w:tcPr>
            <w:tcW w:w="1650" w:type="dxa"/>
            <w:tcBorders>
              <w:top w:val="nil"/>
              <w:left w:val="nil"/>
              <w:bottom w:val="nil"/>
              <w:right w:val="nil"/>
            </w:tcBorders>
            <w:shd w:val="clear" w:color="auto" w:fill="auto"/>
            <w:noWrap/>
            <w:vAlign w:val="bottom"/>
          </w:tcPr>
          <w:p w14:paraId="19D26C0B" w14:textId="4C2D03F8" w:rsidR="00015A86" w:rsidRPr="007239A6" w:rsidRDefault="00015A86" w:rsidP="004C356D">
            <w:pPr>
              <w:spacing w:after="0" w:line="240" w:lineRule="auto"/>
              <w:jc w:val="right"/>
              <w:rPr>
                <w:color w:val="000000"/>
                <w:sz w:val="22"/>
                <w:szCs w:val="22"/>
                <w:lang w:bidi="ar-SA"/>
              </w:rPr>
            </w:pPr>
            <w:r w:rsidRPr="007239A6">
              <w:rPr>
                <w:sz w:val="20"/>
                <w:szCs w:val="20"/>
              </w:rPr>
              <w:t>357.6</w:t>
            </w:r>
          </w:p>
        </w:tc>
        <w:tc>
          <w:tcPr>
            <w:tcW w:w="1289" w:type="dxa"/>
            <w:tcBorders>
              <w:top w:val="nil"/>
              <w:left w:val="nil"/>
              <w:bottom w:val="nil"/>
              <w:right w:val="nil"/>
            </w:tcBorders>
            <w:shd w:val="clear" w:color="auto" w:fill="auto"/>
            <w:noWrap/>
            <w:vAlign w:val="bottom"/>
          </w:tcPr>
          <w:p w14:paraId="3887A129" w14:textId="57DC90DA" w:rsidR="00015A86" w:rsidRPr="007239A6" w:rsidRDefault="00015A86" w:rsidP="004C356D">
            <w:pPr>
              <w:spacing w:after="0" w:line="240" w:lineRule="auto"/>
              <w:jc w:val="right"/>
              <w:rPr>
                <w:color w:val="000000"/>
                <w:sz w:val="22"/>
                <w:szCs w:val="22"/>
                <w:lang w:bidi="ar-SA"/>
              </w:rPr>
            </w:pPr>
            <w:r w:rsidRPr="007239A6">
              <w:rPr>
                <w:sz w:val="20"/>
                <w:szCs w:val="20"/>
              </w:rPr>
              <w:t xml:space="preserve">95 </w:t>
            </w:r>
          </w:p>
        </w:tc>
        <w:tc>
          <w:tcPr>
            <w:tcW w:w="1769" w:type="dxa"/>
            <w:tcBorders>
              <w:top w:val="nil"/>
              <w:left w:val="nil"/>
              <w:bottom w:val="nil"/>
              <w:right w:val="nil"/>
            </w:tcBorders>
            <w:vAlign w:val="bottom"/>
          </w:tcPr>
          <w:p w14:paraId="27570D8A" w14:textId="7F674A4D" w:rsidR="00015A86" w:rsidRPr="00A54231" w:rsidRDefault="00015A86" w:rsidP="004C356D">
            <w:pPr>
              <w:spacing w:after="0" w:line="240" w:lineRule="auto"/>
              <w:jc w:val="right"/>
              <w:rPr>
                <w:sz w:val="20"/>
                <w:szCs w:val="20"/>
              </w:rPr>
            </w:pPr>
            <w:r w:rsidRPr="00A54231">
              <w:rPr>
                <w:color w:val="000000"/>
                <w:sz w:val="20"/>
                <w:szCs w:val="20"/>
              </w:rPr>
              <w:t>-28.33</w:t>
            </w:r>
          </w:p>
        </w:tc>
      </w:tr>
      <w:tr w:rsidR="00015A86" w:rsidRPr="007239A6" w14:paraId="2248414F" w14:textId="51AF222D" w:rsidTr="00181ACD">
        <w:trPr>
          <w:trHeight w:val="288"/>
        </w:trPr>
        <w:tc>
          <w:tcPr>
            <w:tcW w:w="1586" w:type="dxa"/>
            <w:tcBorders>
              <w:top w:val="nil"/>
              <w:left w:val="nil"/>
              <w:bottom w:val="nil"/>
              <w:right w:val="nil"/>
            </w:tcBorders>
            <w:shd w:val="clear" w:color="auto" w:fill="auto"/>
            <w:noWrap/>
            <w:vAlign w:val="bottom"/>
            <w:hideMark/>
          </w:tcPr>
          <w:p w14:paraId="581AE5FB"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Beacon Falls</w:t>
            </w:r>
          </w:p>
        </w:tc>
        <w:tc>
          <w:tcPr>
            <w:tcW w:w="1261" w:type="dxa"/>
            <w:tcBorders>
              <w:top w:val="nil"/>
              <w:left w:val="nil"/>
              <w:bottom w:val="nil"/>
              <w:right w:val="nil"/>
            </w:tcBorders>
            <w:shd w:val="clear" w:color="auto" w:fill="auto"/>
            <w:noWrap/>
            <w:vAlign w:val="bottom"/>
          </w:tcPr>
          <w:p w14:paraId="1AF5C2ED" w14:textId="591295FB" w:rsidR="00015A86" w:rsidRPr="007239A6" w:rsidRDefault="00015A86" w:rsidP="004C356D">
            <w:pPr>
              <w:spacing w:after="0" w:line="240" w:lineRule="auto"/>
              <w:jc w:val="right"/>
              <w:rPr>
                <w:color w:val="000000"/>
                <w:sz w:val="22"/>
                <w:szCs w:val="22"/>
                <w:lang w:bidi="ar-SA"/>
              </w:rPr>
            </w:pPr>
            <w:r w:rsidRPr="007239A6">
              <w:rPr>
                <w:sz w:val="20"/>
                <w:szCs w:val="20"/>
              </w:rPr>
              <w:t>191.2</w:t>
            </w:r>
          </w:p>
        </w:tc>
        <w:tc>
          <w:tcPr>
            <w:tcW w:w="1293" w:type="dxa"/>
            <w:tcBorders>
              <w:top w:val="nil"/>
              <w:left w:val="nil"/>
              <w:bottom w:val="nil"/>
              <w:right w:val="nil"/>
            </w:tcBorders>
            <w:shd w:val="clear" w:color="auto" w:fill="auto"/>
            <w:noWrap/>
            <w:vAlign w:val="bottom"/>
          </w:tcPr>
          <w:p w14:paraId="6143B16C" w14:textId="63A8C9D7" w:rsidR="00015A86" w:rsidRPr="007239A6" w:rsidRDefault="00015A86" w:rsidP="004C356D">
            <w:pPr>
              <w:spacing w:after="0" w:line="240" w:lineRule="auto"/>
              <w:jc w:val="right"/>
              <w:rPr>
                <w:color w:val="000000"/>
                <w:sz w:val="22"/>
                <w:szCs w:val="22"/>
                <w:lang w:bidi="ar-SA"/>
              </w:rPr>
            </w:pPr>
            <w:r w:rsidRPr="007239A6">
              <w:rPr>
                <w:sz w:val="20"/>
                <w:szCs w:val="20"/>
              </w:rPr>
              <w:t xml:space="preserve">32 </w:t>
            </w:r>
          </w:p>
        </w:tc>
        <w:tc>
          <w:tcPr>
            <w:tcW w:w="1650" w:type="dxa"/>
            <w:tcBorders>
              <w:top w:val="nil"/>
              <w:left w:val="nil"/>
              <w:bottom w:val="nil"/>
              <w:right w:val="nil"/>
            </w:tcBorders>
            <w:shd w:val="clear" w:color="auto" w:fill="auto"/>
            <w:noWrap/>
            <w:vAlign w:val="bottom"/>
          </w:tcPr>
          <w:p w14:paraId="7CFA6654" w14:textId="75FE2100" w:rsidR="00015A86" w:rsidRPr="007239A6" w:rsidRDefault="00015A86" w:rsidP="004C356D">
            <w:pPr>
              <w:spacing w:after="0" w:line="240" w:lineRule="auto"/>
              <w:jc w:val="right"/>
              <w:rPr>
                <w:color w:val="000000"/>
                <w:sz w:val="22"/>
                <w:szCs w:val="22"/>
                <w:lang w:bidi="ar-SA"/>
              </w:rPr>
            </w:pPr>
            <w:r w:rsidRPr="007239A6">
              <w:rPr>
                <w:sz w:val="20"/>
                <w:szCs w:val="20"/>
              </w:rPr>
              <w:t>394.8</w:t>
            </w:r>
          </w:p>
        </w:tc>
        <w:tc>
          <w:tcPr>
            <w:tcW w:w="1289" w:type="dxa"/>
            <w:tcBorders>
              <w:top w:val="nil"/>
              <w:left w:val="nil"/>
              <w:bottom w:val="nil"/>
              <w:right w:val="nil"/>
            </w:tcBorders>
            <w:shd w:val="clear" w:color="auto" w:fill="auto"/>
            <w:noWrap/>
            <w:vAlign w:val="bottom"/>
          </w:tcPr>
          <w:p w14:paraId="2D34AC83" w14:textId="43ADD4E2" w:rsidR="00015A86" w:rsidRPr="007239A6" w:rsidRDefault="00015A86" w:rsidP="004C356D">
            <w:pPr>
              <w:spacing w:after="0" w:line="240" w:lineRule="auto"/>
              <w:jc w:val="right"/>
              <w:rPr>
                <w:color w:val="000000"/>
                <w:sz w:val="22"/>
                <w:szCs w:val="22"/>
                <w:lang w:bidi="ar-SA"/>
              </w:rPr>
            </w:pPr>
            <w:r w:rsidRPr="007239A6">
              <w:rPr>
                <w:sz w:val="20"/>
                <w:szCs w:val="20"/>
              </w:rPr>
              <w:t xml:space="preserve">65 </w:t>
            </w:r>
          </w:p>
        </w:tc>
        <w:tc>
          <w:tcPr>
            <w:tcW w:w="1769" w:type="dxa"/>
            <w:tcBorders>
              <w:top w:val="nil"/>
              <w:left w:val="nil"/>
              <w:bottom w:val="nil"/>
              <w:right w:val="nil"/>
            </w:tcBorders>
            <w:vAlign w:val="bottom"/>
          </w:tcPr>
          <w:p w14:paraId="27216451" w14:textId="18401FFF" w:rsidR="00015A86" w:rsidRPr="00A54231" w:rsidRDefault="00015A86" w:rsidP="004C356D">
            <w:pPr>
              <w:spacing w:after="0" w:line="240" w:lineRule="auto"/>
              <w:jc w:val="right"/>
              <w:rPr>
                <w:sz w:val="20"/>
                <w:szCs w:val="20"/>
              </w:rPr>
            </w:pPr>
            <w:r w:rsidRPr="00A54231">
              <w:rPr>
                <w:color w:val="000000"/>
                <w:sz w:val="20"/>
                <w:szCs w:val="20"/>
              </w:rPr>
              <w:t>125.71</w:t>
            </w:r>
          </w:p>
        </w:tc>
      </w:tr>
      <w:tr w:rsidR="00015A86" w:rsidRPr="007239A6" w14:paraId="23815457" w14:textId="47124520" w:rsidTr="00181ACD">
        <w:trPr>
          <w:trHeight w:val="288"/>
        </w:trPr>
        <w:tc>
          <w:tcPr>
            <w:tcW w:w="1586" w:type="dxa"/>
            <w:tcBorders>
              <w:top w:val="nil"/>
              <w:left w:val="nil"/>
              <w:bottom w:val="nil"/>
              <w:right w:val="nil"/>
            </w:tcBorders>
            <w:shd w:val="clear" w:color="auto" w:fill="auto"/>
            <w:noWrap/>
            <w:vAlign w:val="bottom"/>
            <w:hideMark/>
          </w:tcPr>
          <w:p w14:paraId="48FE379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Berlin</w:t>
            </w:r>
          </w:p>
        </w:tc>
        <w:tc>
          <w:tcPr>
            <w:tcW w:w="1261" w:type="dxa"/>
            <w:tcBorders>
              <w:top w:val="nil"/>
              <w:left w:val="nil"/>
              <w:bottom w:val="nil"/>
              <w:right w:val="nil"/>
            </w:tcBorders>
            <w:shd w:val="clear" w:color="auto" w:fill="auto"/>
            <w:noWrap/>
            <w:vAlign w:val="bottom"/>
          </w:tcPr>
          <w:p w14:paraId="5BA73EB2" w14:textId="391093E7" w:rsidR="00015A86" w:rsidRPr="007239A6" w:rsidRDefault="00015A86" w:rsidP="004C356D">
            <w:pPr>
              <w:spacing w:after="0" w:line="240" w:lineRule="auto"/>
              <w:jc w:val="right"/>
              <w:rPr>
                <w:color w:val="000000"/>
                <w:sz w:val="22"/>
                <w:szCs w:val="22"/>
                <w:lang w:bidi="ar-SA"/>
              </w:rPr>
            </w:pPr>
            <w:r w:rsidRPr="007239A6">
              <w:rPr>
                <w:sz w:val="20"/>
                <w:szCs w:val="20"/>
              </w:rPr>
              <w:t>10,560.7</w:t>
            </w:r>
          </w:p>
        </w:tc>
        <w:tc>
          <w:tcPr>
            <w:tcW w:w="1293" w:type="dxa"/>
            <w:tcBorders>
              <w:top w:val="nil"/>
              <w:left w:val="nil"/>
              <w:bottom w:val="nil"/>
              <w:right w:val="nil"/>
            </w:tcBorders>
            <w:shd w:val="clear" w:color="auto" w:fill="auto"/>
            <w:noWrap/>
            <w:vAlign w:val="bottom"/>
          </w:tcPr>
          <w:p w14:paraId="3A1D1E43" w14:textId="5D54300B" w:rsidR="00015A86" w:rsidRPr="007239A6" w:rsidRDefault="00015A86" w:rsidP="004C356D">
            <w:pPr>
              <w:spacing w:after="0" w:line="240" w:lineRule="auto"/>
              <w:jc w:val="right"/>
              <w:rPr>
                <w:color w:val="000000"/>
                <w:sz w:val="22"/>
                <w:szCs w:val="22"/>
                <w:lang w:bidi="ar-SA"/>
              </w:rPr>
            </w:pPr>
            <w:r w:rsidRPr="007239A6">
              <w:rPr>
                <w:sz w:val="20"/>
                <w:szCs w:val="20"/>
              </w:rPr>
              <w:t xml:space="preserve">523 </w:t>
            </w:r>
          </w:p>
        </w:tc>
        <w:tc>
          <w:tcPr>
            <w:tcW w:w="1650" w:type="dxa"/>
            <w:tcBorders>
              <w:top w:val="nil"/>
              <w:left w:val="nil"/>
              <w:bottom w:val="nil"/>
              <w:right w:val="nil"/>
            </w:tcBorders>
            <w:shd w:val="clear" w:color="auto" w:fill="auto"/>
            <w:noWrap/>
            <w:vAlign w:val="bottom"/>
          </w:tcPr>
          <w:p w14:paraId="0A1EC3E3" w14:textId="3144EA06" w:rsidR="00015A86" w:rsidRPr="007239A6" w:rsidRDefault="00015A86" w:rsidP="004C356D">
            <w:pPr>
              <w:spacing w:after="0" w:line="240" w:lineRule="auto"/>
              <w:jc w:val="right"/>
              <w:rPr>
                <w:color w:val="000000"/>
                <w:sz w:val="22"/>
                <w:szCs w:val="22"/>
                <w:lang w:bidi="ar-SA"/>
              </w:rPr>
            </w:pPr>
            <w:r w:rsidRPr="007239A6">
              <w:rPr>
                <w:sz w:val="20"/>
                <w:szCs w:val="20"/>
              </w:rPr>
              <w:t>2948.1</w:t>
            </w:r>
          </w:p>
        </w:tc>
        <w:tc>
          <w:tcPr>
            <w:tcW w:w="1289" w:type="dxa"/>
            <w:tcBorders>
              <w:top w:val="nil"/>
              <w:left w:val="nil"/>
              <w:bottom w:val="nil"/>
              <w:right w:val="nil"/>
            </w:tcBorders>
            <w:shd w:val="clear" w:color="auto" w:fill="auto"/>
            <w:noWrap/>
            <w:vAlign w:val="bottom"/>
          </w:tcPr>
          <w:p w14:paraId="594DA33F" w14:textId="7ECCCC32" w:rsidR="00015A86" w:rsidRPr="007239A6" w:rsidRDefault="00015A86" w:rsidP="004C356D">
            <w:pPr>
              <w:spacing w:after="0" w:line="240" w:lineRule="auto"/>
              <w:jc w:val="right"/>
              <w:rPr>
                <w:color w:val="000000"/>
                <w:sz w:val="22"/>
                <w:szCs w:val="22"/>
                <w:lang w:bidi="ar-SA"/>
              </w:rPr>
            </w:pPr>
            <w:r w:rsidRPr="007239A6">
              <w:rPr>
                <w:sz w:val="20"/>
                <w:szCs w:val="20"/>
              </w:rPr>
              <w:t xml:space="preserve">146 </w:t>
            </w:r>
          </w:p>
        </w:tc>
        <w:tc>
          <w:tcPr>
            <w:tcW w:w="1769" w:type="dxa"/>
            <w:tcBorders>
              <w:top w:val="nil"/>
              <w:left w:val="nil"/>
              <w:bottom w:val="nil"/>
              <w:right w:val="nil"/>
            </w:tcBorders>
            <w:vAlign w:val="bottom"/>
          </w:tcPr>
          <w:p w14:paraId="56628CFA" w14:textId="0D84A357" w:rsidR="00015A86" w:rsidRPr="00A54231" w:rsidRDefault="00015A86" w:rsidP="004C356D">
            <w:pPr>
              <w:spacing w:after="0" w:line="240" w:lineRule="auto"/>
              <w:jc w:val="right"/>
              <w:rPr>
                <w:sz w:val="20"/>
                <w:szCs w:val="20"/>
              </w:rPr>
            </w:pPr>
            <w:r w:rsidRPr="00A54231">
              <w:rPr>
                <w:color w:val="000000"/>
                <w:sz w:val="20"/>
                <w:szCs w:val="20"/>
              </w:rPr>
              <w:t>-114.51</w:t>
            </w:r>
          </w:p>
        </w:tc>
      </w:tr>
      <w:tr w:rsidR="00015A86" w:rsidRPr="007239A6" w14:paraId="2F706FCC" w14:textId="1DC73115" w:rsidTr="00181ACD">
        <w:trPr>
          <w:trHeight w:val="288"/>
        </w:trPr>
        <w:tc>
          <w:tcPr>
            <w:tcW w:w="1586" w:type="dxa"/>
            <w:tcBorders>
              <w:top w:val="nil"/>
              <w:left w:val="nil"/>
              <w:bottom w:val="nil"/>
              <w:right w:val="nil"/>
            </w:tcBorders>
            <w:shd w:val="clear" w:color="auto" w:fill="auto"/>
            <w:noWrap/>
            <w:vAlign w:val="bottom"/>
            <w:hideMark/>
          </w:tcPr>
          <w:p w14:paraId="338D4535"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Bethany</w:t>
            </w:r>
          </w:p>
        </w:tc>
        <w:tc>
          <w:tcPr>
            <w:tcW w:w="1261" w:type="dxa"/>
            <w:tcBorders>
              <w:top w:val="nil"/>
              <w:left w:val="nil"/>
              <w:bottom w:val="nil"/>
              <w:right w:val="nil"/>
            </w:tcBorders>
            <w:shd w:val="clear" w:color="auto" w:fill="auto"/>
            <w:noWrap/>
            <w:vAlign w:val="bottom"/>
          </w:tcPr>
          <w:p w14:paraId="4DA4C431" w14:textId="4C06D6F7" w:rsidR="00015A86" w:rsidRPr="007239A6" w:rsidRDefault="00015A86" w:rsidP="004C356D">
            <w:pPr>
              <w:spacing w:after="0" w:line="240" w:lineRule="auto"/>
              <w:jc w:val="right"/>
              <w:rPr>
                <w:color w:val="000000"/>
                <w:sz w:val="22"/>
                <w:szCs w:val="22"/>
                <w:lang w:bidi="ar-SA"/>
              </w:rPr>
            </w:pPr>
            <w:r w:rsidRPr="007239A6">
              <w:rPr>
                <w:sz w:val="20"/>
                <w:szCs w:val="20"/>
              </w:rPr>
              <w:t>163.2</w:t>
            </w:r>
          </w:p>
        </w:tc>
        <w:tc>
          <w:tcPr>
            <w:tcW w:w="1293" w:type="dxa"/>
            <w:tcBorders>
              <w:top w:val="nil"/>
              <w:left w:val="nil"/>
              <w:bottom w:val="nil"/>
              <w:right w:val="nil"/>
            </w:tcBorders>
            <w:shd w:val="clear" w:color="auto" w:fill="auto"/>
            <w:noWrap/>
            <w:vAlign w:val="bottom"/>
          </w:tcPr>
          <w:p w14:paraId="45075FA5" w14:textId="01C40844" w:rsidR="00015A86" w:rsidRPr="007239A6" w:rsidRDefault="00015A86" w:rsidP="004C356D">
            <w:pPr>
              <w:spacing w:after="0" w:line="240" w:lineRule="auto"/>
              <w:jc w:val="right"/>
              <w:rPr>
                <w:color w:val="000000"/>
                <w:sz w:val="22"/>
                <w:szCs w:val="22"/>
                <w:lang w:bidi="ar-SA"/>
              </w:rPr>
            </w:pPr>
            <w:r w:rsidRPr="007239A6">
              <w:rPr>
                <w:sz w:val="20"/>
                <w:szCs w:val="20"/>
              </w:rPr>
              <w:t xml:space="preserve">29 </w:t>
            </w:r>
          </w:p>
        </w:tc>
        <w:tc>
          <w:tcPr>
            <w:tcW w:w="1650" w:type="dxa"/>
            <w:tcBorders>
              <w:top w:val="nil"/>
              <w:left w:val="nil"/>
              <w:bottom w:val="nil"/>
              <w:right w:val="nil"/>
            </w:tcBorders>
            <w:shd w:val="clear" w:color="auto" w:fill="auto"/>
            <w:noWrap/>
            <w:vAlign w:val="bottom"/>
          </w:tcPr>
          <w:p w14:paraId="46ED2099" w14:textId="3BD2A6BF" w:rsidR="00015A86" w:rsidRPr="007239A6" w:rsidRDefault="00015A86" w:rsidP="004C356D">
            <w:pPr>
              <w:spacing w:after="0" w:line="240" w:lineRule="auto"/>
              <w:jc w:val="right"/>
              <w:rPr>
                <w:color w:val="000000"/>
                <w:sz w:val="22"/>
                <w:szCs w:val="22"/>
                <w:lang w:bidi="ar-SA"/>
              </w:rPr>
            </w:pPr>
            <w:r w:rsidRPr="007239A6">
              <w:rPr>
                <w:sz w:val="20"/>
                <w:szCs w:val="20"/>
              </w:rPr>
              <w:t>589.3</w:t>
            </w:r>
          </w:p>
        </w:tc>
        <w:tc>
          <w:tcPr>
            <w:tcW w:w="1289" w:type="dxa"/>
            <w:tcBorders>
              <w:top w:val="nil"/>
              <w:left w:val="nil"/>
              <w:bottom w:val="nil"/>
              <w:right w:val="nil"/>
            </w:tcBorders>
            <w:shd w:val="clear" w:color="auto" w:fill="auto"/>
            <w:noWrap/>
            <w:vAlign w:val="bottom"/>
          </w:tcPr>
          <w:p w14:paraId="12085764" w14:textId="11C2A229" w:rsidR="00015A86" w:rsidRPr="007239A6" w:rsidRDefault="00015A86" w:rsidP="004C356D">
            <w:pPr>
              <w:spacing w:after="0" w:line="240" w:lineRule="auto"/>
              <w:jc w:val="right"/>
              <w:rPr>
                <w:color w:val="000000"/>
                <w:sz w:val="22"/>
                <w:szCs w:val="22"/>
                <w:lang w:bidi="ar-SA"/>
              </w:rPr>
            </w:pPr>
            <w:r w:rsidRPr="007239A6">
              <w:rPr>
                <w:sz w:val="20"/>
                <w:szCs w:val="20"/>
              </w:rPr>
              <w:t xml:space="preserve">106 </w:t>
            </w:r>
          </w:p>
        </w:tc>
        <w:tc>
          <w:tcPr>
            <w:tcW w:w="1769" w:type="dxa"/>
            <w:tcBorders>
              <w:top w:val="nil"/>
              <w:left w:val="nil"/>
              <w:bottom w:val="nil"/>
              <w:right w:val="nil"/>
            </w:tcBorders>
            <w:vAlign w:val="bottom"/>
          </w:tcPr>
          <w:p w14:paraId="4C80CA1D" w14:textId="6C8254D5" w:rsidR="00015A86" w:rsidRPr="00A54231" w:rsidRDefault="00015A86" w:rsidP="004C356D">
            <w:pPr>
              <w:spacing w:after="0" w:line="240" w:lineRule="auto"/>
              <w:jc w:val="right"/>
              <w:rPr>
                <w:sz w:val="20"/>
                <w:szCs w:val="20"/>
              </w:rPr>
            </w:pPr>
            <w:r w:rsidRPr="00A54231">
              <w:rPr>
                <w:color w:val="000000"/>
                <w:sz w:val="20"/>
                <w:szCs w:val="20"/>
              </w:rPr>
              <w:t>-227.40</w:t>
            </w:r>
          </w:p>
        </w:tc>
      </w:tr>
      <w:tr w:rsidR="00015A86" w:rsidRPr="007239A6" w14:paraId="270D209F" w14:textId="03D69EDE" w:rsidTr="00181ACD">
        <w:trPr>
          <w:trHeight w:val="288"/>
        </w:trPr>
        <w:tc>
          <w:tcPr>
            <w:tcW w:w="1586" w:type="dxa"/>
            <w:tcBorders>
              <w:top w:val="nil"/>
              <w:left w:val="nil"/>
              <w:bottom w:val="nil"/>
              <w:right w:val="nil"/>
            </w:tcBorders>
            <w:shd w:val="clear" w:color="auto" w:fill="auto"/>
            <w:noWrap/>
            <w:vAlign w:val="bottom"/>
            <w:hideMark/>
          </w:tcPr>
          <w:p w14:paraId="077DB67C"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Bethel</w:t>
            </w:r>
          </w:p>
        </w:tc>
        <w:tc>
          <w:tcPr>
            <w:tcW w:w="1261" w:type="dxa"/>
            <w:tcBorders>
              <w:top w:val="nil"/>
              <w:left w:val="nil"/>
              <w:bottom w:val="nil"/>
              <w:right w:val="nil"/>
            </w:tcBorders>
            <w:shd w:val="clear" w:color="auto" w:fill="auto"/>
            <w:noWrap/>
            <w:vAlign w:val="bottom"/>
          </w:tcPr>
          <w:p w14:paraId="7CCE708F" w14:textId="3D719799" w:rsidR="00015A86" w:rsidRPr="007239A6" w:rsidRDefault="00015A86" w:rsidP="004C356D">
            <w:pPr>
              <w:spacing w:after="0" w:line="240" w:lineRule="auto"/>
              <w:jc w:val="right"/>
              <w:rPr>
                <w:color w:val="000000"/>
                <w:sz w:val="22"/>
                <w:szCs w:val="22"/>
                <w:lang w:bidi="ar-SA"/>
              </w:rPr>
            </w:pPr>
            <w:r w:rsidRPr="007239A6">
              <w:rPr>
                <w:sz w:val="20"/>
                <w:szCs w:val="20"/>
              </w:rPr>
              <w:t>2,210.7</w:t>
            </w:r>
          </w:p>
        </w:tc>
        <w:tc>
          <w:tcPr>
            <w:tcW w:w="1293" w:type="dxa"/>
            <w:tcBorders>
              <w:top w:val="nil"/>
              <w:left w:val="nil"/>
              <w:bottom w:val="nil"/>
              <w:right w:val="nil"/>
            </w:tcBorders>
            <w:shd w:val="clear" w:color="auto" w:fill="auto"/>
            <w:noWrap/>
            <w:vAlign w:val="bottom"/>
          </w:tcPr>
          <w:p w14:paraId="16C12306" w14:textId="587DCC41" w:rsidR="00015A86" w:rsidRPr="007239A6" w:rsidRDefault="00015A86" w:rsidP="004C356D">
            <w:pPr>
              <w:spacing w:after="0" w:line="240" w:lineRule="auto"/>
              <w:jc w:val="right"/>
              <w:rPr>
                <w:color w:val="000000"/>
                <w:sz w:val="22"/>
                <w:szCs w:val="22"/>
                <w:lang w:bidi="ar-SA"/>
              </w:rPr>
            </w:pPr>
            <w:r w:rsidRPr="007239A6">
              <w:rPr>
                <w:sz w:val="20"/>
                <w:szCs w:val="20"/>
              </w:rPr>
              <w:t xml:space="preserve">117 </w:t>
            </w:r>
          </w:p>
        </w:tc>
        <w:tc>
          <w:tcPr>
            <w:tcW w:w="1650" w:type="dxa"/>
            <w:tcBorders>
              <w:top w:val="nil"/>
              <w:left w:val="nil"/>
              <w:bottom w:val="nil"/>
              <w:right w:val="nil"/>
            </w:tcBorders>
            <w:shd w:val="clear" w:color="auto" w:fill="auto"/>
            <w:noWrap/>
            <w:vAlign w:val="bottom"/>
          </w:tcPr>
          <w:p w14:paraId="0A696770" w14:textId="1B53BA91" w:rsidR="00015A86" w:rsidRPr="007239A6" w:rsidRDefault="00015A86" w:rsidP="004C356D">
            <w:pPr>
              <w:spacing w:after="0" w:line="240" w:lineRule="auto"/>
              <w:jc w:val="right"/>
              <w:rPr>
                <w:color w:val="000000"/>
                <w:sz w:val="22"/>
                <w:szCs w:val="22"/>
                <w:lang w:bidi="ar-SA"/>
              </w:rPr>
            </w:pPr>
            <w:r w:rsidRPr="007239A6">
              <w:rPr>
                <w:sz w:val="20"/>
                <w:szCs w:val="20"/>
              </w:rPr>
              <w:t>2905.7</w:t>
            </w:r>
          </w:p>
        </w:tc>
        <w:tc>
          <w:tcPr>
            <w:tcW w:w="1289" w:type="dxa"/>
            <w:tcBorders>
              <w:top w:val="nil"/>
              <w:left w:val="nil"/>
              <w:bottom w:val="nil"/>
              <w:right w:val="nil"/>
            </w:tcBorders>
            <w:shd w:val="clear" w:color="auto" w:fill="auto"/>
            <w:noWrap/>
            <w:vAlign w:val="bottom"/>
          </w:tcPr>
          <w:p w14:paraId="08B1E764" w14:textId="72D3CC71" w:rsidR="00015A86" w:rsidRPr="007239A6" w:rsidRDefault="00015A86" w:rsidP="004C356D">
            <w:pPr>
              <w:spacing w:after="0" w:line="240" w:lineRule="auto"/>
              <w:jc w:val="right"/>
              <w:rPr>
                <w:color w:val="000000"/>
                <w:sz w:val="22"/>
                <w:szCs w:val="22"/>
                <w:lang w:bidi="ar-SA"/>
              </w:rPr>
            </w:pPr>
            <w:r w:rsidRPr="007239A6">
              <w:rPr>
                <w:sz w:val="20"/>
                <w:szCs w:val="20"/>
              </w:rPr>
              <w:t xml:space="preserve">154 </w:t>
            </w:r>
          </w:p>
        </w:tc>
        <w:tc>
          <w:tcPr>
            <w:tcW w:w="1769" w:type="dxa"/>
            <w:tcBorders>
              <w:top w:val="nil"/>
              <w:left w:val="nil"/>
              <w:bottom w:val="nil"/>
              <w:right w:val="nil"/>
            </w:tcBorders>
            <w:vAlign w:val="bottom"/>
          </w:tcPr>
          <w:p w14:paraId="26FBD4F2" w14:textId="397B1239" w:rsidR="00015A86" w:rsidRPr="00A54231" w:rsidRDefault="00015A86" w:rsidP="004C356D">
            <w:pPr>
              <w:spacing w:after="0" w:line="240" w:lineRule="auto"/>
              <w:jc w:val="right"/>
              <w:rPr>
                <w:sz w:val="20"/>
                <w:szCs w:val="20"/>
              </w:rPr>
            </w:pPr>
            <w:r w:rsidRPr="00A54231">
              <w:rPr>
                <w:color w:val="000000"/>
                <w:sz w:val="20"/>
                <w:szCs w:val="20"/>
              </w:rPr>
              <w:t>-201.22</w:t>
            </w:r>
          </w:p>
        </w:tc>
      </w:tr>
      <w:tr w:rsidR="00015A86" w:rsidRPr="007239A6" w14:paraId="63AAE8D7" w14:textId="2624FDDD" w:rsidTr="00181ACD">
        <w:trPr>
          <w:trHeight w:val="288"/>
        </w:trPr>
        <w:tc>
          <w:tcPr>
            <w:tcW w:w="1586" w:type="dxa"/>
            <w:tcBorders>
              <w:top w:val="nil"/>
              <w:left w:val="nil"/>
              <w:bottom w:val="nil"/>
              <w:right w:val="nil"/>
            </w:tcBorders>
            <w:shd w:val="clear" w:color="auto" w:fill="auto"/>
            <w:noWrap/>
            <w:vAlign w:val="bottom"/>
            <w:hideMark/>
          </w:tcPr>
          <w:p w14:paraId="3DA9473B"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Bethlehem</w:t>
            </w:r>
          </w:p>
        </w:tc>
        <w:tc>
          <w:tcPr>
            <w:tcW w:w="1261" w:type="dxa"/>
            <w:tcBorders>
              <w:top w:val="nil"/>
              <w:left w:val="nil"/>
              <w:bottom w:val="nil"/>
              <w:right w:val="nil"/>
            </w:tcBorders>
            <w:shd w:val="clear" w:color="auto" w:fill="auto"/>
            <w:noWrap/>
            <w:vAlign w:val="bottom"/>
          </w:tcPr>
          <w:p w14:paraId="221E899D" w14:textId="49D1A891" w:rsidR="00015A86" w:rsidRPr="007239A6" w:rsidRDefault="00015A86" w:rsidP="004C356D">
            <w:pPr>
              <w:spacing w:after="0" w:line="240" w:lineRule="auto"/>
              <w:jc w:val="right"/>
              <w:rPr>
                <w:color w:val="000000"/>
                <w:sz w:val="22"/>
                <w:szCs w:val="22"/>
                <w:lang w:bidi="ar-SA"/>
              </w:rPr>
            </w:pPr>
            <w:r w:rsidRPr="007239A6">
              <w:rPr>
                <w:sz w:val="20"/>
                <w:szCs w:val="20"/>
              </w:rPr>
              <w:t>167.4</w:t>
            </w:r>
          </w:p>
        </w:tc>
        <w:tc>
          <w:tcPr>
            <w:tcW w:w="1293" w:type="dxa"/>
            <w:tcBorders>
              <w:top w:val="nil"/>
              <w:left w:val="nil"/>
              <w:bottom w:val="nil"/>
              <w:right w:val="nil"/>
            </w:tcBorders>
            <w:shd w:val="clear" w:color="auto" w:fill="auto"/>
            <w:noWrap/>
            <w:vAlign w:val="bottom"/>
          </w:tcPr>
          <w:p w14:paraId="08920416" w14:textId="6D11B241" w:rsidR="00015A86" w:rsidRPr="007239A6" w:rsidRDefault="00015A86" w:rsidP="004C356D">
            <w:pPr>
              <w:spacing w:after="0" w:line="240" w:lineRule="auto"/>
              <w:jc w:val="right"/>
              <w:rPr>
                <w:color w:val="000000"/>
                <w:sz w:val="22"/>
                <w:szCs w:val="22"/>
                <w:lang w:bidi="ar-SA"/>
              </w:rPr>
            </w:pPr>
            <w:r w:rsidRPr="007239A6">
              <w:rPr>
                <w:sz w:val="20"/>
                <w:szCs w:val="20"/>
              </w:rPr>
              <w:t xml:space="preserve">47 </w:t>
            </w:r>
          </w:p>
        </w:tc>
        <w:tc>
          <w:tcPr>
            <w:tcW w:w="1650" w:type="dxa"/>
            <w:tcBorders>
              <w:top w:val="nil"/>
              <w:left w:val="nil"/>
              <w:bottom w:val="nil"/>
              <w:right w:val="nil"/>
            </w:tcBorders>
            <w:shd w:val="clear" w:color="auto" w:fill="auto"/>
            <w:noWrap/>
            <w:vAlign w:val="bottom"/>
          </w:tcPr>
          <w:p w14:paraId="64B36E5F" w14:textId="76290398" w:rsidR="00015A86" w:rsidRPr="007239A6" w:rsidRDefault="00015A86" w:rsidP="004C356D">
            <w:pPr>
              <w:spacing w:after="0" w:line="240" w:lineRule="auto"/>
              <w:jc w:val="right"/>
              <w:rPr>
                <w:color w:val="000000"/>
                <w:sz w:val="22"/>
                <w:szCs w:val="22"/>
                <w:lang w:bidi="ar-SA"/>
              </w:rPr>
            </w:pPr>
            <w:r w:rsidRPr="007239A6">
              <w:rPr>
                <w:sz w:val="20"/>
                <w:szCs w:val="20"/>
              </w:rPr>
              <w:t>259.8</w:t>
            </w:r>
          </w:p>
        </w:tc>
        <w:tc>
          <w:tcPr>
            <w:tcW w:w="1289" w:type="dxa"/>
            <w:tcBorders>
              <w:top w:val="nil"/>
              <w:left w:val="nil"/>
              <w:bottom w:val="nil"/>
              <w:right w:val="nil"/>
            </w:tcBorders>
            <w:shd w:val="clear" w:color="auto" w:fill="auto"/>
            <w:noWrap/>
            <w:vAlign w:val="bottom"/>
          </w:tcPr>
          <w:p w14:paraId="529E1D0F" w14:textId="42570B2E" w:rsidR="00015A86" w:rsidRPr="007239A6" w:rsidRDefault="00015A86" w:rsidP="004C356D">
            <w:pPr>
              <w:spacing w:after="0" w:line="240" w:lineRule="auto"/>
              <w:jc w:val="right"/>
              <w:rPr>
                <w:color w:val="000000"/>
                <w:sz w:val="22"/>
                <w:szCs w:val="22"/>
                <w:lang w:bidi="ar-SA"/>
              </w:rPr>
            </w:pPr>
            <w:r w:rsidRPr="007239A6">
              <w:rPr>
                <w:sz w:val="20"/>
                <w:szCs w:val="20"/>
              </w:rPr>
              <w:t xml:space="preserve">72 </w:t>
            </w:r>
          </w:p>
        </w:tc>
        <w:tc>
          <w:tcPr>
            <w:tcW w:w="1769" w:type="dxa"/>
            <w:tcBorders>
              <w:top w:val="nil"/>
              <w:left w:val="nil"/>
              <w:bottom w:val="nil"/>
              <w:right w:val="nil"/>
            </w:tcBorders>
            <w:vAlign w:val="bottom"/>
          </w:tcPr>
          <w:p w14:paraId="512668C8" w14:textId="0BF4D3AA" w:rsidR="00015A86" w:rsidRPr="00A54231" w:rsidRDefault="00015A86" w:rsidP="004C356D">
            <w:pPr>
              <w:spacing w:after="0" w:line="240" w:lineRule="auto"/>
              <w:jc w:val="right"/>
              <w:rPr>
                <w:sz w:val="20"/>
                <w:szCs w:val="20"/>
              </w:rPr>
            </w:pPr>
            <w:r w:rsidRPr="00A54231">
              <w:rPr>
                <w:color w:val="000000"/>
                <w:sz w:val="20"/>
                <w:szCs w:val="20"/>
              </w:rPr>
              <w:t>-270.19</w:t>
            </w:r>
          </w:p>
        </w:tc>
      </w:tr>
      <w:tr w:rsidR="00015A86" w:rsidRPr="007239A6" w14:paraId="069DA770" w14:textId="498E9B65" w:rsidTr="00181ACD">
        <w:trPr>
          <w:trHeight w:val="288"/>
        </w:trPr>
        <w:tc>
          <w:tcPr>
            <w:tcW w:w="1586" w:type="dxa"/>
            <w:tcBorders>
              <w:top w:val="nil"/>
              <w:left w:val="nil"/>
              <w:bottom w:val="nil"/>
              <w:right w:val="nil"/>
            </w:tcBorders>
            <w:shd w:val="clear" w:color="auto" w:fill="auto"/>
            <w:noWrap/>
            <w:vAlign w:val="bottom"/>
            <w:hideMark/>
          </w:tcPr>
          <w:p w14:paraId="2EB37D50"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Bloomfield</w:t>
            </w:r>
          </w:p>
        </w:tc>
        <w:tc>
          <w:tcPr>
            <w:tcW w:w="1261" w:type="dxa"/>
            <w:tcBorders>
              <w:top w:val="nil"/>
              <w:left w:val="nil"/>
              <w:bottom w:val="nil"/>
              <w:right w:val="nil"/>
            </w:tcBorders>
            <w:shd w:val="clear" w:color="auto" w:fill="auto"/>
            <w:noWrap/>
            <w:vAlign w:val="bottom"/>
          </w:tcPr>
          <w:p w14:paraId="36DB2D8C" w14:textId="0B3C904E" w:rsidR="00015A86" w:rsidRPr="007239A6" w:rsidRDefault="00015A86" w:rsidP="004C356D">
            <w:pPr>
              <w:spacing w:after="0" w:line="240" w:lineRule="auto"/>
              <w:jc w:val="right"/>
              <w:rPr>
                <w:color w:val="000000"/>
                <w:sz w:val="22"/>
                <w:szCs w:val="22"/>
                <w:lang w:bidi="ar-SA"/>
              </w:rPr>
            </w:pPr>
            <w:r w:rsidRPr="007239A6">
              <w:rPr>
                <w:sz w:val="20"/>
                <w:szCs w:val="20"/>
              </w:rPr>
              <w:t>2,290.9</w:t>
            </w:r>
          </w:p>
        </w:tc>
        <w:tc>
          <w:tcPr>
            <w:tcW w:w="1293" w:type="dxa"/>
            <w:tcBorders>
              <w:top w:val="nil"/>
              <w:left w:val="nil"/>
              <w:bottom w:val="nil"/>
              <w:right w:val="nil"/>
            </w:tcBorders>
            <w:shd w:val="clear" w:color="auto" w:fill="auto"/>
            <w:noWrap/>
            <w:vAlign w:val="bottom"/>
          </w:tcPr>
          <w:p w14:paraId="116F1247" w14:textId="5AF053E2" w:rsidR="00015A86" w:rsidRPr="007239A6" w:rsidRDefault="00015A86" w:rsidP="004C356D">
            <w:pPr>
              <w:spacing w:after="0" w:line="240" w:lineRule="auto"/>
              <w:jc w:val="right"/>
              <w:rPr>
                <w:color w:val="000000"/>
                <w:sz w:val="22"/>
                <w:szCs w:val="22"/>
                <w:lang w:bidi="ar-SA"/>
              </w:rPr>
            </w:pPr>
            <w:r w:rsidRPr="007239A6">
              <w:rPr>
                <w:sz w:val="20"/>
                <w:szCs w:val="20"/>
              </w:rPr>
              <w:t xml:space="preserve">111 </w:t>
            </w:r>
          </w:p>
        </w:tc>
        <w:tc>
          <w:tcPr>
            <w:tcW w:w="1650" w:type="dxa"/>
            <w:tcBorders>
              <w:top w:val="nil"/>
              <w:left w:val="nil"/>
              <w:bottom w:val="nil"/>
              <w:right w:val="nil"/>
            </w:tcBorders>
            <w:shd w:val="clear" w:color="auto" w:fill="auto"/>
            <w:noWrap/>
            <w:vAlign w:val="bottom"/>
          </w:tcPr>
          <w:p w14:paraId="6D1CED08" w14:textId="1E7BE3E5" w:rsidR="00015A86" w:rsidRPr="007239A6" w:rsidRDefault="00015A86" w:rsidP="004C356D">
            <w:pPr>
              <w:spacing w:after="0" w:line="240" w:lineRule="auto"/>
              <w:jc w:val="right"/>
              <w:rPr>
                <w:color w:val="000000"/>
                <w:sz w:val="22"/>
                <w:szCs w:val="22"/>
                <w:lang w:bidi="ar-SA"/>
              </w:rPr>
            </w:pPr>
            <w:r w:rsidRPr="007239A6">
              <w:rPr>
                <w:sz w:val="20"/>
                <w:szCs w:val="20"/>
              </w:rPr>
              <w:t>3999.1</w:t>
            </w:r>
          </w:p>
        </w:tc>
        <w:tc>
          <w:tcPr>
            <w:tcW w:w="1289" w:type="dxa"/>
            <w:tcBorders>
              <w:top w:val="nil"/>
              <w:left w:val="nil"/>
              <w:bottom w:val="nil"/>
              <w:right w:val="nil"/>
            </w:tcBorders>
            <w:shd w:val="clear" w:color="auto" w:fill="auto"/>
            <w:noWrap/>
            <w:vAlign w:val="bottom"/>
          </w:tcPr>
          <w:p w14:paraId="09BE3170" w14:textId="2054AE91" w:rsidR="00015A86" w:rsidRPr="007239A6" w:rsidRDefault="00015A86" w:rsidP="004C356D">
            <w:pPr>
              <w:spacing w:after="0" w:line="240" w:lineRule="auto"/>
              <w:jc w:val="right"/>
              <w:rPr>
                <w:color w:val="000000"/>
                <w:sz w:val="22"/>
                <w:szCs w:val="22"/>
                <w:lang w:bidi="ar-SA"/>
              </w:rPr>
            </w:pPr>
            <w:r w:rsidRPr="007239A6">
              <w:rPr>
                <w:sz w:val="20"/>
                <w:szCs w:val="20"/>
              </w:rPr>
              <w:t xml:space="preserve">194 </w:t>
            </w:r>
          </w:p>
        </w:tc>
        <w:tc>
          <w:tcPr>
            <w:tcW w:w="1769" w:type="dxa"/>
            <w:tcBorders>
              <w:top w:val="nil"/>
              <w:left w:val="nil"/>
              <w:bottom w:val="nil"/>
              <w:right w:val="nil"/>
            </w:tcBorders>
            <w:vAlign w:val="bottom"/>
          </w:tcPr>
          <w:p w14:paraId="49E99447" w14:textId="30894BA7" w:rsidR="00015A86" w:rsidRPr="00A54231" w:rsidRDefault="00015A86" w:rsidP="004C356D">
            <w:pPr>
              <w:spacing w:after="0" w:line="240" w:lineRule="auto"/>
              <w:jc w:val="right"/>
              <w:rPr>
                <w:sz w:val="20"/>
                <w:szCs w:val="20"/>
              </w:rPr>
            </w:pPr>
            <w:r w:rsidRPr="00A54231">
              <w:rPr>
                <w:color w:val="000000"/>
                <w:sz w:val="20"/>
                <w:szCs w:val="20"/>
              </w:rPr>
              <w:t>126.66</w:t>
            </w:r>
          </w:p>
        </w:tc>
      </w:tr>
      <w:tr w:rsidR="00015A86" w:rsidRPr="007239A6" w14:paraId="66C60E66" w14:textId="20EA3A97" w:rsidTr="00181ACD">
        <w:trPr>
          <w:trHeight w:val="288"/>
        </w:trPr>
        <w:tc>
          <w:tcPr>
            <w:tcW w:w="1586" w:type="dxa"/>
            <w:tcBorders>
              <w:top w:val="nil"/>
              <w:left w:val="nil"/>
              <w:bottom w:val="nil"/>
              <w:right w:val="nil"/>
            </w:tcBorders>
            <w:shd w:val="clear" w:color="auto" w:fill="auto"/>
            <w:noWrap/>
            <w:vAlign w:val="bottom"/>
            <w:hideMark/>
          </w:tcPr>
          <w:p w14:paraId="692D364C"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Bolton</w:t>
            </w:r>
          </w:p>
        </w:tc>
        <w:tc>
          <w:tcPr>
            <w:tcW w:w="1261" w:type="dxa"/>
            <w:tcBorders>
              <w:top w:val="nil"/>
              <w:left w:val="nil"/>
              <w:bottom w:val="nil"/>
              <w:right w:val="nil"/>
            </w:tcBorders>
            <w:shd w:val="clear" w:color="auto" w:fill="auto"/>
            <w:noWrap/>
            <w:vAlign w:val="bottom"/>
          </w:tcPr>
          <w:p w14:paraId="0688EDCF" w14:textId="2D78BAB5" w:rsidR="00015A86" w:rsidRPr="007239A6" w:rsidRDefault="00015A86" w:rsidP="004C356D">
            <w:pPr>
              <w:spacing w:after="0" w:line="240" w:lineRule="auto"/>
              <w:jc w:val="right"/>
              <w:rPr>
                <w:color w:val="000000"/>
                <w:sz w:val="22"/>
                <w:szCs w:val="22"/>
                <w:lang w:bidi="ar-SA"/>
              </w:rPr>
            </w:pPr>
            <w:r w:rsidRPr="007239A6">
              <w:rPr>
                <w:sz w:val="20"/>
                <w:szCs w:val="20"/>
              </w:rPr>
              <w:t>355.2</w:t>
            </w:r>
          </w:p>
        </w:tc>
        <w:tc>
          <w:tcPr>
            <w:tcW w:w="1293" w:type="dxa"/>
            <w:tcBorders>
              <w:top w:val="nil"/>
              <w:left w:val="nil"/>
              <w:bottom w:val="nil"/>
              <w:right w:val="nil"/>
            </w:tcBorders>
            <w:shd w:val="clear" w:color="auto" w:fill="auto"/>
            <w:noWrap/>
            <w:vAlign w:val="bottom"/>
          </w:tcPr>
          <w:p w14:paraId="4E17DCC4" w14:textId="50CEF113" w:rsidR="00015A86" w:rsidRPr="007239A6" w:rsidRDefault="00015A86" w:rsidP="004C356D">
            <w:pPr>
              <w:spacing w:after="0" w:line="240" w:lineRule="auto"/>
              <w:jc w:val="right"/>
              <w:rPr>
                <w:color w:val="000000"/>
                <w:sz w:val="22"/>
                <w:szCs w:val="22"/>
                <w:lang w:bidi="ar-SA"/>
              </w:rPr>
            </w:pPr>
            <w:r w:rsidRPr="007239A6">
              <w:rPr>
                <w:sz w:val="20"/>
                <w:szCs w:val="20"/>
              </w:rPr>
              <w:t xml:space="preserve">71 </w:t>
            </w:r>
          </w:p>
        </w:tc>
        <w:tc>
          <w:tcPr>
            <w:tcW w:w="1650" w:type="dxa"/>
            <w:tcBorders>
              <w:top w:val="nil"/>
              <w:left w:val="nil"/>
              <w:bottom w:val="nil"/>
              <w:right w:val="nil"/>
            </w:tcBorders>
            <w:shd w:val="clear" w:color="auto" w:fill="auto"/>
            <w:noWrap/>
            <w:vAlign w:val="bottom"/>
          </w:tcPr>
          <w:p w14:paraId="047D1862" w14:textId="11E27D78" w:rsidR="00015A86" w:rsidRPr="007239A6" w:rsidRDefault="00015A86" w:rsidP="004C356D">
            <w:pPr>
              <w:spacing w:after="0" w:line="240" w:lineRule="auto"/>
              <w:jc w:val="right"/>
              <w:rPr>
                <w:color w:val="000000"/>
                <w:sz w:val="22"/>
                <w:szCs w:val="22"/>
                <w:lang w:bidi="ar-SA"/>
              </w:rPr>
            </w:pPr>
            <w:r w:rsidRPr="007239A6">
              <w:rPr>
                <w:sz w:val="20"/>
                <w:szCs w:val="20"/>
              </w:rPr>
              <w:t>516.5</w:t>
            </w:r>
          </w:p>
        </w:tc>
        <w:tc>
          <w:tcPr>
            <w:tcW w:w="1289" w:type="dxa"/>
            <w:tcBorders>
              <w:top w:val="nil"/>
              <w:left w:val="nil"/>
              <w:bottom w:val="nil"/>
              <w:right w:val="nil"/>
            </w:tcBorders>
            <w:shd w:val="clear" w:color="auto" w:fill="auto"/>
            <w:noWrap/>
            <w:vAlign w:val="bottom"/>
          </w:tcPr>
          <w:p w14:paraId="4E1D1E86" w14:textId="6BB9B5C2" w:rsidR="00015A86" w:rsidRPr="007239A6" w:rsidRDefault="00015A86" w:rsidP="004C356D">
            <w:pPr>
              <w:spacing w:after="0" w:line="240" w:lineRule="auto"/>
              <w:jc w:val="right"/>
              <w:rPr>
                <w:color w:val="000000"/>
                <w:sz w:val="22"/>
                <w:szCs w:val="22"/>
                <w:lang w:bidi="ar-SA"/>
              </w:rPr>
            </w:pPr>
            <w:r w:rsidRPr="007239A6">
              <w:rPr>
                <w:sz w:val="20"/>
                <w:szCs w:val="20"/>
              </w:rPr>
              <w:t xml:space="preserve">104 </w:t>
            </w:r>
          </w:p>
        </w:tc>
        <w:tc>
          <w:tcPr>
            <w:tcW w:w="1769" w:type="dxa"/>
            <w:tcBorders>
              <w:top w:val="nil"/>
              <w:left w:val="nil"/>
              <w:bottom w:val="nil"/>
              <w:right w:val="nil"/>
            </w:tcBorders>
            <w:vAlign w:val="bottom"/>
          </w:tcPr>
          <w:p w14:paraId="4439CD59" w14:textId="04BDAADC" w:rsidR="00015A86" w:rsidRPr="00A54231" w:rsidRDefault="00015A86" w:rsidP="004C356D">
            <w:pPr>
              <w:spacing w:after="0" w:line="240" w:lineRule="auto"/>
              <w:jc w:val="right"/>
              <w:rPr>
                <w:sz w:val="20"/>
                <w:szCs w:val="20"/>
              </w:rPr>
            </w:pPr>
            <w:r w:rsidRPr="00A54231">
              <w:rPr>
                <w:color w:val="000000"/>
                <w:sz w:val="20"/>
                <w:szCs w:val="20"/>
              </w:rPr>
              <w:t>79.29</w:t>
            </w:r>
          </w:p>
        </w:tc>
      </w:tr>
      <w:tr w:rsidR="00015A86" w:rsidRPr="007239A6" w14:paraId="244FE1C8" w14:textId="7887A0B3" w:rsidTr="00181ACD">
        <w:trPr>
          <w:trHeight w:val="288"/>
        </w:trPr>
        <w:tc>
          <w:tcPr>
            <w:tcW w:w="1586" w:type="dxa"/>
            <w:tcBorders>
              <w:top w:val="nil"/>
              <w:left w:val="nil"/>
              <w:bottom w:val="nil"/>
              <w:right w:val="nil"/>
            </w:tcBorders>
            <w:shd w:val="clear" w:color="auto" w:fill="auto"/>
            <w:noWrap/>
            <w:vAlign w:val="bottom"/>
            <w:hideMark/>
          </w:tcPr>
          <w:p w14:paraId="572346E7"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Bozrah</w:t>
            </w:r>
          </w:p>
        </w:tc>
        <w:tc>
          <w:tcPr>
            <w:tcW w:w="1261" w:type="dxa"/>
            <w:tcBorders>
              <w:top w:val="nil"/>
              <w:left w:val="nil"/>
              <w:bottom w:val="nil"/>
              <w:right w:val="nil"/>
            </w:tcBorders>
            <w:shd w:val="clear" w:color="auto" w:fill="auto"/>
            <w:noWrap/>
            <w:vAlign w:val="bottom"/>
          </w:tcPr>
          <w:p w14:paraId="7F6402AD" w14:textId="0B9F7857" w:rsidR="00015A86" w:rsidRPr="007239A6" w:rsidRDefault="00015A86" w:rsidP="004C356D">
            <w:pPr>
              <w:spacing w:after="0" w:line="240" w:lineRule="auto"/>
              <w:jc w:val="right"/>
              <w:rPr>
                <w:color w:val="000000"/>
                <w:sz w:val="22"/>
                <w:szCs w:val="22"/>
                <w:lang w:bidi="ar-SA"/>
              </w:rPr>
            </w:pPr>
            <w:r w:rsidRPr="007239A6">
              <w:rPr>
                <w:sz w:val="20"/>
                <w:szCs w:val="20"/>
              </w:rPr>
              <w:t>282.3</w:t>
            </w:r>
          </w:p>
        </w:tc>
        <w:tc>
          <w:tcPr>
            <w:tcW w:w="1293" w:type="dxa"/>
            <w:tcBorders>
              <w:top w:val="nil"/>
              <w:left w:val="nil"/>
              <w:bottom w:val="nil"/>
              <w:right w:val="nil"/>
            </w:tcBorders>
            <w:shd w:val="clear" w:color="auto" w:fill="auto"/>
            <w:noWrap/>
            <w:vAlign w:val="bottom"/>
          </w:tcPr>
          <w:p w14:paraId="3AC7A33B" w14:textId="2E0335ED" w:rsidR="00015A86" w:rsidRPr="007239A6" w:rsidRDefault="00015A86" w:rsidP="004C356D">
            <w:pPr>
              <w:spacing w:after="0" w:line="240" w:lineRule="auto"/>
              <w:jc w:val="right"/>
              <w:rPr>
                <w:color w:val="000000"/>
                <w:sz w:val="22"/>
                <w:szCs w:val="22"/>
                <w:lang w:bidi="ar-SA"/>
              </w:rPr>
            </w:pPr>
            <w:r w:rsidRPr="007239A6">
              <w:rPr>
                <w:sz w:val="20"/>
                <w:szCs w:val="20"/>
              </w:rPr>
              <w:t xml:space="preserve">108 </w:t>
            </w:r>
          </w:p>
        </w:tc>
        <w:tc>
          <w:tcPr>
            <w:tcW w:w="1650" w:type="dxa"/>
            <w:tcBorders>
              <w:top w:val="nil"/>
              <w:left w:val="nil"/>
              <w:bottom w:val="nil"/>
              <w:right w:val="nil"/>
            </w:tcBorders>
            <w:shd w:val="clear" w:color="auto" w:fill="auto"/>
            <w:noWrap/>
            <w:vAlign w:val="bottom"/>
          </w:tcPr>
          <w:p w14:paraId="17CDD5FE" w14:textId="38F41DB1" w:rsidR="00015A86" w:rsidRPr="007239A6" w:rsidRDefault="00015A86" w:rsidP="004C356D">
            <w:pPr>
              <w:spacing w:after="0" w:line="240" w:lineRule="auto"/>
              <w:jc w:val="right"/>
              <w:rPr>
                <w:color w:val="000000"/>
                <w:sz w:val="22"/>
                <w:szCs w:val="22"/>
                <w:lang w:bidi="ar-SA"/>
              </w:rPr>
            </w:pPr>
            <w:r w:rsidRPr="007239A6">
              <w:rPr>
                <w:sz w:val="20"/>
                <w:szCs w:val="20"/>
              </w:rPr>
              <w:t>312.5</w:t>
            </w:r>
          </w:p>
        </w:tc>
        <w:tc>
          <w:tcPr>
            <w:tcW w:w="1289" w:type="dxa"/>
            <w:tcBorders>
              <w:top w:val="nil"/>
              <w:left w:val="nil"/>
              <w:bottom w:val="nil"/>
              <w:right w:val="nil"/>
            </w:tcBorders>
            <w:shd w:val="clear" w:color="auto" w:fill="auto"/>
            <w:noWrap/>
            <w:vAlign w:val="bottom"/>
          </w:tcPr>
          <w:p w14:paraId="4E9736A8" w14:textId="4E7EBF73" w:rsidR="00015A86" w:rsidRPr="007239A6" w:rsidRDefault="00015A86" w:rsidP="004C356D">
            <w:pPr>
              <w:spacing w:after="0" w:line="240" w:lineRule="auto"/>
              <w:jc w:val="right"/>
              <w:rPr>
                <w:color w:val="000000"/>
                <w:sz w:val="22"/>
                <w:szCs w:val="22"/>
                <w:lang w:bidi="ar-SA"/>
              </w:rPr>
            </w:pPr>
            <w:r w:rsidRPr="007239A6">
              <w:rPr>
                <w:sz w:val="20"/>
                <w:szCs w:val="20"/>
              </w:rPr>
              <w:t xml:space="preserve">119 </w:t>
            </w:r>
          </w:p>
        </w:tc>
        <w:tc>
          <w:tcPr>
            <w:tcW w:w="1769" w:type="dxa"/>
            <w:tcBorders>
              <w:top w:val="nil"/>
              <w:left w:val="nil"/>
              <w:bottom w:val="nil"/>
              <w:right w:val="nil"/>
            </w:tcBorders>
            <w:vAlign w:val="bottom"/>
          </w:tcPr>
          <w:p w14:paraId="06FD1EDB" w14:textId="5659A10C" w:rsidR="00015A86" w:rsidRPr="00A54231" w:rsidRDefault="00015A86" w:rsidP="004C356D">
            <w:pPr>
              <w:spacing w:after="0" w:line="240" w:lineRule="auto"/>
              <w:jc w:val="right"/>
              <w:rPr>
                <w:sz w:val="20"/>
                <w:szCs w:val="20"/>
              </w:rPr>
            </w:pPr>
            <w:r w:rsidRPr="00A54231">
              <w:rPr>
                <w:color w:val="000000"/>
                <w:sz w:val="20"/>
                <w:szCs w:val="20"/>
              </w:rPr>
              <w:t>-5.05</w:t>
            </w:r>
          </w:p>
        </w:tc>
      </w:tr>
      <w:tr w:rsidR="00015A86" w:rsidRPr="007239A6" w14:paraId="52674D58" w14:textId="3795626B" w:rsidTr="00181ACD">
        <w:trPr>
          <w:trHeight w:val="288"/>
        </w:trPr>
        <w:tc>
          <w:tcPr>
            <w:tcW w:w="1586" w:type="dxa"/>
            <w:tcBorders>
              <w:top w:val="nil"/>
              <w:left w:val="nil"/>
              <w:bottom w:val="nil"/>
              <w:right w:val="nil"/>
            </w:tcBorders>
            <w:shd w:val="clear" w:color="auto" w:fill="auto"/>
            <w:noWrap/>
            <w:vAlign w:val="bottom"/>
            <w:hideMark/>
          </w:tcPr>
          <w:p w14:paraId="27956ADB"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Branford</w:t>
            </w:r>
          </w:p>
        </w:tc>
        <w:tc>
          <w:tcPr>
            <w:tcW w:w="1261" w:type="dxa"/>
            <w:tcBorders>
              <w:top w:val="nil"/>
              <w:left w:val="nil"/>
              <w:bottom w:val="nil"/>
              <w:right w:val="nil"/>
            </w:tcBorders>
            <w:shd w:val="clear" w:color="auto" w:fill="auto"/>
            <w:noWrap/>
            <w:vAlign w:val="bottom"/>
          </w:tcPr>
          <w:p w14:paraId="2A312C0D" w14:textId="7FD85920" w:rsidR="00015A86" w:rsidRPr="007239A6" w:rsidRDefault="00015A86" w:rsidP="004C356D">
            <w:pPr>
              <w:spacing w:after="0" w:line="240" w:lineRule="auto"/>
              <w:jc w:val="right"/>
              <w:rPr>
                <w:color w:val="000000"/>
                <w:sz w:val="22"/>
                <w:szCs w:val="22"/>
                <w:lang w:bidi="ar-SA"/>
              </w:rPr>
            </w:pPr>
            <w:r w:rsidRPr="007239A6">
              <w:rPr>
                <w:sz w:val="20"/>
                <w:szCs w:val="20"/>
              </w:rPr>
              <w:t>5,356.1</w:t>
            </w:r>
          </w:p>
        </w:tc>
        <w:tc>
          <w:tcPr>
            <w:tcW w:w="1293" w:type="dxa"/>
            <w:tcBorders>
              <w:top w:val="nil"/>
              <w:left w:val="nil"/>
              <w:bottom w:val="nil"/>
              <w:right w:val="nil"/>
            </w:tcBorders>
            <w:shd w:val="clear" w:color="auto" w:fill="auto"/>
            <w:noWrap/>
            <w:vAlign w:val="bottom"/>
          </w:tcPr>
          <w:p w14:paraId="3B73B60E" w14:textId="4C389EA3" w:rsidR="00015A86" w:rsidRPr="007239A6" w:rsidRDefault="00015A86" w:rsidP="004C356D">
            <w:pPr>
              <w:spacing w:after="0" w:line="240" w:lineRule="auto"/>
              <w:jc w:val="right"/>
              <w:rPr>
                <w:color w:val="000000"/>
                <w:sz w:val="22"/>
                <w:szCs w:val="22"/>
                <w:lang w:bidi="ar-SA"/>
              </w:rPr>
            </w:pPr>
            <w:r w:rsidRPr="007239A6">
              <w:rPr>
                <w:sz w:val="20"/>
                <w:szCs w:val="20"/>
              </w:rPr>
              <w:t xml:space="preserve">191 </w:t>
            </w:r>
          </w:p>
        </w:tc>
        <w:tc>
          <w:tcPr>
            <w:tcW w:w="1650" w:type="dxa"/>
            <w:tcBorders>
              <w:top w:val="nil"/>
              <w:left w:val="nil"/>
              <w:bottom w:val="nil"/>
              <w:right w:val="nil"/>
            </w:tcBorders>
            <w:shd w:val="clear" w:color="auto" w:fill="auto"/>
            <w:noWrap/>
            <w:vAlign w:val="bottom"/>
          </w:tcPr>
          <w:p w14:paraId="611C0DED" w14:textId="0823D284" w:rsidR="00015A86" w:rsidRPr="007239A6" w:rsidRDefault="00015A86" w:rsidP="004C356D">
            <w:pPr>
              <w:spacing w:after="0" w:line="240" w:lineRule="auto"/>
              <w:jc w:val="right"/>
              <w:rPr>
                <w:color w:val="000000"/>
                <w:sz w:val="22"/>
                <w:szCs w:val="22"/>
                <w:lang w:bidi="ar-SA"/>
              </w:rPr>
            </w:pPr>
            <w:r w:rsidRPr="007239A6">
              <w:rPr>
                <w:sz w:val="20"/>
                <w:szCs w:val="20"/>
              </w:rPr>
              <w:t>4062.2</w:t>
            </w:r>
          </w:p>
        </w:tc>
        <w:tc>
          <w:tcPr>
            <w:tcW w:w="1289" w:type="dxa"/>
            <w:tcBorders>
              <w:top w:val="nil"/>
              <w:left w:val="nil"/>
              <w:bottom w:val="nil"/>
              <w:right w:val="nil"/>
            </w:tcBorders>
            <w:shd w:val="clear" w:color="auto" w:fill="auto"/>
            <w:noWrap/>
            <w:vAlign w:val="bottom"/>
          </w:tcPr>
          <w:p w14:paraId="0C4F2AF2" w14:textId="6F836EE0" w:rsidR="00015A86" w:rsidRPr="007239A6" w:rsidRDefault="00015A86" w:rsidP="004C356D">
            <w:pPr>
              <w:spacing w:after="0" w:line="240" w:lineRule="auto"/>
              <w:jc w:val="right"/>
              <w:rPr>
                <w:color w:val="000000"/>
                <w:sz w:val="22"/>
                <w:szCs w:val="22"/>
                <w:lang w:bidi="ar-SA"/>
              </w:rPr>
            </w:pPr>
            <w:r w:rsidRPr="007239A6">
              <w:rPr>
                <w:sz w:val="20"/>
                <w:szCs w:val="20"/>
              </w:rPr>
              <w:t xml:space="preserve">145 </w:t>
            </w:r>
          </w:p>
        </w:tc>
        <w:tc>
          <w:tcPr>
            <w:tcW w:w="1769" w:type="dxa"/>
            <w:tcBorders>
              <w:top w:val="nil"/>
              <w:left w:val="nil"/>
              <w:bottom w:val="nil"/>
              <w:right w:val="nil"/>
            </w:tcBorders>
            <w:vAlign w:val="bottom"/>
          </w:tcPr>
          <w:p w14:paraId="4940AA84" w14:textId="3397A994" w:rsidR="00015A86" w:rsidRPr="00A54231" w:rsidRDefault="00015A86" w:rsidP="004C356D">
            <w:pPr>
              <w:spacing w:after="0" w:line="240" w:lineRule="auto"/>
              <w:jc w:val="right"/>
              <w:rPr>
                <w:sz w:val="20"/>
                <w:szCs w:val="20"/>
              </w:rPr>
            </w:pPr>
            <w:r w:rsidRPr="00A54231">
              <w:rPr>
                <w:color w:val="000000"/>
                <w:sz w:val="20"/>
                <w:szCs w:val="20"/>
              </w:rPr>
              <w:t>-422.74</w:t>
            </w:r>
          </w:p>
        </w:tc>
      </w:tr>
      <w:tr w:rsidR="00015A86" w:rsidRPr="007239A6" w14:paraId="31EBF04A" w14:textId="50DA539B" w:rsidTr="00181ACD">
        <w:trPr>
          <w:trHeight w:val="288"/>
        </w:trPr>
        <w:tc>
          <w:tcPr>
            <w:tcW w:w="1586" w:type="dxa"/>
            <w:tcBorders>
              <w:top w:val="nil"/>
              <w:left w:val="nil"/>
              <w:bottom w:val="nil"/>
              <w:right w:val="nil"/>
            </w:tcBorders>
            <w:shd w:val="clear" w:color="auto" w:fill="auto"/>
            <w:noWrap/>
            <w:vAlign w:val="bottom"/>
            <w:hideMark/>
          </w:tcPr>
          <w:p w14:paraId="600EFDC9"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Bridgeport</w:t>
            </w:r>
          </w:p>
        </w:tc>
        <w:tc>
          <w:tcPr>
            <w:tcW w:w="1261" w:type="dxa"/>
            <w:tcBorders>
              <w:top w:val="nil"/>
              <w:left w:val="nil"/>
              <w:bottom w:val="nil"/>
              <w:right w:val="nil"/>
            </w:tcBorders>
            <w:shd w:val="clear" w:color="auto" w:fill="auto"/>
            <w:noWrap/>
            <w:vAlign w:val="bottom"/>
          </w:tcPr>
          <w:p w14:paraId="3A2AF989" w14:textId="29E01152" w:rsidR="00015A86" w:rsidRPr="007239A6" w:rsidRDefault="00015A86" w:rsidP="004C356D">
            <w:pPr>
              <w:spacing w:after="0" w:line="240" w:lineRule="auto"/>
              <w:jc w:val="right"/>
              <w:rPr>
                <w:color w:val="000000"/>
                <w:sz w:val="22"/>
                <w:szCs w:val="22"/>
                <w:lang w:bidi="ar-SA"/>
              </w:rPr>
            </w:pPr>
            <w:r w:rsidRPr="007239A6">
              <w:rPr>
                <w:sz w:val="20"/>
                <w:szCs w:val="20"/>
              </w:rPr>
              <w:t>7,693.8</w:t>
            </w:r>
          </w:p>
        </w:tc>
        <w:tc>
          <w:tcPr>
            <w:tcW w:w="1293" w:type="dxa"/>
            <w:tcBorders>
              <w:top w:val="nil"/>
              <w:left w:val="nil"/>
              <w:bottom w:val="nil"/>
              <w:right w:val="nil"/>
            </w:tcBorders>
            <w:shd w:val="clear" w:color="auto" w:fill="auto"/>
            <w:noWrap/>
            <w:vAlign w:val="bottom"/>
          </w:tcPr>
          <w:p w14:paraId="1DB3DDBB" w14:textId="332AAF61" w:rsidR="00015A86" w:rsidRPr="007239A6" w:rsidRDefault="00015A86" w:rsidP="004C356D">
            <w:pPr>
              <w:spacing w:after="0" w:line="240" w:lineRule="auto"/>
              <w:jc w:val="right"/>
              <w:rPr>
                <w:color w:val="000000"/>
                <w:sz w:val="22"/>
                <w:szCs w:val="22"/>
                <w:lang w:bidi="ar-SA"/>
              </w:rPr>
            </w:pPr>
            <w:r w:rsidRPr="007239A6">
              <w:rPr>
                <w:sz w:val="20"/>
                <w:szCs w:val="20"/>
              </w:rPr>
              <w:t xml:space="preserve">53 </w:t>
            </w:r>
          </w:p>
        </w:tc>
        <w:tc>
          <w:tcPr>
            <w:tcW w:w="1650" w:type="dxa"/>
            <w:tcBorders>
              <w:top w:val="nil"/>
              <w:left w:val="nil"/>
              <w:bottom w:val="nil"/>
              <w:right w:val="nil"/>
            </w:tcBorders>
            <w:shd w:val="clear" w:color="auto" w:fill="auto"/>
            <w:noWrap/>
            <w:vAlign w:val="bottom"/>
          </w:tcPr>
          <w:p w14:paraId="184E040F" w14:textId="614FC2CE" w:rsidR="00015A86" w:rsidRPr="007239A6" w:rsidRDefault="00015A86" w:rsidP="004C356D">
            <w:pPr>
              <w:spacing w:after="0" w:line="240" w:lineRule="auto"/>
              <w:jc w:val="right"/>
              <w:rPr>
                <w:color w:val="000000"/>
                <w:sz w:val="22"/>
                <w:szCs w:val="22"/>
                <w:lang w:bidi="ar-SA"/>
              </w:rPr>
            </w:pPr>
            <w:r w:rsidRPr="007239A6">
              <w:rPr>
                <w:sz w:val="20"/>
                <w:szCs w:val="20"/>
              </w:rPr>
              <w:t>13734.8</w:t>
            </w:r>
          </w:p>
        </w:tc>
        <w:tc>
          <w:tcPr>
            <w:tcW w:w="1289" w:type="dxa"/>
            <w:tcBorders>
              <w:top w:val="nil"/>
              <w:left w:val="nil"/>
              <w:bottom w:val="nil"/>
              <w:right w:val="nil"/>
            </w:tcBorders>
            <w:shd w:val="clear" w:color="auto" w:fill="auto"/>
            <w:noWrap/>
            <w:vAlign w:val="bottom"/>
          </w:tcPr>
          <w:p w14:paraId="03FE84FA" w14:textId="204167E3" w:rsidR="00015A86" w:rsidRPr="007239A6" w:rsidRDefault="00015A86" w:rsidP="004C356D">
            <w:pPr>
              <w:spacing w:after="0" w:line="240" w:lineRule="auto"/>
              <w:jc w:val="right"/>
              <w:rPr>
                <w:color w:val="000000"/>
                <w:sz w:val="22"/>
                <w:szCs w:val="22"/>
                <w:lang w:bidi="ar-SA"/>
              </w:rPr>
            </w:pPr>
            <w:r w:rsidRPr="007239A6">
              <w:rPr>
                <w:sz w:val="20"/>
                <w:szCs w:val="20"/>
              </w:rPr>
              <w:t xml:space="preserve">94 </w:t>
            </w:r>
          </w:p>
        </w:tc>
        <w:tc>
          <w:tcPr>
            <w:tcW w:w="1769" w:type="dxa"/>
            <w:tcBorders>
              <w:top w:val="nil"/>
              <w:left w:val="nil"/>
              <w:bottom w:val="nil"/>
              <w:right w:val="nil"/>
            </w:tcBorders>
            <w:vAlign w:val="bottom"/>
          </w:tcPr>
          <w:p w14:paraId="6D056DE0" w14:textId="3AA38946" w:rsidR="00015A86" w:rsidRPr="00A54231" w:rsidRDefault="00015A86" w:rsidP="004C356D">
            <w:pPr>
              <w:spacing w:after="0" w:line="240" w:lineRule="auto"/>
              <w:jc w:val="right"/>
              <w:rPr>
                <w:sz w:val="20"/>
                <w:szCs w:val="20"/>
              </w:rPr>
            </w:pPr>
            <w:r w:rsidRPr="00A54231">
              <w:rPr>
                <w:color w:val="000000"/>
                <w:sz w:val="20"/>
                <w:szCs w:val="20"/>
              </w:rPr>
              <w:t>1118.75</w:t>
            </w:r>
          </w:p>
        </w:tc>
      </w:tr>
      <w:tr w:rsidR="00015A86" w:rsidRPr="007239A6" w14:paraId="252ADC77" w14:textId="04551AC5" w:rsidTr="00181ACD">
        <w:trPr>
          <w:trHeight w:val="288"/>
        </w:trPr>
        <w:tc>
          <w:tcPr>
            <w:tcW w:w="1586" w:type="dxa"/>
            <w:tcBorders>
              <w:top w:val="nil"/>
              <w:left w:val="nil"/>
              <w:bottom w:val="nil"/>
              <w:right w:val="nil"/>
            </w:tcBorders>
            <w:shd w:val="clear" w:color="auto" w:fill="auto"/>
            <w:noWrap/>
            <w:vAlign w:val="bottom"/>
            <w:hideMark/>
          </w:tcPr>
          <w:p w14:paraId="436E23A5"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Bridgewater</w:t>
            </w:r>
          </w:p>
        </w:tc>
        <w:tc>
          <w:tcPr>
            <w:tcW w:w="1261" w:type="dxa"/>
            <w:tcBorders>
              <w:top w:val="nil"/>
              <w:left w:val="nil"/>
              <w:bottom w:val="nil"/>
              <w:right w:val="nil"/>
            </w:tcBorders>
            <w:shd w:val="clear" w:color="auto" w:fill="auto"/>
            <w:noWrap/>
            <w:vAlign w:val="bottom"/>
          </w:tcPr>
          <w:p w14:paraId="735A45D5" w14:textId="14053176" w:rsidR="00015A86" w:rsidRPr="007239A6" w:rsidRDefault="00015A86" w:rsidP="004C356D">
            <w:pPr>
              <w:spacing w:after="0" w:line="240" w:lineRule="auto"/>
              <w:jc w:val="right"/>
              <w:rPr>
                <w:color w:val="000000"/>
                <w:sz w:val="22"/>
                <w:szCs w:val="22"/>
                <w:lang w:bidi="ar-SA"/>
              </w:rPr>
            </w:pPr>
            <w:r w:rsidRPr="007239A6">
              <w:rPr>
                <w:sz w:val="20"/>
                <w:szCs w:val="20"/>
              </w:rPr>
              <w:t>61.1</w:t>
            </w:r>
          </w:p>
        </w:tc>
        <w:tc>
          <w:tcPr>
            <w:tcW w:w="1293" w:type="dxa"/>
            <w:tcBorders>
              <w:top w:val="nil"/>
              <w:left w:val="nil"/>
              <w:bottom w:val="nil"/>
              <w:right w:val="nil"/>
            </w:tcBorders>
            <w:shd w:val="clear" w:color="auto" w:fill="auto"/>
            <w:noWrap/>
            <w:vAlign w:val="bottom"/>
          </w:tcPr>
          <w:p w14:paraId="6935F4DD" w14:textId="0796DFC1" w:rsidR="00015A86" w:rsidRPr="007239A6" w:rsidRDefault="00015A86" w:rsidP="004C356D">
            <w:pPr>
              <w:spacing w:after="0" w:line="240" w:lineRule="auto"/>
              <w:jc w:val="right"/>
              <w:rPr>
                <w:color w:val="000000"/>
                <w:sz w:val="22"/>
                <w:szCs w:val="22"/>
                <w:lang w:bidi="ar-SA"/>
              </w:rPr>
            </w:pPr>
            <w:r w:rsidRPr="007239A6">
              <w:rPr>
                <w:sz w:val="20"/>
                <w:szCs w:val="20"/>
              </w:rPr>
              <w:t xml:space="preserve">35 </w:t>
            </w:r>
          </w:p>
        </w:tc>
        <w:tc>
          <w:tcPr>
            <w:tcW w:w="1650" w:type="dxa"/>
            <w:tcBorders>
              <w:top w:val="nil"/>
              <w:left w:val="nil"/>
              <w:bottom w:val="nil"/>
              <w:right w:val="nil"/>
            </w:tcBorders>
            <w:shd w:val="clear" w:color="auto" w:fill="auto"/>
            <w:noWrap/>
            <w:vAlign w:val="bottom"/>
          </w:tcPr>
          <w:p w14:paraId="55FF9F1F" w14:textId="4BF14329" w:rsidR="00015A86" w:rsidRPr="007239A6" w:rsidRDefault="00015A86" w:rsidP="004C356D">
            <w:pPr>
              <w:spacing w:after="0" w:line="240" w:lineRule="auto"/>
              <w:jc w:val="right"/>
              <w:rPr>
                <w:color w:val="000000"/>
                <w:sz w:val="22"/>
                <w:szCs w:val="22"/>
                <w:lang w:bidi="ar-SA"/>
              </w:rPr>
            </w:pPr>
            <w:r w:rsidRPr="007239A6">
              <w:rPr>
                <w:sz w:val="20"/>
                <w:szCs w:val="20"/>
              </w:rPr>
              <w:t>199.0</w:t>
            </w:r>
          </w:p>
        </w:tc>
        <w:tc>
          <w:tcPr>
            <w:tcW w:w="1289" w:type="dxa"/>
            <w:tcBorders>
              <w:top w:val="nil"/>
              <w:left w:val="nil"/>
              <w:bottom w:val="nil"/>
              <w:right w:val="nil"/>
            </w:tcBorders>
            <w:shd w:val="clear" w:color="auto" w:fill="auto"/>
            <w:noWrap/>
            <w:vAlign w:val="bottom"/>
          </w:tcPr>
          <w:p w14:paraId="4A884420" w14:textId="083B2125" w:rsidR="00015A86" w:rsidRPr="007239A6" w:rsidRDefault="00015A86" w:rsidP="004C356D">
            <w:pPr>
              <w:spacing w:after="0" w:line="240" w:lineRule="auto"/>
              <w:jc w:val="right"/>
              <w:rPr>
                <w:color w:val="000000"/>
                <w:sz w:val="22"/>
                <w:szCs w:val="22"/>
                <w:lang w:bidi="ar-SA"/>
              </w:rPr>
            </w:pPr>
            <w:r w:rsidRPr="007239A6">
              <w:rPr>
                <w:sz w:val="20"/>
                <w:szCs w:val="20"/>
              </w:rPr>
              <w:t xml:space="preserve">115 </w:t>
            </w:r>
          </w:p>
        </w:tc>
        <w:tc>
          <w:tcPr>
            <w:tcW w:w="1769" w:type="dxa"/>
            <w:tcBorders>
              <w:top w:val="nil"/>
              <w:left w:val="nil"/>
              <w:bottom w:val="nil"/>
              <w:right w:val="nil"/>
            </w:tcBorders>
            <w:vAlign w:val="bottom"/>
          </w:tcPr>
          <w:p w14:paraId="6184F825" w14:textId="67635099" w:rsidR="00015A86" w:rsidRPr="00A54231" w:rsidRDefault="00015A86" w:rsidP="004C356D">
            <w:pPr>
              <w:spacing w:after="0" w:line="240" w:lineRule="auto"/>
              <w:jc w:val="right"/>
              <w:rPr>
                <w:sz w:val="20"/>
                <w:szCs w:val="20"/>
              </w:rPr>
            </w:pPr>
            <w:r w:rsidRPr="00A54231">
              <w:rPr>
                <w:color w:val="000000"/>
                <w:sz w:val="20"/>
                <w:szCs w:val="20"/>
              </w:rPr>
              <w:t>-1634.77</w:t>
            </w:r>
          </w:p>
        </w:tc>
      </w:tr>
      <w:tr w:rsidR="00015A86" w:rsidRPr="007239A6" w14:paraId="2DC683DB" w14:textId="453095B5" w:rsidTr="00181ACD">
        <w:trPr>
          <w:trHeight w:val="288"/>
        </w:trPr>
        <w:tc>
          <w:tcPr>
            <w:tcW w:w="1586" w:type="dxa"/>
            <w:tcBorders>
              <w:top w:val="nil"/>
              <w:left w:val="nil"/>
              <w:bottom w:val="nil"/>
              <w:right w:val="nil"/>
            </w:tcBorders>
            <w:shd w:val="clear" w:color="auto" w:fill="auto"/>
            <w:noWrap/>
            <w:vAlign w:val="bottom"/>
            <w:hideMark/>
          </w:tcPr>
          <w:p w14:paraId="78588350"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Bristol</w:t>
            </w:r>
          </w:p>
        </w:tc>
        <w:tc>
          <w:tcPr>
            <w:tcW w:w="1261" w:type="dxa"/>
            <w:tcBorders>
              <w:top w:val="nil"/>
              <w:left w:val="nil"/>
              <w:bottom w:val="nil"/>
              <w:right w:val="nil"/>
            </w:tcBorders>
            <w:shd w:val="clear" w:color="auto" w:fill="auto"/>
            <w:noWrap/>
            <w:vAlign w:val="bottom"/>
          </w:tcPr>
          <w:p w14:paraId="76B29C34" w14:textId="264737F6" w:rsidR="00015A86" w:rsidRPr="007239A6" w:rsidRDefault="00015A86" w:rsidP="004C356D">
            <w:pPr>
              <w:spacing w:after="0" w:line="240" w:lineRule="auto"/>
              <w:jc w:val="right"/>
              <w:rPr>
                <w:color w:val="000000"/>
                <w:sz w:val="22"/>
                <w:szCs w:val="22"/>
                <w:lang w:bidi="ar-SA"/>
              </w:rPr>
            </w:pPr>
            <w:r w:rsidRPr="007239A6">
              <w:rPr>
                <w:sz w:val="20"/>
                <w:szCs w:val="20"/>
              </w:rPr>
              <w:t>5,213.3</w:t>
            </w:r>
          </w:p>
        </w:tc>
        <w:tc>
          <w:tcPr>
            <w:tcW w:w="1293" w:type="dxa"/>
            <w:tcBorders>
              <w:top w:val="nil"/>
              <w:left w:val="nil"/>
              <w:bottom w:val="nil"/>
              <w:right w:val="nil"/>
            </w:tcBorders>
            <w:shd w:val="clear" w:color="auto" w:fill="auto"/>
            <w:noWrap/>
            <w:vAlign w:val="bottom"/>
          </w:tcPr>
          <w:p w14:paraId="3D1F78BE" w14:textId="4212957A" w:rsidR="00015A86" w:rsidRPr="007239A6" w:rsidRDefault="00015A86" w:rsidP="004C356D">
            <w:pPr>
              <w:spacing w:after="0" w:line="240" w:lineRule="auto"/>
              <w:jc w:val="right"/>
              <w:rPr>
                <w:color w:val="000000"/>
                <w:sz w:val="22"/>
                <w:szCs w:val="22"/>
                <w:lang w:bidi="ar-SA"/>
              </w:rPr>
            </w:pPr>
            <w:r w:rsidRPr="007239A6">
              <w:rPr>
                <w:sz w:val="20"/>
                <w:szCs w:val="20"/>
              </w:rPr>
              <w:t xml:space="preserve">86 </w:t>
            </w:r>
          </w:p>
        </w:tc>
        <w:tc>
          <w:tcPr>
            <w:tcW w:w="1650" w:type="dxa"/>
            <w:tcBorders>
              <w:top w:val="nil"/>
              <w:left w:val="nil"/>
              <w:bottom w:val="nil"/>
              <w:right w:val="nil"/>
            </w:tcBorders>
            <w:shd w:val="clear" w:color="auto" w:fill="auto"/>
            <w:noWrap/>
            <w:vAlign w:val="bottom"/>
          </w:tcPr>
          <w:p w14:paraId="7B67E29E" w14:textId="01AA4C12" w:rsidR="00015A86" w:rsidRPr="007239A6" w:rsidRDefault="00015A86" w:rsidP="004C356D">
            <w:pPr>
              <w:spacing w:after="0" w:line="240" w:lineRule="auto"/>
              <w:jc w:val="right"/>
              <w:rPr>
                <w:color w:val="000000"/>
                <w:sz w:val="22"/>
                <w:szCs w:val="22"/>
                <w:lang w:bidi="ar-SA"/>
              </w:rPr>
            </w:pPr>
            <w:r w:rsidRPr="007239A6">
              <w:rPr>
                <w:sz w:val="20"/>
                <w:szCs w:val="20"/>
              </w:rPr>
              <w:t>5715.4</w:t>
            </w:r>
          </w:p>
        </w:tc>
        <w:tc>
          <w:tcPr>
            <w:tcW w:w="1289" w:type="dxa"/>
            <w:tcBorders>
              <w:top w:val="nil"/>
              <w:left w:val="nil"/>
              <w:bottom w:val="nil"/>
              <w:right w:val="nil"/>
            </w:tcBorders>
            <w:shd w:val="clear" w:color="auto" w:fill="auto"/>
            <w:noWrap/>
            <w:vAlign w:val="bottom"/>
          </w:tcPr>
          <w:p w14:paraId="5B6DC02E" w14:textId="5F734C53" w:rsidR="00015A86" w:rsidRPr="007239A6" w:rsidRDefault="00015A86" w:rsidP="004C356D">
            <w:pPr>
              <w:spacing w:after="0" w:line="240" w:lineRule="auto"/>
              <w:jc w:val="right"/>
              <w:rPr>
                <w:color w:val="000000"/>
                <w:sz w:val="22"/>
                <w:szCs w:val="22"/>
                <w:lang w:bidi="ar-SA"/>
              </w:rPr>
            </w:pPr>
            <w:r w:rsidRPr="007239A6">
              <w:rPr>
                <w:sz w:val="20"/>
                <w:szCs w:val="20"/>
              </w:rPr>
              <w:t xml:space="preserve">94 </w:t>
            </w:r>
          </w:p>
        </w:tc>
        <w:tc>
          <w:tcPr>
            <w:tcW w:w="1769" w:type="dxa"/>
            <w:tcBorders>
              <w:top w:val="nil"/>
              <w:left w:val="nil"/>
              <w:bottom w:val="nil"/>
              <w:right w:val="nil"/>
            </w:tcBorders>
            <w:vAlign w:val="bottom"/>
          </w:tcPr>
          <w:p w14:paraId="43C7EAC3" w14:textId="78DAB76F" w:rsidR="00015A86" w:rsidRPr="00A54231" w:rsidRDefault="00015A86" w:rsidP="004C356D">
            <w:pPr>
              <w:spacing w:after="0" w:line="240" w:lineRule="auto"/>
              <w:jc w:val="right"/>
              <w:rPr>
                <w:sz w:val="20"/>
                <w:szCs w:val="20"/>
              </w:rPr>
            </w:pPr>
            <w:r w:rsidRPr="00A54231">
              <w:rPr>
                <w:color w:val="000000"/>
                <w:sz w:val="20"/>
                <w:szCs w:val="20"/>
              </w:rPr>
              <w:t>447.11</w:t>
            </w:r>
          </w:p>
        </w:tc>
      </w:tr>
      <w:tr w:rsidR="00015A86" w:rsidRPr="007239A6" w14:paraId="38D2B0E1" w14:textId="6786102E" w:rsidTr="00181ACD">
        <w:trPr>
          <w:trHeight w:val="288"/>
        </w:trPr>
        <w:tc>
          <w:tcPr>
            <w:tcW w:w="1586" w:type="dxa"/>
            <w:tcBorders>
              <w:top w:val="nil"/>
              <w:left w:val="nil"/>
              <w:bottom w:val="nil"/>
              <w:right w:val="nil"/>
            </w:tcBorders>
            <w:shd w:val="clear" w:color="auto" w:fill="auto"/>
            <w:noWrap/>
            <w:vAlign w:val="bottom"/>
            <w:hideMark/>
          </w:tcPr>
          <w:p w14:paraId="33BD35A9"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Brookfield</w:t>
            </w:r>
          </w:p>
        </w:tc>
        <w:tc>
          <w:tcPr>
            <w:tcW w:w="1261" w:type="dxa"/>
            <w:tcBorders>
              <w:top w:val="nil"/>
              <w:left w:val="nil"/>
              <w:bottom w:val="nil"/>
              <w:right w:val="nil"/>
            </w:tcBorders>
            <w:shd w:val="clear" w:color="auto" w:fill="auto"/>
            <w:noWrap/>
            <w:vAlign w:val="bottom"/>
          </w:tcPr>
          <w:p w14:paraId="7CC06AB5" w14:textId="153AA5C5" w:rsidR="00015A86" w:rsidRPr="007239A6" w:rsidRDefault="00015A86" w:rsidP="004C356D">
            <w:pPr>
              <w:spacing w:after="0" w:line="240" w:lineRule="auto"/>
              <w:jc w:val="right"/>
              <w:rPr>
                <w:color w:val="000000"/>
                <w:sz w:val="22"/>
                <w:szCs w:val="22"/>
                <w:lang w:bidi="ar-SA"/>
              </w:rPr>
            </w:pPr>
            <w:r w:rsidRPr="007239A6">
              <w:rPr>
                <w:sz w:val="20"/>
                <w:szCs w:val="20"/>
              </w:rPr>
              <w:t>3,361.4</w:t>
            </w:r>
          </w:p>
        </w:tc>
        <w:tc>
          <w:tcPr>
            <w:tcW w:w="1293" w:type="dxa"/>
            <w:tcBorders>
              <w:top w:val="nil"/>
              <w:left w:val="nil"/>
              <w:bottom w:val="nil"/>
              <w:right w:val="nil"/>
            </w:tcBorders>
            <w:shd w:val="clear" w:color="auto" w:fill="auto"/>
            <w:noWrap/>
            <w:vAlign w:val="bottom"/>
          </w:tcPr>
          <w:p w14:paraId="7CCAAB8B" w14:textId="5DFD4328" w:rsidR="00015A86" w:rsidRPr="007239A6" w:rsidRDefault="00015A86" w:rsidP="004C356D">
            <w:pPr>
              <w:spacing w:after="0" w:line="240" w:lineRule="auto"/>
              <w:jc w:val="right"/>
              <w:rPr>
                <w:color w:val="000000"/>
                <w:sz w:val="22"/>
                <w:szCs w:val="22"/>
                <w:lang w:bidi="ar-SA"/>
              </w:rPr>
            </w:pPr>
            <w:r w:rsidRPr="007239A6">
              <w:rPr>
                <w:sz w:val="20"/>
                <w:szCs w:val="20"/>
              </w:rPr>
              <w:t xml:space="preserve">202 </w:t>
            </w:r>
          </w:p>
        </w:tc>
        <w:tc>
          <w:tcPr>
            <w:tcW w:w="1650" w:type="dxa"/>
            <w:tcBorders>
              <w:top w:val="nil"/>
              <w:left w:val="nil"/>
              <w:bottom w:val="nil"/>
              <w:right w:val="nil"/>
            </w:tcBorders>
            <w:shd w:val="clear" w:color="auto" w:fill="auto"/>
            <w:noWrap/>
            <w:vAlign w:val="bottom"/>
          </w:tcPr>
          <w:p w14:paraId="0623F533" w14:textId="7D350FA6" w:rsidR="00015A86" w:rsidRPr="007239A6" w:rsidRDefault="00015A86" w:rsidP="004C356D">
            <w:pPr>
              <w:spacing w:after="0" w:line="240" w:lineRule="auto"/>
              <w:jc w:val="right"/>
              <w:rPr>
                <w:color w:val="000000"/>
                <w:sz w:val="22"/>
                <w:szCs w:val="22"/>
                <w:lang w:bidi="ar-SA"/>
              </w:rPr>
            </w:pPr>
            <w:r w:rsidRPr="007239A6">
              <w:rPr>
                <w:sz w:val="20"/>
                <w:szCs w:val="20"/>
              </w:rPr>
              <w:t>2745.4</w:t>
            </w:r>
          </w:p>
        </w:tc>
        <w:tc>
          <w:tcPr>
            <w:tcW w:w="1289" w:type="dxa"/>
            <w:tcBorders>
              <w:top w:val="nil"/>
              <w:left w:val="nil"/>
              <w:bottom w:val="nil"/>
              <w:right w:val="nil"/>
            </w:tcBorders>
            <w:shd w:val="clear" w:color="auto" w:fill="auto"/>
            <w:noWrap/>
            <w:vAlign w:val="bottom"/>
          </w:tcPr>
          <w:p w14:paraId="2C826930" w14:textId="6543FBB8" w:rsidR="00015A86" w:rsidRPr="007239A6" w:rsidRDefault="00015A86" w:rsidP="004C356D">
            <w:pPr>
              <w:spacing w:after="0" w:line="240" w:lineRule="auto"/>
              <w:jc w:val="right"/>
              <w:rPr>
                <w:color w:val="000000"/>
                <w:sz w:val="22"/>
                <w:szCs w:val="22"/>
                <w:lang w:bidi="ar-SA"/>
              </w:rPr>
            </w:pPr>
            <w:r w:rsidRPr="007239A6">
              <w:rPr>
                <w:sz w:val="20"/>
                <w:szCs w:val="20"/>
              </w:rPr>
              <w:t xml:space="preserve">165 </w:t>
            </w:r>
          </w:p>
        </w:tc>
        <w:tc>
          <w:tcPr>
            <w:tcW w:w="1769" w:type="dxa"/>
            <w:tcBorders>
              <w:top w:val="nil"/>
              <w:left w:val="nil"/>
              <w:bottom w:val="nil"/>
              <w:right w:val="nil"/>
            </w:tcBorders>
            <w:vAlign w:val="bottom"/>
          </w:tcPr>
          <w:p w14:paraId="16B06E0E" w14:textId="3F0529F7" w:rsidR="00015A86" w:rsidRPr="00A54231" w:rsidRDefault="00015A86" w:rsidP="004C356D">
            <w:pPr>
              <w:spacing w:after="0" w:line="240" w:lineRule="auto"/>
              <w:jc w:val="right"/>
              <w:rPr>
                <w:sz w:val="20"/>
                <w:szCs w:val="20"/>
              </w:rPr>
            </w:pPr>
            <w:r w:rsidRPr="00A54231">
              <w:rPr>
                <w:color w:val="000000"/>
                <w:sz w:val="20"/>
                <w:szCs w:val="20"/>
              </w:rPr>
              <w:t>-660.33</w:t>
            </w:r>
          </w:p>
        </w:tc>
      </w:tr>
      <w:tr w:rsidR="00015A86" w:rsidRPr="007239A6" w14:paraId="0D62352D" w14:textId="097AC6D6" w:rsidTr="00181ACD">
        <w:trPr>
          <w:trHeight w:val="288"/>
        </w:trPr>
        <w:tc>
          <w:tcPr>
            <w:tcW w:w="1586" w:type="dxa"/>
            <w:tcBorders>
              <w:top w:val="nil"/>
              <w:left w:val="nil"/>
              <w:bottom w:val="nil"/>
              <w:right w:val="nil"/>
            </w:tcBorders>
            <w:shd w:val="clear" w:color="auto" w:fill="auto"/>
            <w:noWrap/>
            <w:vAlign w:val="bottom"/>
            <w:hideMark/>
          </w:tcPr>
          <w:p w14:paraId="05D87A63"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Brooklyn</w:t>
            </w:r>
          </w:p>
        </w:tc>
        <w:tc>
          <w:tcPr>
            <w:tcW w:w="1261" w:type="dxa"/>
            <w:tcBorders>
              <w:top w:val="nil"/>
              <w:left w:val="nil"/>
              <w:bottom w:val="nil"/>
              <w:right w:val="nil"/>
            </w:tcBorders>
            <w:shd w:val="clear" w:color="auto" w:fill="auto"/>
            <w:noWrap/>
            <w:vAlign w:val="bottom"/>
          </w:tcPr>
          <w:p w14:paraId="5CDBE8DA" w14:textId="05F64266" w:rsidR="00015A86" w:rsidRPr="007239A6" w:rsidRDefault="00015A86" w:rsidP="004C356D">
            <w:pPr>
              <w:spacing w:after="0" w:line="240" w:lineRule="auto"/>
              <w:jc w:val="right"/>
              <w:rPr>
                <w:color w:val="000000"/>
                <w:sz w:val="22"/>
                <w:szCs w:val="22"/>
                <w:lang w:bidi="ar-SA"/>
              </w:rPr>
            </w:pPr>
            <w:r w:rsidRPr="007239A6">
              <w:rPr>
                <w:sz w:val="20"/>
                <w:szCs w:val="20"/>
              </w:rPr>
              <w:t>542.3</w:t>
            </w:r>
          </w:p>
        </w:tc>
        <w:tc>
          <w:tcPr>
            <w:tcW w:w="1293" w:type="dxa"/>
            <w:tcBorders>
              <w:top w:val="nil"/>
              <w:left w:val="nil"/>
              <w:bottom w:val="nil"/>
              <w:right w:val="nil"/>
            </w:tcBorders>
            <w:shd w:val="clear" w:color="auto" w:fill="auto"/>
            <w:noWrap/>
            <w:vAlign w:val="bottom"/>
          </w:tcPr>
          <w:p w14:paraId="7B80D892" w14:textId="58064D91" w:rsidR="00015A86" w:rsidRPr="007239A6" w:rsidRDefault="00015A86" w:rsidP="004C356D">
            <w:pPr>
              <w:spacing w:after="0" w:line="240" w:lineRule="auto"/>
              <w:jc w:val="right"/>
              <w:rPr>
                <w:color w:val="000000"/>
                <w:sz w:val="22"/>
                <w:szCs w:val="22"/>
                <w:lang w:bidi="ar-SA"/>
              </w:rPr>
            </w:pPr>
            <w:r w:rsidRPr="007239A6">
              <w:rPr>
                <w:sz w:val="20"/>
                <w:szCs w:val="20"/>
              </w:rPr>
              <w:t xml:space="preserve">66 </w:t>
            </w:r>
          </w:p>
        </w:tc>
        <w:tc>
          <w:tcPr>
            <w:tcW w:w="1650" w:type="dxa"/>
            <w:tcBorders>
              <w:top w:val="nil"/>
              <w:left w:val="nil"/>
              <w:bottom w:val="nil"/>
              <w:right w:val="nil"/>
            </w:tcBorders>
            <w:shd w:val="clear" w:color="auto" w:fill="auto"/>
            <w:noWrap/>
            <w:vAlign w:val="bottom"/>
          </w:tcPr>
          <w:p w14:paraId="19015007" w14:textId="77A64D96" w:rsidR="00015A86" w:rsidRPr="007239A6" w:rsidRDefault="00015A86" w:rsidP="004C356D">
            <w:pPr>
              <w:spacing w:after="0" w:line="240" w:lineRule="auto"/>
              <w:jc w:val="right"/>
              <w:rPr>
                <w:color w:val="000000"/>
                <w:sz w:val="22"/>
                <w:szCs w:val="22"/>
                <w:lang w:bidi="ar-SA"/>
              </w:rPr>
            </w:pPr>
            <w:r w:rsidRPr="007239A6">
              <w:rPr>
                <w:sz w:val="20"/>
                <w:szCs w:val="20"/>
              </w:rPr>
              <w:t>470.2</w:t>
            </w:r>
          </w:p>
        </w:tc>
        <w:tc>
          <w:tcPr>
            <w:tcW w:w="1289" w:type="dxa"/>
            <w:tcBorders>
              <w:top w:val="nil"/>
              <w:left w:val="nil"/>
              <w:bottom w:val="nil"/>
              <w:right w:val="nil"/>
            </w:tcBorders>
            <w:shd w:val="clear" w:color="auto" w:fill="auto"/>
            <w:noWrap/>
            <w:vAlign w:val="bottom"/>
          </w:tcPr>
          <w:p w14:paraId="6267E11A" w14:textId="7C1CAD70" w:rsidR="00015A86" w:rsidRPr="007239A6" w:rsidRDefault="00015A86" w:rsidP="004C356D">
            <w:pPr>
              <w:spacing w:after="0" w:line="240" w:lineRule="auto"/>
              <w:jc w:val="right"/>
              <w:rPr>
                <w:color w:val="000000"/>
                <w:sz w:val="22"/>
                <w:szCs w:val="22"/>
                <w:lang w:bidi="ar-SA"/>
              </w:rPr>
            </w:pPr>
            <w:r w:rsidRPr="007239A6">
              <w:rPr>
                <w:sz w:val="20"/>
                <w:szCs w:val="20"/>
              </w:rPr>
              <w:t xml:space="preserve">57 </w:t>
            </w:r>
          </w:p>
        </w:tc>
        <w:tc>
          <w:tcPr>
            <w:tcW w:w="1769" w:type="dxa"/>
            <w:tcBorders>
              <w:top w:val="nil"/>
              <w:left w:val="nil"/>
              <w:bottom w:val="nil"/>
              <w:right w:val="nil"/>
            </w:tcBorders>
            <w:vAlign w:val="bottom"/>
          </w:tcPr>
          <w:p w14:paraId="6FF933B4" w14:textId="43F8B15E" w:rsidR="00015A86" w:rsidRPr="00A54231" w:rsidRDefault="00015A86" w:rsidP="004C356D">
            <w:pPr>
              <w:spacing w:after="0" w:line="240" w:lineRule="auto"/>
              <w:jc w:val="right"/>
              <w:rPr>
                <w:sz w:val="20"/>
                <w:szCs w:val="20"/>
              </w:rPr>
            </w:pPr>
            <w:r w:rsidRPr="00A54231">
              <w:rPr>
                <w:color w:val="000000"/>
                <w:sz w:val="20"/>
                <w:szCs w:val="20"/>
              </w:rPr>
              <w:t>317.28</w:t>
            </w:r>
          </w:p>
        </w:tc>
      </w:tr>
      <w:tr w:rsidR="00015A86" w:rsidRPr="007239A6" w14:paraId="197F96D2" w14:textId="464163F8" w:rsidTr="00181ACD">
        <w:trPr>
          <w:trHeight w:val="288"/>
        </w:trPr>
        <w:tc>
          <w:tcPr>
            <w:tcW w:w="1586" w:type="dxa"/>
            <w:tcBorders>
              <w:top w:val="nil"/>
              <w:left w:val="nil"/>
              <w:bottom w:val="nil"/>
              <w:right w:val="nil"/>
            </w:tcBorders>
            <w:shd w:val="clear" w:color="auto" w:fill="auto"/>
            <w:noWrap/>
            <w:vAlign w:val="bottom"/>
            <w:hideMark/>
          </w:tcPr>
          <w:p w14:paraId="0B9EC9AE"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Burlington</w:t>
            </w:r>
          </w:p>
        </w:tc>
        <w:tc>
          <w:tcPr>
            <w:tcW w:w="1261" w:type="dxa"/>
            <w:tcBorders>
              <w:top w:val="nil"/>
              <w:left w:val="nil"/>
              <w:bottom w:val="nil"/>
              <w:right w:val="nil"/>
            </w:tcBorders>
            <w:shd w:val="clear" w:color="auto" w:fill="auto"/>
            <w:noWrap/>
            <w:vAlign w:val="bottom"/>
          </w:tcPr>
          <w:p w14:paraId="65ABD2E1" w14:textId="535DEFA3" w:rsidR="00015A86" w:rsidRPr="007239A6" w:rsidRDefault="00015A86" w:rsidP="004C356D">
            <w:pPr>
              <w:spacing w:after="0" w:line="240" w:lineRule="auto"/>
              <w:jc w:val="right"/>
              <w:rPr>
                <w:color w:val="000000"/>
                <w:sz w:val="22"/>
                <w:szCs w:val="22"/>
                <w:lang w:bidi="ar-SA"/>
              </w:rPr>
            </w:pPr>
            <w:r w:rsidRPr="007239A6">
              <w:rPr>
                <w:sz w:val="20"/>
                <w:szCs w:val="20"/>
              </w:rPr>
              <w:t>187.9</w:t>
            </w:r>
          </w:p>
        </w:tc>
        <w:tc>
          <w:tcPr>
            <w:tcW w:w="1293" w:type="dxa"/>
            <w:tcBorders>
              <w:top w:val="nil"/>
              <w:left w:val="nil"/>
              <w:bottom w:val="nil"/>
              <w:right w:val="nil"/>
            </w:tcBorders>
            <w:shd w:val="clear" w:color="auto" w:fill="auto"/>
            <w:noWrap/>
            <w:vAlign w:val="bottom"/>
          </w:tcPr>
          <w:p w14:paraId="0BC5E433" w14:textId="04DA8D12" w:rsidR="00015A86" w:rsidRPr="007239A6" w:rsidRDefault="00015A86" w:rsidP="004C356D">
            <w:pPr>
              <w:spacing w:after="0" w:line="240" w:lineRule="auto"/>
              <w:jc w:val="right"/>
              <w:rPr>
                <w:color w:val="000000"/>
                <w:sz w:val="22"/>
                <w:szCs w:val="22"/>
                <w:lang w:bidi="ar-SA"/>
              </w:rPr>
            </w:pPr>
            <w:r w:rsidRPr="007239A6">
              <w:rPr>
                <w:sz w:val="20"/>
                <w:szCs w:val="20"/>
              </w:rPr>
              <w:t xml:space="preserve">20 </w:t>
            </w:r>
          </w:p>
        </w:tc>
        <w:tc>
          <w:tcPr>
            <w:tcW w:w="1650" w:type="dxa"/>
            <w:tcBorders>
              <w:top w:val="nil"/>
              <w:left w:val="nil"/>
              <w:bottom w:val="nil"/>
              <w:right w:val="nil"/>
            </w:tcBorders>
            <w:shd w:val="clear" w:color="auto" w:fill="auto"/>
            <w:noWrap/>
            <w:vAlign w:val="bottom"/>
          </w:tcPr>
          <w:p w14:paraId="41D01F91" w14:textId="41FB69A8" w:rsidR="00015A86" w:rsidRPr="007239A6" w:rsidRDefault="00015A86" w:rsidP="004C356D">
            <w:pPr>
              <w:spacing w:after="0" w:line="240" w:lineRule="auto"/>
              <w:jc w:val="right"/>
              <w:rPr>
                <w:color w:val="000000"/>
                <w:sz w:val="22"/>
                <w:szCs w:val="22"/>
                <w:lang w:bidi="ar-SA"/>
              </w:rPr>
            </w:pPr>
            <w:r w:rsidRPr="007239A6">
              <w:rPr>
                <w:sz w:val="20"/>
                <w:szCs w:val="20"/>
              </w:rPr>
              <w:t>786.3</w:t>
            </w:r>
          </w:p>
        </w:tc>
        <w:tc>
          <w:tcPr>
            <w:tcW w:w="1289" w:type="dxa"/>
            <w:tcBorders>
              <w:top w:val="nil"/>
              <w:left w:val="nil"/>
              <w:bottom w:val="nil"/>
              <w:right w:val="nil"/>
            </w:tcBorders>
            <w:shd w:val="clear" w:color="auto" w:fill="auto"/>
            <w:noWrap/>
            <w:vAlign w:val="bottom"/>
          </w:tcPr>
          <w:p w14:paraId="6857C980" w14:textId="73369B98" w:rsidR="00015A86" w:rsidRPr="007239A6" w:rsidRDefault="00015A86" w:rsidP="004C356D">
            <w:pPr>
              <w:spacing w:after="0" w:line="240" w:lineRule="auto"/>
              <w:jc w:val="right"/>
              <w:rPr>
                <w:color w:val="000000"/>
                <w:sz w:val="22"/>
                <w:szCs w:val="22"/>
                <w:lang w:bidi="ar-SA"/>
              </w:rPr>
            </w:pPr>
            <w:r w:rsidRPr="007239A6">
              <w:rPr>
                <w:sz w:val="20"/>
                <w:szCs w:val="20"/>
              </w:rPr>
              <w:t xml:space="preserve">84 </w:t>
            </w:r>
          </w:p>
        </w:tc>
        <w:tc>
          <w:tcPr>
            <w:tcW w:w="1769" w:type="dxa"/>
            <w:tcBorders>
              <w:top w:val="nil"/>
              <w:left w:val="nil"/>
              <w:bottom w:val="nil"/>
              <w:right w:val="nil"/>
            </w:tcBorders>
            <w:vAlign w:val="bottom"/>
          </w:tcPr>
          <w:p w14:paraId="378B99DB" w14:textId="7A90D126" w:rsidR="00015A86" w:rsidRPr="00A54231" w:rsidRDefault="00015A86" w:rsidP="004C356D">
            <w:pPr>
              <w:spacing w:after="0" w:line="240" w:lineRule="auto"/>
              <w:jc w:val="right"/>
              <w:rPr>
                <w:sz w:val="20"/>
                <w:szCs w:val="20"/>
              </w:rPr>
            </w:pPr>
            <w:r w:rsidRPr="00A54231">
              <w:rPr>
                <w:color w:val="000000"/>
                <w:sz w:val="20"/>
                <w:szCs w:val="20"/>
              </w:rPr>
              <w:t>-110.32</w:t>
            </w:r>
          </w:p>
        </w:tc>
      </w:tr>
      <w:tr w:rsidR="00015A86" w:rsidRPr="007239A6" w14:paraId="3C8557EF" w14:textId="019A3B02" w:rsidTr="00181ACD">
        <w:trPr>
          <w:trHeight w:val="288"/>
        </w:trPr>
        <w:tc>
          <w:tcPr>
            <w:tcW w:w="1586" w:type="dxa"/>
            <w:tcBorders>
              <w:top w:val="nil"/>
              <w:left w:val="nil"/>
              <w:bottom w:val="nil"/>
              <w:right w:val="nil"/>
            </w:tcBorders>
            <w:shd w:val="clear" w:color="auto" w:fill="auto"/>
            <w:noWrap/>
            <w:vAlign w:val="bottom"/>
            <w:hideMark/>
          </w:tcPr>
          <w:p w14:paraId="4EC9A99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Canaan</w:t>
            </w:r>
          </w:p>
        </w:tc>
        <w:tc>
          <w:tcPr>
            <w:tcW w:w="1261" w:type="dxa"/>
            <w:tcBorders>
              <w:top w:val="nil"/>
              <w:left w:val="nil"/>
              <w:bottom w:val="nil"/>
              <w:right w:val="nil"/>
            </w:tcBorders>
            <w:shd w:val="clear" w:color="auto" w:fill="auto"/>
            <w:noWrap/>
            <w:vAlign w:val="bottom"/>
          </w:tcPr>
          <w:p w14:paraId="297CD623" w14:textId="55BF1CFA" w:rsidR="00015A86" w:rsidRPr="007239A6" w:rsidRDefault="00015A86" w:rsidP="004C356D">
            <w:pPr>
              <w:spacing w:after="0" w:line="240" w:lineRule="auto"/>
              <w:jc w:val="right"/>
              <w:rPr>
                <w:color w:val="000000"/>
                <w:sz w:val="22"/>
                <w:szCs w:val="22"/>
                <w:lang w:bidi="ar-SA"/>
              </w:rPr>
            </w:pPr>
            <w:r w:rsidRPr="007239A6">
              <w:rPr>
                <w:sz w:val="20"/>
                <w:szCs w:val="20"/>
              </w:rPr>
              <w:t>540.1</w:t>
            </w:r>
          </w:p>
        </w:tc>
        <w:tc>
          <w:tcPr>
            <w:tcW w:w="1293" w:type="dxa"/>
            <w:tcBorders>
              <w:top w:val="nil"/>
              <w:left w:val="nil"/>
              <w:bottom w:val="nil"/>
              <w:right w:val="nil"/>
            </w:tcBorders>
            <w:shd w:val="clear" w:color="auto" w:fill="auto"/>
            <w:noWrap/>
            <w:vAlign w:val="bottom"/>
          </w:tcPr>
          <w:p w14:paraId="352FB7FC" w14:textId="4F629366" w:rsidR="00015A86" w:rsidRPr="007239A6" w:rsidRDefault="00015A86" w:rsidP="004C356D">
            <w:pPr>
              <w:spacing w:after="0" w:line="240" w:lineRule="auto"/>
              <w:jc w:val="right"/>
              <w:rPr>
                <w:color w:val="000000"/>
                <w:sz w:val="22"/>
                <w:szCs w:val="22"/>
                <w:lang w:bidi="ar-SA"/>
              </w:rPr>
            </w:pPr>
            <w:r w:rsidRPr="007239A6">
              <w:rPr>
                <w:sz w:val="20"/>
                <w:szCs w:val="20"/>
              </w:rPr>
              <w:t xml:space="preserve">471 </w:t>
            </w:r>
          </w:p>
        </w:tc>
        <w:tc>
          <w:tcPr>
            <w:tcW w:w="1650" w:type="dxa"/>
            <w:tcBorders>
              <w:top w:val="nil"/>
              <w:left w:val="nil"/>
              <w:bottom w:val="nil"/>
              <w:right w:val="nil"/>
            </w:tcBorders>
            <w:shd w:val="clear" w:color="auto" w:fill="auto"/>
            <w:noWrap/>
            <w:vAlign w:val="bottom"/>
          </w:tcPr>
          <w:p w14:paraId="02B20C07" w14:textId="651116BD" w:rsidR="00015A86" w:rsidRPr="007239A6" w:rsidRDefault="00015A86" w:rsidP="004C356D">
            <w:pPr>
              <w:spacing w:after="0" w:line="240" w:lineRule="auto"/>
              <w:jc w:val="right"/>
              <w:rPr>
                <w:color w:val="000000"/>
                <w:sz w:val="22"/>
                <w:szCs w:val="22"/>
                <w:lang w:bidi="ar-SA"/>
              </w:rPr>
            </w:pPr>
            <w:r w:rsidRPr="007239A6">
              <w:rPr>
                <w:sz w:val="20"/>
                <w:szCs w:val="20"/>
              </w:rPr>
              <w:t>252.4</w:t>
            </w:r>
          </w:p>
        </w:tc>
        <w:tc>
          <w:tcPr>
            <w:tcW w:w="1289" w:type="dxa"/>
            <w:tcBorders>
              <w:top w:val="nil"/>
              <w:left w:val="nil"/>
              <w:bottom w:val="nil"/>
              <w:right w:val="nil"/>
            </w:tcBorders>
            <w:shd w:val="clear" w:color="auto" w:fill="auto"/>
            <w:noWrap/>
            <w:vAlign w:val="bottom"/>
          </w:tcPr>
          <w:p w14:paraId="038414FB" w14:textId="10FC0471" w:rsidR="00015A86" w:rsidRPr="007239A6" w:rsidRDefault="00015A86" w:rsidP="004C356D">
            <w:pPr>
              <w:spacing w:after="0" w:line="240" w:lineRule="auto"/>
              <w:jc w:val="right"/>
              <w:rPr>
                <w:color w:val="000000"/>
                <w:sz w:val="22"/>
                <w:szCs w:val="22"/>
                <w:lang w:bidi="ar-SA"/>
              </w:rPr>
            </w:pPr>
            <w:r w:rsidRPr="007239A6">
              <w:rPr>
                <w:sz w:val="20"/>
                <w:szCs w:val="20"/>
              </w:rPr>
              <w:t xml:space="preserve">220 </w:t>
            </w:r>
          </w:p>
        </w:tc>
        <w:tc>
          <w:tcPr>
            <w:tcW w:w="1769" w:type="dxa"/>
            <w:tcBorders>
              <w:top w:val="nil"/>
              <w:left w:val="nil"/>
              <w:bottom w:val="nil"/>
              <w:right w:val="nil"/>
            </w:tcBorders>
            <w:vAlign w:val="bottom"/>
          </w:tcPr>
          <w:p w14:paraId="7FC8A2D4" w14:textId="4BE8E59D" w:rsidR="00015A86" w:rsidRPr="00A54231" w:rsidRDefault="00015A86" w:rsidP="004C356D">
            <w:pPr>
              <w:spacing w:after="0" w:line="240" w:lineRule="auto"/>
              <w:jc w:val="right"/>
              <w:rPr>
                <w:sz w:val="20"/>
                <w:szCs w:val="20"/>
              </w:rPr>
            </w:pPr>
            <w:r w:rsidRPr="00A54231">
              <w:rPr>
                <w:color w:val="000000"/>
                <w:sz w:val="20"/>
                <w:szCs w:val="20"/>
              </w:rPr>
              <w:t>-676.35</w:t>
            </w:r>
          </w:p>
        </w:tc>
      </w:tr>
      <w:tr w:rsidR="00015A86" w:rsidRPr="007239A6" w14:paraId="4F23186A" w14:textId="4F1BAA7E" w:rsidTr="00181ACD">
        <w:trPr>
          <w:trHeight w:val="288"/>
        </w:trPr>
        <w:tc>
          <w:tcPr>
            <w:tcW w:w="1586" w:type="dxa"/>
            <w:tcBorders>
              <w:top w:val="nil"/>
              <w:left w:val="nil"/>
              <w:bottom w:val="nil"/>
              <w:right w:val="nil"/>
            </w:tcBorders>
            <w:shd w:val="clear" w:color="auto" w:fill="auto"/>
            <w:noWrap/>
            <w:vAlign w:val="bottom"/>
            <w:hideMark/>
          </w:tcPr>
          <w:p w14:paraId="628B3EB1"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Canterbury</w:t>
            </w:r>
          </w:p>
        </w:tc>
        <w:tc>
          <w:tcPr>
            <w:tcW w:w="1261" w:type="dxa"/>
            <w:tcBorders>
              <w:top w:val="nil"/>
              <w:left w:val="nil"/>
              <w:bottom w:val="nil"/>
              <w:right w:val="nil"/>
            </w:tcBorders>
            <w:shd w:val="clear" w:color="auto" w:fill="auto"/>
            <w:noWrap/>
            <w:vAlign w:val="bottom"/>
          </w:tcPr>
          <w:p w14:paraId="12F10876" w14:textId="1FC777B7" w:rsidR="00015A86" w:rsidRPr="007239A6" w:rsidRDefault="00015A86" w:rsidP="004C356D">
            <w:pPr>
              <w:spacing w:after="0" w:line="240" w:lineRule="auto"/>
              <w:jc w:val="right"/>
              <w:rPr>
                <w:color w:val="000000"/>
                <w:sz w:val="22"/>
                <w:szCs w:val="22"/>
                <w:lang w:bidi="ar-SA"/>
              </w:rPr>
            </w:pPr>
            <w:r w:rsidRPr="007239A6">
              <w:rPr>
                <w:sz w:val="20"/>
                <w:szCs w:val="20"/>
              </w:rPr>
              <w:t>128.7</w:t>
            </w:r>
          </w:p>
        </w:tc>
        <w:tc>
          <w:tcPr>
            <w:tcW w:w="1293" w:type="dxa"/>
            <w:tcBorders>
              <w:top w:val="nil"/>
              <w:left w:val="nil"/>
              <w:bottom w:val="nil"/>
              <w:right w:val="nil"/>
            </w:tcBorders>
            <w:shd w:val="clear" w:color="auto" w:fill="auto"/>
            <w:noWrap/>
            <w:vAlign w:val="bottom"/>
          </w:tcPr>
          <w:p w14:paraId="43DE4985" w14:textId="13BDA22C" w:rsidR="00015A86" w:rsidRPr="007239A6" w:rsidRDefault="00015A86" w:rsidP="004C356D">
            <w:pPr>
              <w:spacing w:after="0" w:line="240" w:lineRule="auto"/>
              <w:jc w:val="right"/>
              <w:rPr>
                <w:color w:val="000000"/>
                <w:sz w:val="22"/>
                <w:szCs w:val="22"/>
                <w:lang w:bidi="ar-SA"/>
              </w:rPr>
            </w:pPr>
            <w:r w:rsidRPr="007239A6">
              <w:rPr>
                <w:sz w:val="20"/>
                <w:szCs w:val="20"/>
              </w:rPr>
              <w:t xml:space="preserve">25 </w:t>
            </w:r>
          </w:p>
        </w:tc>
        <w:tc>
          <w:tcPr>
            <w:tcW w:w="1650" w:type="dxa"/>
            <w:tcBorders>
              <w:top w:val="nil"/>
              <w:left w:val="nil"/>
              <w:bottom w:val="nil"/>
              <w:right w:val="nil"/>
            </w:tcBorders>
            <w:shd w:val="clear" w:color="auto" w:fill="auto"/>
            <w:noWrap/>
            <w:vAlign w:val="bottom"/>
          </w:tcPr>
          <w:p w14:paraId="41B74510" w14:textId="5BA24027" w:rsidR="00015A86" w:rsidRPr="007239A6" w:rsidRDefault="00015A86" w:rsidP="004C356D">
            <w:pPr>
              <w:spacing w:after="0" w:line="240" w:lineRule="auto"/>
              <w:jc w:val="right"/>
              <w:rPr>
                <w:color w:val="000000"/>
                <w:sz w:val="22"/>
                <w:szCs w:val="22"/>
                <w:lang w:bidi="ar-SA"/>
              </w:rPr>
            </w:pPr>
            <w:r w:rsidRPr="007239A6">
              <w:rPr>
                <w:sz w:val="20"/>
                <w:szCs w:val="20"/>
              </w:rPr>
              <w:t>231.8</w:t>
            </w:r>
          </w:p>
        </w:tc>
        <w:tc>
          <w:tcPr>
            <w:tcW w:w="1289" w:type="dxa"/>
            <w:tcBorders>
              <w:top w:val="nil"/>
              <w:left w:val="nil"/>
              <w:bottom w:val="nil"/>
              <w:right w:val="nil"/>
            </w:tcBorders>
            <w:shd w:val="clear" w:color="auto" w:fill="auto"/>
            <w:noWrap/>
            <w:vAlign w:val="bottom"/>
          </w:tcPr>
          <w:p w14:paraId="2EE1572C" w14:textId="2F431E05" w:rsidR="00015A86" w:rsidRPr="007239A6" w:rsidRDefault="00015A86" w:rsidP="004C356D">
            <w:pPr>
              <w:spacing w:after="0" w:line="240" w:lineRule="auto"/>
              <w:jc w:val="right"/>
              <w:rPr>
                <w:color w:val="000000"/>
                <w:sz w:val="22"/>
                <w:szCs w:val="22"/>
                <w:lang w:bidi="ar-SA"/>
              </w:rPr>
            </w:pPr>
            <w:r w:rsidRPr="007239A6">
              <w:rPr>
                <w:sz w:val="20"/>
                <w:szCs w:val="20"/>
              </w:rPr>
              <w:t xml:space="preserve">45 </w:t>
            </w:r>
          </w:p>
        </w:tc>
        <w:tc>
          <w:tcPr>
            <w:tcW w:w="1769" w:type="dxa"/>
            <w:tcBorders>
              <w:top w:val="nil"/>
              <w:left w:val="nil"/>
              <w:bottom w:val="nil"/>
              <w:right w:val="nil"/>
            </w:tcBorders>
            <w:vAlign w:val="bottom"/>
          </w:tcPr>
          <w:p w14:paraId="0E3F9853" w14:textId="41504A0B" w:rsidR="00015A86" w:rsidRPr="00A54231" w:rsidRDefault="00015A86" w:rsidP="004C356D">
            <w:pPr>
              <w:spacing w:after="0" w:line="240" w:lineRule="auto"/>
              <w:jc w:val="right"/>
              <w:rPr>
                <w:sz w:val="20"/>
                <w:szCs w:val="20"/>
              </w:rPr>
            </w:pPr>
            <w:r w:rsidRPr="00A54231">
              <w:rPr>
                <w:color w:val="000000"/>
                <w:sz w:val="20"/>
                <w:szCs w:val="20"/>
              </w:rPr>
              <w:t>265.62</w:t>
            </w:r>
          </w:p>
        </w:tc>
      </w:tr>
      <w:tr w:rsidR="00015A86" w:rsidRPr="007239A6" w14:paraId="1251C683" w14:textId="38C3734E" w:rsidTr="00181ACD">
        <w:trPr>
          <w:trHeight w:val="288"/>
        </w:trPr>
        <w:tc>
          <w:tcPr>
            <w:tcW w:w="1586" w:type="dxa"/>
            <w:tcBorders>
              <w:top w:val="nil"/>
              <w:left w:val="nil"/>
              <w:bottom w:val="nil"/>
              <w:right w:val="nil"/>
            </w:tcBorders>
            <w:shd w:val="clear" w:color="auto" w:fill="auto"/>
            <w:noWrap/>
            <w:vAlign w:val="bottom"/>
            <w:hideMark/>
          </w:tcPr>
          <w:p w14:paraId="106C7DDE"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Canton</w:t>
            </w:r>
          </w:p>
        </w:tc>
        <w:tc>
          <w:tcPr>
            <w:tcW w:w="1261" w:type="dxa"/>
            <w:tcBorders>
              <w:top w:val="nil"/>
              <w:left w:val="nil"/>
              <w:bottom w:val="nil"/>
              <w:right w:val="nil"/>
            </w:tcBorders>
            <w:shd w:val="clear" w:color="auto" w:fill="auto"/>
            <w:noWrap/>
            <w:vAlign w:val="bottom"/>
          </w:tcPr>
          <w:p w14:paraId="2D255B95" w14:textId="4248799A" w:rsidR="00015A86" w:rsidRPr="007239A6" w:rsidRDefault="00015A86" w:rsidP="004C356D">
            <w:pPr>
              <w:spacing w:after="0" w:line="240" w:lineRule="auto"/>
              <w:jc w:val="right"/>
              <w:rPr>
                <w:color w:val="000000"/>
                <w:sz w:val="22"/>
                <w:szCs w:val="22"/>
                <w:lang w:bidi="ar-SA"/>
              </w:rPr>
            </w:pPr>
            <w:r w:rsidRPr="007239A6">
              <w:rPr>
                <w:sz w:val="20"/>
                <w:szCs w:val="20"/>
              </w:rPr>
              <w:t>2,349.8</w:t>
            </w:r>
          </w:p>
        </w:tc>
        <w:tc>
          <w:tcPr>
            <w:tcW w:w="1293" w:type="dxa"/>
            <w:tcBorders>
              <w:top w:val="nil"/>
              <w:left w:val="nil"/>
              <w:bottom w:val="nil"/>
              <w:right w:val="nil"/>
            </w:tcBorders>
            <w:shd w:val="clear" w:color="auto" w:fill="auto"/>
            <w:noWrap/>
            <w:vAlign w:val="bottom"/>
          </w:tcPr>
          <w:p w14:paraId="0D3723DF" w14:textId="6D033DF6" w:rsidR="00015A86" w:rsidRPr="007239A6" w:rsidRDefault="00015A86" w:rsidP="004C356D">
            <w:pPr>
              <w:spacing w:after="0" w:line="240" w:lineRule="auto"/>
              <w:jc w:val="right"/>
              <w:rPr>
                <w:color w:val="000000"/>
                <w:sz w:val="22"/>
                <w:szCs w:val="22"/>
                <w:lang w:bidi="ar-SA"/>
              </w:rPr>
            </w:pPr>
            <w:r w:rsidRPr="007239A6">
              <w:rPr>
                <w:sz w:val="20"/>
                <w:szCs w:val="20"/>
              </w:rPr>
              <w:t xml:space="preserve">228 </w:t>
            </w:r>
          </w:p>
        </w:tc>
        <w:tc>
          <w:tcPr>
            <w:tcW w:w="1650" w:type="dxa"/>
            <w:tcBorders>
              <w:top w:val="nil"/>
              <w:left w:val="nil"/>
              <w:bottom w:val="nil"/>
              <w:right w:val="nil"/>
            </w:tcBorders>
            <w:shd w:val="clear" w:color="auto" w:fill="auto"/>
            <w:noWrap/>
            <w:vAlign w:val="bottom"/>
          </w:tcPr>
          <w:p w14:paraId="1767D318" w14:textId="7A83FCCB" w:rsidR="00015A86" w:rsidRPr="007239A6" w:rsidRDefault="00015A86" w:rsidP="004C356D">
            <w:pPr>
              <w:spacing w:after="0" w:line="240" w:lineRule="auto"/>
              <w:jc w:val="right"/>
              <w:rPr>
                <w:color w:val="000000"/>
                <w:sz w:val="22"/>
                <w:szCs w:val="22"/>
                <w:lang w:bidi="ar-SA"/>
              </w:rPr>
            </w:pPr>
            <w:r w:rsidRPr="007239A6">
              <w:rPr>
                <w:sz w:val="20"/>
                <w:szCs w:val="20"/>
              </w:rPr>
              <w:t>1193.5</w:t>
            </w:r>
          </w:p>
        </w:tc>
        <w:tc>
          <w:tcPr>
            <w:tcW w:w="1289" w:type="dxa"/>
            <w:tcBorders>
              <w:top w:val="nil"/>
              <w:left w:val="nil"/>
              <w:bottom w:val="nil"/>
              <w:right w:val="nil"/>
            </w:tcBorders>
            <w:shd w:val="clear" w:color="auto" w:fill="auto"/>
            <w:noWrap/>
            <w:vAlign w:val="bottom"/>
          </w:tcPr>
          <w:p w14:paraId="0519F239" w14:textId="3CE37DC8" w:rsidR="00015A86" w:rsidRPr="007239A6" w:rsidRDefault="00015A86" w:rsidP="004C356D">
            <w:pPr>
              <w:spacing w:after="0" w:line="240" w:lineRule="auto"/>
              <w:jc w:val="right"/>
              <w:rPr>
                <w:color w:val="000000"/>
                <w:sz w:val="22"/>
                <w:szCs w:val="22"/>
                <w:lang w:bidi="ar-SA"/>
              </w:rPr>
            </w:pPr>
            <w:r w:rsidRPr="007239A6">
              <w:rPr>
                <w:sz w:val="20"/>
                <w:szCs w:val="20"/>
              </w:rPr>
              <w:t xml:space="preserve">116 </w:t>
            </w:r>
          </w:p>
        </w:tc>
        <w:tc>
          <w:tcPr>
            <w:tcW w:w="1769" w:type="dxa"/>
            <w:tcBorders>
              <w:top w:val="nil"/>
              <w:left w:val="nil"/>
              <w:bottom w:val="nil"/>
              <w:right w:val="nil"/>
            </w:tcBorders>
            <w:vAlign w:val="bottom"/>
          </w:tcPr>
          <w:p w14:paraId="42E710BC" w14:textId="588D1C38" w:rsidR="00015A86" w:rsidRPr="00A54231" w:rsidRDefault="00015A86" w:rsidP="004C356D">
            <w:pPr>
              <w:spacing w:after="0" w:line="240" w:lineRule="auto"/>
              <w:jc w:val="right"/>
              <w:rPr>
                <w:sz w:val="20"/>
                <w:szCs w:val="20"/>
              </w:rPr>
            </w:pPr>
            <w:r w:rsidRPr="00A54231">
              <w:rPr>
                <w:color w:val="000000"/>
                <w:sz w:val="20"/>
                <w:szCs w:val="20"/>
              </w:rPr>
              <w:t>-220.65</w:t>
            </w:r>
          </w:p>
        </w:tc>
      </w:tr>
      <w:tr w:rsidR="00015A86" w:rsidRPr="007239A6" w14:paraId="66997E02" w14:textId="3579CDD2" w:rsidTr="00181ACD">
        <w:trPr>
          <w:trHeight w:val="288"/>
        </w:trPr>
        <w:tc>
          <w:tcPr>
            <w:tcW w:w="1586" w:type="dxa"/>
            <w:tcBorders>
              <w:top w:val="nil"/>
              <w:left w:val="nil"/>
              <w:bottom w:val="nil"/>
              <w:right w:val="nil"/>
            </w:tcBorders>
            <w:shd w:val="clear" w:color="auto" w:fill="auto"/>
            <w:noWrap/>
            <w:vAlign w:val="bottom"/>
            <w:hideMark/>
          </w:tcPr>
          <w:p w14:paraId="66393B7F"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Chaplin</w:t>
            </w:r>
          </w:p>
        </w:tc>
        <w:tc>
          <w:tcPr>
            <w:tcW w:w="1261" w:type="dxa"/>
            <w:tcBorders>
              <w:top w:val="nil"/>
              <w:left w:val="nil"/>
              <w:bottom w:val="nil"/>
              <w:right w:val="nil"/>
            </w:tcBorders>
            <w:shd w:val="clear" w:color="auto" w:fill="auto"/>
            <w:noWrap/>
            <w:vAlign w:val="bottom"/>
          </w:tcPr>
          <w:p w14:paraId="3CAC61E9" w14:textId="716DE5C7" w:rsidR="00015A86" w:rsidRPr="007239A6" w:rsidRDefault="00015A86" w:rsidP="004C356D">
            <w:pPr>
              <w:spacing w:after="0" w:line="240" w:lineRule="auto"/>
              <w:jc w:val="right"/>
              <w:rPr>
                <w:color w:val="000000"/>
                <w:sz w:val="22"/>
                <w:szCs w:val="22"/>
                <w:lang w:bidi="ar-SA"/>
              </w:rPr>
            </w:pPr>
            <w:r w:rsidRPr="007239A6">
              <w:rPr>
                <w:sz w:val="20"/>
                <w:szCs w:val="20"/>
              </w:rPr>
              <w:t>68.4</w:t>
            </w:r>
          </w:p>
        </w:tc>
        <w:tc>
          <w:tcPr>
            <w:tcW w:w="1293" w:type="dxa"/>
            <w:tcBorders>
              <w:top w:val="nil"/>
              <w:left w:val="nil"/>
              <w:bottom w:val="nil"/>
              <w:right w:val="nil"/>
            </w:tcBorders>
            <w:shd w:val="clear" w:color="auto" w:fill="auto"/>
            <w:noWrap/>
            <w:vAlign w:val="bottom"/>
          </w:tcPr>
          <w:p w14:paraId="3C34FB44" w14:textId="306CE740" w:rsidR="00015A86" w:rsidRPr="007239A6" w:rsidRDefault="00015A86" w:rsidP="004C356D">
            <w:pPr>
              <w:spacing w:after="0" w:line="240" w:lineRule="auto"/>
              <w:jc w:val="right"/>
              <w:rPr>
                <w:color w:val="000000"/>
                <w:sz w:val="22"/>
                <w:szCs w:val="22"/>
                <w:lang w:bidi="ar-SA"/>
              </w:rPr>
            </w:pPr>
            <w:r w:rsidRPr="007239A6">
              <w:rPr>
                <w:sz w:val="20"/>
                <w:szCs w:val="20"/>
              </w:rPr>
              <w:t xml:space="preserve">28 </w:t>
            </w:r>
          </w:p>
        </w:tc>
        <w:tc>
          <w:tcPr>
            <w:tcW w:w="1650" w:type="dxa"/>
            <w:tcBorders>
              <w:top w:val="nil"/>
              <w:left w:val="nil"/>
              <w:bottom w:val="nil"/>
              <w:right w:val="nil"/>
            </w:tcBorders>
            <w:shd w:val="clear" w:color="auto" w:fill="auto"/>
            <w:noWrap/>
            <w:vAlign w:val="bottom"/>
          </w:tcPr>
          <w:p w14:paraId="57982E74" w14:textId="3485F5C7" w:rsidR="00015A86" w:rsidRPr="007239A6" w:rsidRDefault="00015A86" w:rsidP="004C356D">
            <w:pPr>
              <w:spacing w:after="0" w:line="240" w:lineRule="auto"/>
              <w:jc w:val="right"/>
              <w:rPr>
                <w:color w:val="000000"/>
                <w:sz w:val="22"/>
                <w:szCs w:val="22"/>
                <w:lang w:bidi="ar-SA"/>
              </w:rPr>
            </w:pPr>
            <w:r w:rsidRPr="007239A6">
              <w:rPr>
                <w:sz w:val="20"/>
                <w:szCs w:val="20"/>
              </w:rPr>
              <w:t>118.0</w:t>
            </w:r>
          </w:p>
        </w:tc>
        <w:tc>
          <w:tcPr>
            <w:tcW w:w="1289" w:type="dxa"/>
            <w:tcBorders>
              <w:top w:val="nil"/>
              <w:left w:val="nil"/>
              <w:bottom w:val="nil"/>
              <w:right w:val="nil"/>
            </w:tcBorders>
            <w:shd w:val="clear" w:color="auto" w:fill="auto"/>
            <w:noWrap/>
            <w:vAlign w:val="bottom"/>
          </w:tcPr>
          <w:p w14:paraId="043AEE50" w14:textId="7E5D44EF" w:rsidR="00015A86" w:rsidRPr="007239A6" w:rsidRDefault="00015A86" w:rsidP="004C356D">
            <w:pPr>
              <w:spacing w:after="0" w:line="240" w:lineRule="auto"/>
              <w:jc w:val="right"/>
              <w:rPr>
                <w:color w:val="000000"/>
                <w:sz w:val="22"/>
                <w:szCs w:val="22"/>
                <w:lang w:bidi="ar-SA"/>
              </w:rPr>
            </w:pPr>
            <w:r w:rsidRPr="007239A6">
              <w:rPr>
                <w:sz w:val="20"/>
                <w:szCs w:val="20"/>
              </w:rPr>
              <w:t xml:space="preserve">49 </w:t>
            </w:r>
          </w:p>
        </w:tc>
        <w:tc>
          <w:tcPr>
            <w:tcW w:w="1769" w:type="dxa"/>
            <w:tcBorders>
              <w:top w:val="nil"/>
              <w:left w:val="nil"/>
              <w:bottom w:val="nil"/>
              <w:right w:val="nil"/>
            </w:tcBorders>
            <w:vAlign w:val="bottom"/>
          </w:tcPr>
          <w:p w14:paraId="682A9B7D" w14:textId="31F1F930" w:rsidR="00015A86" w:rsidRPr="00A54231" w:rsidRDefault="00015A86" w:rsidP="004C356D">
            <w:pPr>
              <w:spacing w:after="0" w:line="240" w:lineRule="auto"/>
              <w:jc w:val="right"/>
              <w:rPr>
                <w:sz w:val="20"/>
                <w:szCs w:val="20"/>
              </w:rPr>
            </w:pPr>
            <w:r w:rsidRPr="00A54231">
              <w:rPr>
                <w:color w:val="000000"/>
                <w:sz w:val="20"/>
                <w:szCs w:val="20"/>
              </w:rPr>
              <w:t>317.28</w:t>
            </w:r>
          </w:p>
        </w:tc>
      </w:tr>
      <w:tr w:rsidR="00015A86" w:rsidRPr="007239A6" w14:paraId="1B9101E1" w14:textId="459BFBC7" w:rsidTr="00181ACD">
        <w:trPr>
          <w:trHeight w:val="288"/>
        </w:trPr>
        <w:tc>
          <w:tcPr>
            <w:tcW w:w="1586" w:type="dxa"/>
            <w:tcBorders>
              <w:top w:val="nil"/>
              <w:left w:val="nil"/>
              <w:bottom w:val="nil"/>
              <w:right w:val="nil"/>
            </w:tcBorders>
            <w:shd w:val="clear" w:color="auto" w:fill="auto"/>
            <w:noWrap/>
            <w:vAlign w:val="bottom"/>
            <w:hideMark/>
          </w:tcPr>
          <w:p w14:paraId="2983FBB4"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Cheshire</w:t>
            </w:r>
          </w:p>
        </w:tc>
        <w:tc>
          <w:tcPr>
            <w:tcW w:w="1261" w:type="dxa"/>
            <w:tcBorders>
              <w:top w:val="nil"/>
              <w:left w:val="nil"/>
              <w:bottom w:val="nil"/>
              <w:right w:val="nil"/>
            </w:tcBorders>
            <w:shd w:val="clear" w:color="auto" w:fill="auto"/>
            <w:noWrap/>
            <w:vAlign w:val="bottom"/>
          </w:tcPr>
          <w:p w14:paraId="475BEE39" w14:textId="20150585" w:rsidR="00015A86" w:rsidRPr="007239A6" w:rsidRDefault="00015A86" w:rsidP="004C356D">
            <w:pPr>
              <w:spacing w:after="0" w:line="240" w:lineRule="auto"/>
              <w:jc w:val="right"/>
              <w:rPr>
                <w:color w:val="000000"/>
                <w:sz w:val="22"/>
                <w:szCs w:val="22"/>
                <w:lang w:bidi="ar-SA"/>
              </w:rPr>
            </w:pPr>
            <w:r w:rsidRPr="007239A6">
              <w:rPr>
                <w:sz w:val="20"/>
                <w:szCs w:val="20"/>
              </w:rPr>
              <w:t>2,681.5</w:t>
            </w:r>
          </w:p>
        </w:tc>
        <w:tc>
          <w:tcPr>
            <w:tcW w:w="1293" w:type="dxa"/>
            <w:tcBorders>
              <w:top w:val="nil"/>
              <w:left w:val="nil"/>
              <w:bottom w:val="nil"/>
              <w:right w:val="nil"/>
            </w:tcBorders>
            <w:shd w:val="clear" w:color="auto" w:fill="auto"/>
            <w:noWrap/>
            <w:vAlign w:val="bottom"/>
          </w:tcPr>
          <w:p w14:paraId="2CCEE5A3" w14:textId="5CF056D8" w:rsidR="00015A86" w:rsidRPr="007239A6" w:rsidRDefault="00015A86" w:rsidP="004C356D">
            <w:pPr>
              <w:spacing w:after="0" w:line="240" w:lineRule="auto"/>
              <w:jc w:val="right"/>
              <w:rPr>
                <w:color w:val="000000"/>
                <w:sz w:val="22"/>
                <w:szCs w:val="22"/>
                <w:lang w:bidi="ar-SA"/>
              </w:rPr>
            </w:pPr>
            <w:r w:rsidRPr="007239A6">
              <w:rPr>
                <w:sz w:val="20"/>
                <w:szCs w:val="20"/>
              </w:rPr>
              <w:t xml:space="preserve">92 </w:t>
            </w:r>
          </w:p>
        </w:tc>
        <w:tc>
          <w:tcPr>
            <w:tcW w:w="1650" w:type="dxa"/>
            <w:tcBorders>
              <w:top w:val="nil"/>
              <w:left w:val="nil"/>
              <w:bottom w:val="nil"/>
              <w:right w:val="nil"/>
            </w:tcBorders>
            <w:shd w:val="clear" w:color="auto" w:fill="auto"/>
            <w:noWrap/>
            <w:vAlign w:val="bottom"/>
          </w:tcPr>
          <w:p w14:paraId="184C6B65" w14:textId="12329ADA" w:rsidR="00015A86" w:rsidRPr="007239A6" w:rsidRDefault="00015A86" w:rsidP="004C356D">
            <w:pPr>
              <w:spacing w:after="0" w:line="240" w:lineRule="auto"/>
              <w:jc w:val="right"/>
              <w:rPr>
                <w:color w:val="000000"/>
                <w:sz w:val="22"/>
                <w:szCs w:val="22"/>
                <w:lang w:bidi="ar-SA"/>
              </w:rPr>
            </w:pPr>
            <w:r w:rsidRPr="007239A6">
              <w:rPr>
                <w:sz w:val="20"/>
                <w:szCs w:val="20"/>
              </w:rPr>
              <w:t>3491.1</w:t>
            </w:r>
          </w:p>
        </w:tc>
        <w:tc>
          <w:tcPr>
            <w:tcW w:w="1289" w:type="dxa"/>
            <w:tcBorders>
              <w:top w:val="nil"/>
              <w:left w:val="nil"/>
              <w:bottom w:val="nil"/>
              <w:right w:val="nil"/>
            </w:tcBorders>
            <w:shd w:val="clear" w:color="auto" w:fill="auto"/>
            <w:noWrap/>
            <w:vAlign w:val="bottom"/>
          </w:tcPr>
          <w:p w14:paraId="46C0B89D" w14:textId="5B2A7883" w:rsidR="00015A86" w:rsidRPr="007239A6" w:rsidRDefault="00015A86" w:rsidP="004C356D">
            <w:pPr>
              <w:spacing w:after="0" w:line="240" w:lineRule="auto"/>
              <w:jc w:val="right"/>
              <w:rPr>
                <w:color w:val="000000"/>
                <w:sz w:val="22"/>
                <w:szCs w:val="22"/>
                <w:lang w:bidi="ar-SA"/>
              </w:rPr>
            </w:pPr>
            <w:r w:rsidRPr="007239A6">
              <w:rPr>
                <w:sz w:val="20"/>
                <w:szCs w:val="20"/>
              </w:rPr>
              <w:t xml:space="preserve">119 </w:t>
            </w:r>
          </w:p>
        </w:tc>
        <w:tc>
          <w:tcPr>
            <w:tcW w:w="1769" w:type="dxa"/>
            <w:tcBorders>
              <w:top w:val="nil"/>
              <w:left w:val="nil"/>
              <w:bottom w:val="nil"/>
              <w:right w:val="nil"/>
            </w:tcBorders>
            <w:vAlign w:val="bottom"/>
          </w:tcPr>
          <w:p w14:paraId="62DBE4CA" w14:textId="0A327F3E" w:rsidR="00015A86" w:rsidRPr="00A54231" w:rsidRDefault="00015A86" w:rsidP="004C356D">
            <w:pPr>
              <w:spacing w:after="0" w:line="240" w:lineRule="auto"/>
              <w:jc w:val="right"/>
              <w:rPr>
                <w:sz w:val="20"/>
                <w:szCs w:val="20"/>
              </w:rPr>
            </w:pPr>
            <w:r w:rsidRPr="00A54231">
              <w:rPr>
                <w:color w:val="000000"/>
                <w:sz w:val="20"/>
                <w:szCs w:val="20"/>
              </w:rPr>
              <w:t>-33.44</w:t>
            </w:r>
          </w:p>
        </w:tc>
      </w:tr>
      <w:tr w:rsidR="00015A86" w:rsidRPr="007239A6" w14:paraId="26FB26BA" w14:textId="28E51085" w:rsidTr="00181ACD">
        <w:trPr>
          <w:trHeight w:val="288"/>
        </w:trPr>
        <w:tc>
          <w:tcPr>
            <w:tcW w:w="1586" w:type="dxa"/>
            <w:tcBorders>
              <w:top w:val="nil"/>
              <w:left w:val="nil"/>
              <w:bottom w:val="nil"/>
              <w:right w:val="nil"/>
            </w:tcBorders>
            <w:shd w:val="clear" w:color="auto" w:fill="auto"/>
            <w:noWrap/>
            <w:vAlign w:val="bottom"/>
            <w:hideMark/>
          </w:tcPr>
          <w:p w14:paraId="2501D5C7"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Chester</w:t>
            </w:r>
          </w:p>
        </w:tc>
        <w:tc>
          <w:tcPr>
            <w:tcW w:w="1261" w:type="dxa"/>
            <w:tcBorders>
              <w:top w:val="nil"/>
              <w:left w:val="nil"/>
              <w:bottom w:val="nil"/>
              <w:right w:val="nil"/>
            </w:tcBorders>
            <w:shd w:val="clear" w:color="auto" w:fill="auto"/>
            <w:noWrap/>
            <w:vAlign w:val="bottom"/>
          </w:tcPr>
          <w:p w14:paraId="5273003E" w14:textId="61818D77" w:rsidR="00015A86" w:rsidRPr="007239A6" w:rsidRDefault="00015A86" w:rsidP="004C356D">
            <w:pPr>
              <w:spacing w:after="0" w:line="240" w:lineRule="auto"/>
              <w:jc w:val="right"/>
              <w:rPr>
                <w:color w:val="000000"/>
                <w:sz w:val="22"/>
                <w:szCs w:val="22"/>
                <w:lang w:bidi="ar-SA"/>
              </w:rPr>
            </w:pPr>
            <w:r w:rsidRPr="007239A6">
              <w:rPr>
                <w:sz w:val="20"/>
                <w:szCs w:val="20"/>
              </w:rPr>
              <w:t>192.8</w:t>
            </w:r>
          </w:p>
        </w:tc>
        <w:tc>
          <w:tcPr>
            <w:tcW w:w="1293" w:type="dxa"/>
            <w:tcBorders>
              <w:top w:val="nil"/>
              <w:left w:val="nil"/>
              <w:bottom w:val="nil"/>
              <w:right w:val="nil"/>
            </w:tcBorders>
            <w:shd w:val="clear" w:color="auto" w:fill="auto"/>
            <w:noWrap/>
            <w:vAlign w:val="bottom"/>
          </w:tcPr>
          <w:p w14:paraId="20DD3945" w14:textId="0B407915" w:rsidR="00015A86" w:rsidRPr="007239A6" w:rsidRDefault="00015A86" w:rsidP="004C356D">
            <w:pPr>
              <w:spacing w:after="0" w:line="240" w:lineRule="auto"/>
              <w:jc w:val="right"/>
              <w:rPr>
                <w:color w:val="000000"/>
                <w:sz w:val="22"/>
                <w:szCs w:val="22"/>
                <w:lang w:bidi="ar-SA"/>
              </w:rPr>
            </w:pPr>
            <w:r w:rsidRPr="007239A6">
              <w:rPr>
                <w:sz w:val="20"/>
                <w:szCs w:val="20"/>
              </w:rPr>
              <w:t xml:space="preserve">46 </w:t>
            </w:r>
          </w:p>
        </w:tc>
        <w:tc>
          <w:tcPr>
            <w:tcW w:w="1650" w:type="dxa"/>
            <w:tcBorders>
              <w:top w:val="nil"/>
              <w:left w:val="nil"/>
              <w:bottom w:val="nil"/>
              <w:right w:val="nil"/>
            </w:tcBorders>
            <w:shd w:val="clear" w:color="auto" w:fill="auto"/>
            <w:noWrap/>
            <w:vAlign w:val="bottom"/>
          </w:tcPr>
          <w:p w14:paraId="61EAD160" w14:textId="3A6B6294" w:rsidR="00015A86" w:rsidRPr="007239A6" w:rsidRDefault="00015A86" w:rsidP="004C356D">
            <w:pPr>
              <w:spacing w:after="0" w:line="240" w:lineRule="auto"/>
              <w:jc w:val="right"/>
              <w:rPr>
                <w:color w:val="000000"/>
                <w:sz w:val="22"/>
                <w:szCs w:val="22"/>
                <w:lang w:bidi="ar-SA"/>
              </w:rPr>
            </w:pPr>
            <w:r w:rsidRPr="007239A6">
              <w:rPr>
                <w:sz w:val="20"/>
                <w:szCs w:val="20"/>
              </w:rPr>
              <w:t>511.7</w:t>
            </w:r>
          </w:p>
        </w:tc>
        <w:tc>
          <w:tcPr>
            <w:tcW w:w="1289" w:type="dxa"/>
            <w:tcBorders>
              <w:top w:val="nil"/>
              <w:left w:val="nil"/>
              <w:bottom w:val="nil"/>
              <w:right w:val="nil"/>
            </w:tcBorders>
            <w:shd w:val="clear" w:color="auto" w:fill="auto"/>
            <w:noWrap/>
            <w:vAlign w:val="bottom"/>
          </w:tcPr>
          <w:p w14:paraId="086F2A64" w14:textId="075E24D1" w:rsidR="00015A86" w:rsidRPr="007239A6" w:rsidRDefault="00015A86" w:rsidP="004C356D">
            <w:pPr>
              <w:spacing w:after="0" w:line="240" w:lineRule="auto"/>
              <w:jc w:val="right"/>
              <w:rPr>
                <w:color w:val="000000"/>
                <w:sz w:val="22"/>
                <w:szCs w:val="22"/>
                <w:lang w:bidi="ar-SA"/>
              </w:rPr>
            </w:pPr>
            <w:r w:rsidRPr="007239A6">
              <w:rPr>
                <w:sz w:val="20"/>
                <w:szCs w:val="20"/>
              </w:rPr>
              <w:t xml:space="preserve">123 </w:t>
            </w:r>
          </w:p>
        </w:tc>
        <w:tc>
          <w:tcPr>
            <w:tcW w:w="1769" w:type="dxa"/>
            <w:tcBorders>
              <w:top w:val="nil"/>
              <w:left w:val="nil"/>
              <w:bottom w:val="nil"/>
              <w:right w:val="nil"/>
            </w:tcBorders>
            <w:vAlign w:val="bottom"/>
          </w:tcPr>
          <w:p w14:paraId="7B3B54E0" w14:textId="3E58037E" w:rsidR="00015A86" w:rsidRPr="00A54231" w:rsidRDefault="00015A86" w:rsidP="004C356D">
            <w:pPr>
              <w:spacing w:after="0" w:line="240" w:lineRule="auto"/>
              <w:jc w:val="right"/>
              <w:rPr>
                <w:sz w:val="20"/>
                <w:szCs w:val="20"/>
              </w:rPr>
            </w:pPr>
            <w:r w:rsidRPr="00A54231">
              <w:rPr>
                <w:color w:val="000000"/>
                <w:sz w:val="20"/>
                <w:szCs w:val="20"/>
              </w:rPr>
              <w:t>-323.03</w:t>
            </w:r>
          </w:p>
        </w:tc>
      </w:tr>
      <w:tr w:rsidR="00015A86" w:rsidRPr="007239A6" w14:paraId="76AF744E" w14:textId="2E3402FF" w:rsidTr="00181ACD">
        <w:trPr>
          <w:trHeight w:val="288"/>
        </w:trPr>
        <w:tc>
          <w:tcPr>
            <w:tcW w:w="1586" w:type="dxa"/>
            <w:tcBorders>
              <w:top w:val="nil"/>
              <w:left w:val="nil"/>
              <w:bottom w:val="nil"/>
              <w:right w:val="nil"/>
            </w:tcBorders>
            <w:shd w:val="clear" w:color="auto" w:fill="auto"/>
            <w:noWrap/>
            <w:vAlign w:val="bottom"/>
            <w:hideMark/>
          </w:tcPr>
          <w:p w14:paraId="0C097CB3"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Clinton</w:t>
            </w:r>
          </w:p>
        </w:tc>
        <w:tc>
          <w:tcPr>
            <w:tcW w:w="1261" w:type="dxa"/>
            <w:tcBorders>
              <w:top w:val="nil"/>
              <w:left w:val="nil"/>
              <w:bottom w:val="nil"/>
              <w:right w:val="nil"/>
            </w:tcBorders>
            <w:shd w:val="clear" w:color="auto" w:fill="auto"/>
            <w:noWrap/>
            <w:vAlign w:val="bottom"/>
          </w:tcPr>
          <w:p w14:paraId="63018B4F" w14:textId="421CF961" w:rsidR="00015A86" w:rsidRPr="007239A6" w:rsidRDefault="00015A86" w:rsidP="004C356D">
            <w:pPr>
              <w:spacing w:after="0" w:line="240" w:lineRule="auto"/>
              <w:jc w:val="right"/>
              <w:rPr>
                <w:color w:val="000000"/>
                <w:sz w:val="22"/>
                <w:szCs w:val="22"/>
                <w:lang w:bidi="ar-SA"/>
              </w:rPr>
            </w:pPr>
            <w:r w:rsidRPr="007239A6">
              <w:rPr>
                <w:sz w:val="20"/>
                <w:szCs w:val="20"/>
              </w:rPr>
              <w:t>2,502.9</w:t>
            </w:r>
          </w:p>
        </w:tc>
        <w:tc>
          <w:tcPr>
            <w:tcW w:w="1293" w:type="dxa"/>
            <w:tcBorders>
              <w:top w:val="nil"/>
              <w:left w:val="nil"/>
              <w:bottom w:val="nil"/>
              <w:right w:val="nil"/>
            </w:tcBorders>
            <w:shd w:val="clear" w:color="auto" w:fill="auto"/>
            <w:noWrap/>
            <w:vAlign w:val="bottom"/>
          </w:tcPr>
          <w:p w14:paraId="4D4A3CF3" w14:textId="4371E196" w:rsidR="00015A86" w:rsidRPr="007239A6" w:rsidRDefault="00015A86" w:rsidP="004C356D">
            <w:pPr>
              <w:spacing w:after="0" w:line="240" w:lineRule="auto"/>
              <w:jc w:val="right"/>
              <w:rPr>
                <w:color w:val="000000"/>
                <w:sz w:val="22"/>
                <w:szCs w:val="22"/>
                <w:lang w:bidi="ar-SA"/>
              </w:rPr>
            </w:pPr>
            <w:r w:rsidRPr="007239A6">
              <w:rPr>
                <w:sz w:val="20"/>
                <w:szCs w:val="20"/>
              </w:rPr>
              <w:t xml:space="preserve">189 </w:t>
            </w:r>
          </w:p>
        </w:tc>
        <w:tc>
          <w:tcPr>
            <w:tcW w:w="1650" w:type="dxa"/>
            <w:tcBorders>
              <w:top w:val="nil"/>
              <w:left w:val="nil"/>
              <w:bottom w:val="nil"/>
              <w:right w:val="nil"/>
            </w:tcBorders>
            <w:shd w:val="clear" w:color="auto" w:fill="auto"/>
            <w:noWrap/>
            <w:vAlign w:val="bottom"/>
          </w:tcPr>
          <w:p w14:paraId="34111BA8" w14:textId="44B1A93F" w:rsidR="00015A86" w:rsidRPr="007239A6" w:rsidRDefault="00015A86" w:rsidP="004C356D">
            <w:pPr>
              <w:spacing w:after="0" w:line="240" w:lineRule="auto"/>
              <w:jc w:val="right"/>
              <w:rPr>
                <w:color w:val="000000"/>
                <w:sz w:val="22"/>
                <w:szCs w:val="22"/>
                <w:lang w:bidi="ar-SA"/>
              </w:rPr>
            </w:pPr>
            <w:r w:rsidRPr="007239A6">
              <w:rPr>
                <w:sz w:val="20"/>
                <w:szCs w:val="20"/>
              </w:rPr>
              <w:t>1269.1</w:t>
            </w:r>
          </w:p>
        </w:tc>
        <w:tc>
          <w:tcPr>
            <w:tcW w:w="1289" w:type="dxa"/>
            <w:tcBorders>
              <w:top w:val="nil"/>
              <w:left w:val="nil"/>
              <w:bottom w:val="nil"/>
              <w:right w:val="nil"/>
            </w:tcBorders>
            <w:shd w:val="clear" w:color="auto" w:fill="auto"/>
            <w:noWrap/>
            <w:vAlign w:val="bottom"/>
          </w:tcPr>
          <w:p w14:paraId="0F5ECCA8" w14:textId="41B716A1" w:rsidR="00015A86" w:rsidRPr="007239A6" w:rsidRDefault="00015A86" w:rsidP="004C356D">
            <w:pPr>
              <w:spacing w:after="0" w:line="240" w:lineRule="auto"/>
              <w:jc w:val="right"/>
              <w:rPr>
                <w:color w:val="000000"/>
                <w:sz w:val="22"/>
                <w:szCs w:val="22"/>
                <w:lang w:bidi="ar-SA"/>
              </w:rPr>
            </w:pPr>
            <w:r w:rsidRPr="007239A6">
              <w:rPr>
                <w:sz w:val="20"/>
                <w:szCs w:val="20"/>
              </w:rPr>
              <w:t xml:space="preserve">96 </w:t>
            </w:r>
          </w:p>
        </w:tc>
        <w:tc>
          <w:tcPr>
            <w:tcW w:w="1769" w:type="dxa"/>
            <w:tcBorders>
              <w:top w:val="nil"/>
              <w:left w:val="nil"/>
              <w:bottom w:val="nil"/>
              <w:right w:val="nil"/>
            </w:tcBorders>
            <w:vAlign w:val="bottom"/>
          </w:tcPr>
          <w:p w14:paraId="39E00D10" w14:textId="575F6FF4" w:rsidR="00015A86" w:rsidRPr="00A54231" w:rsidRDefault="00015A86" w:rsidP="004C356D">
            <w:pPr>
              <w:spacing w:after="0" w:line="240" w:lineRule="auto"/>
              <w:jc w:val="right"/>
              <w:rPr>
                <w:sz w:val="20"/>
                <w:szCs w:val="20"/>
              </w:rPr>
            </w:pPr>
            <w:r w:rsidRPr="00A54231">
              <w:rPr>
                <w:color w:val="000000"/>
                <w:sz w:val="20"/>
                <w:szCs w:val="20"/>
              </w:rPr>
              <w:t>-354.22</w:t>
            </w:r>
          </w:p>
        </w:tc>
      </w:tr>
      <w:tr w:rsidR="00015A86" w:rsidRPr="007239A6" w14:paraId="21E8F05F" w14:textId="6361FF18" w:rsidTr="00181ACD">
        <w:trPr>
          <w:trHeight w:val="288"/>
        </w:trPr>
        <w:tc>
          <w:tcPr>
            <w:tcW w:w="1586" w:type="dxa"/>
            <w:tcBorders>
              <w:top w:val="nil"/>
              <w:left w:val="nil"/>
              <w:bottom w:val="nil"/>
              <w:right w:val="nil"/>
            </w:tcBorders>
            <w:shd w:val="clear" w:color="auto" w:fill="auto"/>
            <w:noWrap/>
            <w:vAlign w:val="bottom"/>
            <w:hideMark/>
          </w:tcPr>
          <w:p w14:paraId="440DC447"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Colchester</w:t>
            </w:r>
          </w:p>
        </w:tc>
        <w:tc>
          <w:tcPr>
            <w:tcW w:w="1261" w:type="dxa"/>
            <w:tcBorders>
              <w:top w:val="nil"/>
              <w:left w:val="nil"/>
              <w:bottom w:val="nil"/>
              <w:right w:val="nil"/>
            </w:tcBorders>
            <w:shd w:val="clear" w:color="auto" w:fill="auto"/>
            <w:noWrap/>
            <w:vAlign w:val="bottom"/>
          </w:tcPr>
          <w:p w14:paraId="5F2FC004" w14:textId="6C97CE56" w:rsidR="00015A86" w:rsidRPr="007239A6" w:rsidRDefault="00015A86" w:rsidP="004C356D">
            <w:pPr>
              <w:spacing w:after="0" w:line="240" w:lineRule="auto"/>
              <w:jc w:val="right"/>
              <w:rPr>
                <w:color w:val="000000"/>
                <w:sz w:val="22"/>
                <w:szCs w:val="22"/>
                <w:lang w:bidi="ar-SA"/>
              </w:rPr>
            </w:pPr>
            <w:r w:rsidRPr="007239A6">
              <w:rPr>
                <w:sz w:val="20"/>
                <w:szCs w:val="20"/>
              </w:rPr>
              <w:t>1,329.6</w:t>
            </w:r>
          </w:p>
        </w:tc>
        <w:tc>
          <w:tcPr>
            <w:tcW w:w="1293" w:type="dxa"/>
            <w:tcBorders>
              <w:top w:val="nil"/>
              <w:left w:val="nil"/>
              <w:bottom w:val="nil"/>
              <w:right w:val="nil"/>
            </w:tcBorders>
            <w:shd w:val="clear" w:color="auto" w:fill="auto"/>
            <w:noWrap/>
            <w:vAlign w:val="bottom"/>
          </w:tcPr>
          <w:p w14:paraId="45E64CB1" w14:textId="02E811DC" w:rsidR="00015A86" w:rsidRPr="007239A6" w:rsidRDefault="00015A86" w:rsidP="004C356D">
            <w:pPr>
              <w:spacing w:after="0" w:line="240" w:lineRule="auto"/>
              <w:jc w:val="right"/>
              <w:rPr>
                <w:color w:val="000000"/>
                <w:sz w:val="22"/>
                <w:szCs w:val="22"/>
                <w:lang w:bidi="ar-SA"/>
              </w:rPr>
            </w:pPr>
            <w:r w:rsidRPr="007239A6">
              <w:rPr>
                <w:sz w:val="20"/>
                <w:szCs w:val="20"/>
              </w:rPr>
              <w:t xml:space="preserve">82 </w:t>
            </w:r>
          </w:p>
        </w:tc>
        <w:tc>
          <w:tcPr>
            <w:tcW w:w="1650" w:type="dxa"/>
            <w:tcBorders>
              <w:top w:val="nil"/>
              <w:left w:val="nil"/>
              <w:bottom w:val="nil"/>
              <w:right w:val="nil"/>
            </w:tcBorders>
            <w:shd w:val="clear" w:color="auto" w:fill="auto"/>
            <w:noWrap/>
            <w:vAlign w:val="bottom"/>
          </w:tcPr>
          <w:p w14:paraId="2F190A14" w14:textId="6EB6BBC9" w:rsidR="00015A86" w:rsidRPr="007239A6" w:rsidRDefault="00015A86" w:rsidP="004C356D">
            <w:pPr>
              <w:spacing w:after="0" w:line="240" w:lineRule="auto"/>
              <w:jc w:val="right"/>
              <w:rPr>
                <w:color w:val="000000"/>
                <w:sz w:val="22"/>
                <w:szCs w:val="22"/>
                <w:lang w:bidi="ar-SA"/>
              </w:rPr>
            </w:pPr>
            <w:r w:rsidRPr="007239A6">
              <w:rPr>
                <w:sz w:val="20"/>
                <w:szCs w:val="20"/>
              </w:rPr>
              <w:t>1462.3</w:t>
            </w:r>
          </w:p>
        </w:tc>
        <w:tc>
          <w:tcPr>
            <w:tcW w:w="1289" w:type="dxa"/>
            <w:tcBorders>
              <w:top w:val="nil"/>
              <w:left w:val="nil"/>
              <w:bottom w:val="nil"/>
              <w:right w:val="nil"/>
            </w:tcBorders>
            <w:shd w:val="clear" w:color="auto" w:fill="auto"/>
            <w:noWrap/>
            <w:vAlign w:val="bottom"/>
          </w:tcPr>
          <w:p w14:paraId="6EA46AB1" w14:textId="27EBFAE0" w:rsidR="00015A86" w:rsidRPr="007239A6" w:rsidRDefault="00015A86" w:rsidP="004C356D">
            <w:pPr>
              <w:spacing w:after="0" w:line="240" w:lineRule="auto"/>
              <w:jc w:val="right"/>
              <w:rPr>
                <w:color w:val="000000"/>
                <w:sz w:val="22"/>
                <w:szCs w:val="22"/>
                <w:lang w:bidi="ar-SA"/>
              </w:rPr>
            </w:pPr>
            <w:r w:rsidRPr="007239A6">
              <w:rPr>
                <w:sz w:val="20"/>
                <w:szCs w:val="20"/>
              </w:rPr>
              <w:t xml:space="preserve">91 </w:t>
            </w:r>
          </w:p>
        </w:tc>
        <w:tc>
          <w:tcPr>
            <w:tcW w:w="1769" w:type="dxa"/>
            <w:tcBorders>
              <w:top w:val="nil"/>
              <w:left w:val="nil"/>
              <w:bottom w:val="nil"/>
              <w:right w:val="nil"/>
            </w:tcBorders>
            <w:vAlign w:val="bottom"/>
          </w:tcPr>
          <w:p w14:paraId="0594A599" w14:textId="340E6E12" w:rsidR="00015A86" w:rsidRPr="00A54231" w:rsidRDefault="00015A86" w:rsidP="004C356D">
            <w:pPr>
              <w:spacing w:after="0" w:line="240" w:lineRule="auto"/>
              <w:jc w:val="right"/>
              <w:rPr>
                <w:sz w:val="20"/>
                <w:szCs w:val="20"/>
              </w:rPr>
            </w:pPr>
            <w:r w:rsidRPr="00A54231">
              <w:rPr>
                <w:color w:val="000000"/>
                <w:sz w:val="20"/>
                <w:szCs w:val="20"/>
              </w:rPr>
              <w:t>182.89</w:t>
            </w:r>
          </w:p>
        </w:tc>
      </w:tr>
      <w:tr w:rsidR="00015A86" w:rsidRPr="007239A6" w14:paraId="30701550" w14:textId="32A1804D" w:rsidTr="00181ACD">
        <w:trPr>
          <w:trHeight w:val="288"/>
        </w:trPr>
        <w:tc>
          <w:tcPr>
            <w:tcW w:w="1586" w:type="dxa"/>
            <w:tcBorders>
              <w:top w:val="nil"/>
              <w:left w:val="nil"/>
              <w:bottom w:val="nil"/>
              <w:right w:val="nil"/>
            </w:tcBorders>
            <w:shd w:val="clear" w:color="auto" w:fill="auto"/>
            <w:noWrap/>
            <w:vAlign w:val="bottom"/>
            <w:hideMark/>
          </w:tcPr>
          <w:p w14:paraId="005A22D7"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Colebrook</w:t>
            </w:r>
          </w:p>
        </w:tc>
        <w:tc>
          <w:tcPr>
            <w:tcW w:w="1261" w:type="dxa"/>
            <w:tcBorders>
              <w:top w:val="nil"/>
              <w:left w:val="nil"/>
              <w:bottom w:val="nil"/>
              <w:right w:val="nil"/>
            </w:tcBorders>
            <w:shd w:val="clear" w:color="auto" w:fill="auto"/>
            <w:noWrap/>
            <w:vAlign w:val="bottom"/>
          </w:tcPr>
          <w:p w14:paraId="1CF739AC" w14:textId="16D399C1" w:rsidR="00015A86" w:rsidRPr="007239A6" w:rsidRDefault="00015A86" w:rsidP="004C356D">
            <w:pPr>
              <w:spacing w:after="0" w:line="240" w:lineRule="auto"/>
              <w:jc w:val="right"/>
              <w:rPr>
                <w:color w:val="000000"/>
                <w:sz w:val="22"/>
                <w:szCs w:val="22"/>
                <w:lang w:bidi="ar-SA"/>
              </w:rPr>
            </w:pPr>
            <w:r w:rsidRPr="007239A6">
              <w:rPr>
                <w:sz w:val="20"/>
                <w:szCs w:val="20"/>
              </w:rPr>
              <w:t>13.3</w:t>
            </w:r>
          </w:p>
        </w:tc>
        <w:tc>
          <w:tcPr>
            <w:tcW w:w="1293" w:type="dxa"/>
            <w:tcBorders>
              <w:top w:val="nil"/>
              <w:left w:val="nil"/>
              <w:bottom w:val="nil"/>
              <w:right w:val="nil"/>
            </w:tcBorders>
            <w:shd w:val="clear" w:color="auto" w:fill="auto"/>
            <w:noWrap/>
            <w:vAlign w:val="bottom"/>
          </w:tcPr>
          <w:p w14:paraId="536C2B5D" w14:textId="1C01DAA6" w:rsidR="00015A86" w:rsidRPr="007239A6" w:rsidRDefault="00015A86" w:rsidP="004C356D">
            <w:pPr>
              <w:spacing w:after="0" w:line="240" w:lineRule="auto"/>
              <w:jc w:val="right"/>
              <w:rPr>
                <w:color w:val="000000"/>
                <w:sz w:val="22"/>
                <w:szCs w:val="22"/>
                <w:lang w:bidi="ar-SA"/>
              </w:rPr>
            </w:pPr>
            <w:r w:rsidRPr="007239A6">
              <w:rPr>
                <w:sz w:val="20"/>
                <w:szCs w:val="20"/>
              </w:rPr>
              <w:t xml:space="preserve">9 </w:t>
            </w:r>
          </w:p>
        </w:tc>
        <w:tc>
          <w:tcPr>
            <w:tcW w:w="1650" w:type="dxa"/>
            <w:tcBorders>
              <w:top w:val="nil"/>
              <w:left w:val="nil"/>
              <w:bottom w:val="nil"/>
              <w:right w:val="nil"/>
            </w:tcBorders>
            <w:shd w:val="clear" w:color="auto" w:fill="auto"/>
            <w:noWrap/>
            <w:vAlign w:val="bottom"/>
          </w:tcPr>
          <w:p w14:paraId="77C879A1" w14:textId="734F0F6B" w:rsidR="00015A86" w:rsidRPr="007239A6" w:rsidRDefault="00015A86" w:rsidP="004C356D">
            <w:pPr>
              <w:spacing w:after="0" w:line="240" w:lineRule="auto"/>
              <w:jc w:val="right"/>
              <w:rPr>
                <w:color w:val="000000"/>
                <w:sz w:val="22"/>
                <w:szCs w:val="22"/>
                <w:lang w:bidi="ar-SA"/>
              </w:rPr>
            </w:pPr>
            <w:r w:rsidRPr="007239A6">
              <w:rPr>
                <w:sz w:val="20"/>
                <w:szCs w:val="20"/>
              </w:rPr>
              <w:t>136.9</w:t>
            </w:r>
          </w:p>
        </w:tc>
        <w:tc>
          <w:tcPr>
            <w:tcW w:w="1289" w:type="dxa"/>
            <w:tcBorders>
              <w:top w:val="nil"/>
              <w:left w:val="nil"/>
              <w:bottom w:val="nil"/>
              <w:right w:val="nil"/>
            </w:tcBorders>
            <w:shd w:val="clear" w:color="auto" w:fill="auto"/>
            <w:noWrap/>
            <w:vAlign w:val="bottom"/>
          </w:tcPr>
          <w:p w14:paraId="60EF1670" w14:textId="23043BCB" w:rsidR="00015A86" w:rsidRPr="007239A6" w:rsidRDefault="00015A86" w:rsidP="004C356D">
            <w:pPr>
              <w:spacing w:after="0" w:line="240" w:lineRule="auto"/>
              <w:jc w:val="right"/>
              <w:rPr>
                <w:color w:val="000000"/>
                <w:sz w:val="22"/>
                <w:szCs w:val="22"/>
                <w:lang w:bidi="ar-SA"/>
              </w:rPr>
            </w:pPr>
            <w:r w:rsidRPr="007239A6">
              <w:rPr>
                <w:sz w:val="20"/>
                <w:szCs w:val="20"/>
              </w:rPr>
              <w:t xml:space="preserve">90 </w:t>
            </w:r>
          </w:p>
        </w:tc>
        <w:tc>
          <w:tcPr>
            <w:tcW w:w="1769" w:type="dxa"/>
            <w:tcBorders>
              <w:top w:val="nil"/>
              <w:left w:val="nil"/>
              <w:bottom w:val="nil"/>
              <w:right w:val="nil"/>
            </w:tcBorders>
            <w:vAlign w:val="bottom"/>
          </w:tcPr>
          <w:p w14:paraId="0C864591" w14:textId="532E21C9" w:rsidR="00015A86" w:rsidRPr="00A54231" w:rsidRDefault="00015A86" w:rsidP="004C356D">
            <w:pPr>
              <w:spacing w:after="0" w:line="240" w:lineRule="auto"/>
              <w:jc w:val="right"/>
              <w:rPr>
                <w:sz w:val="20"/>
                <w:szCs w:val="20"/>
              </w:rPr>
            </w:pPr>
            <w:r w:rsidRPr="00A54231">
              <w:rPr>
                <w:color w:val="000000"/>
                <w:sz w:val="20"/>
                <w:szCs w:val="20"/>
              </w:rPr>
              <w:t>-260.41</w:t>
            </w:r>
          </w:p>
        </w:tc>
      </w:tr>
      <w:tr w:rsidR="00015A86" w:rsidRPr="007239A6" w14:paraId="0F73FF19" w14:textId="16278DD7" w:rsidTr="00181ACD">
        <w:trPr>
          <w:trHeight w:val="288"/>
        </w:trPr>
        <w:tc>
          <w:tcPr>
            <w:tcW w:w="1586" w:type="dxa"/>
            <w:tcBorders>
              <w:top w:val="nil"/>
              <w:left w:val="nil"/>
              <w:bottom w:val="nil"/>
              <w:right w:val="nil"/>
            </w:tcBorders>
            <w:shd w:val="clear" w:color="auto" w:fill="auto"/>
            <w:noWrap/>
            <w:vAlign w:val="bottom"/>
            <w:hideMark/>
          </w:tcPr>
          <w:p w14:paraId="56EE67A4"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Columbia</w:t>
            </w:r>
          </w:p>
        </w:tc>
        <w:tc>
          <w:tcPr>
            <w:tcW w:w="1261" w:type="dxa"/>
            <w:tcBorders>
              <w:top w:val="nil"/>
              <w:left w:val="nil"/>
              <w:bottom w:val="nil"/>
              <w:right w:val="nil"/>
            </w:tcBorders>
            <w:shd w:val="clear" w:color="auto" w:fill="auto"/>
            <w:noWrap/>
            <w:vAlign w:val="bottom"/>
          </w:tcPr>
          <w:p w14:paraId="130AE6A8" w14:textId="4EBE32CA" w:rsidR="00015A86" w:rsidRPr="007239A6" w:rsidRDefault="00015A86" w:rsidP="004C356D">
            <w:pPr>
              <w:spacing w:after="0" w:line="240" w:lineRule="auto"/>
              <w:jc w:val="right"/>
              <w:rPr>
                <w:color w:val="000000"/>
                <w:sz w:val="22"/>
                <w:szCs w:val="22"/>
                <w:lang w:bidi="ar-SA"/>
              </w:rPr>
            </w:pPr>
            <w:r w:rsidRPr="007239A6">
              <w:rPr>
                <w:sz w:val="20"/>
                <w:szCs w:val="20"/>
              </w:rPr>
              <w:t>530.2</w:t>
            </w:r>
          </w:p>
        </w:tc>
        <w:tc>
          <w:tcPr>
            <w:tcW w:w="1293" w:type="dxa"/>
            <w:tcBorders>
              <w:top w:val="nil"/>
              <w:left w:val="nil"/>
              <w:bottom w:val="nil"/>
              <w:right w:val="nil"/>
            </w:tcBorders>
            <w:shd w:val="clear" w:color="auto" w:fill="auto"/>
            <w:noWrap/>
            <w:vAlign w:val="bottom"/>
          </w:tcPr>
          <w:p w14:paraId="243F79F9" w14:textId="0E2DCEDA" w:rsidR="00015A86" w:rsidRPr="007239A6" w:rsidRDefault="00015A86" w:rsidP="004C356D">
            <w:pPr>
              <w:spacing w:after="0" w:line="240" w:lineRule="auto"/>
              <w:jc w:val="right"/>
              <w:rPr>
                <w:color w:val="000000"/>
                <w:sz w:val="22"/>
                <w:szCs w:val="22"/>
                <w:lang w:bidi="ar-SA"/>
              </w:rPr>
            </w:pPr>
            <w:r w:rsidRPr="007239A6">
              <w:rPr>
                <w:sz w:val="20"/>
                <w:szCs w:val="20"/>
              </w:rPr>
              <w:t xml:space="preserve">97 </w:t>
            </w:r>
          </w:p>
        </w:tc>
        <w:tc>
          <w:tcPr>
            <w:tcW w:w="1650" w:type="dxa"/>
            <w:tcBorders>
              <w:top w:val="nil"/>
              <w:left w:val="nil"/>
              <w:bottom w:val="nil"/>
              <w:right w:val="nil"/>
            </w:tcBorders>
            <w:shd w:val="clear" w:color="auto" w:fill="auto"/>
            <w:noWrap/>
            <w:vAlign w:val="bottom"/>
          </w:tcPr>
          <w:p w14:paraId="32370F1D" w14:textId="3B0F7063" w:rsidR="00015A86" w:rsidRPr="007239A6" w:rsidRDefault="00015A86" w:rsidP="004C356D">
            <w:pPr>
              <w:spacing w:after="0" w:line="240" w:lineRule="auto"/>
              <w:jc w:val="right"/>
              <w:rPr>
                <w:color w:val="000000"/>
                <w:sz w:val="22"/>
                <w:szCs w:val="22"/>
                <w:lang w:bidi="ar-SA"/>
              </w:rPr>
            </w:pPr>
            <w:r w:rsidRPr="007239A6">
              <w:rPr>
                <w:sz w:val="20"/>
                <w:szCs w:val="20"/>
              </w:rPr>
              <w:t>522.9</w:t>
            </w:r>
          </w:p>
        </w:tc>
        <w:tc>
          <w:tcPr>
            <w:tcW w:w="1289" w:type="dxa"/>
            <w:tcBorders>
              <w:top w:val="nil"/>
              <w:left w:val="nil"/>
              <w:bottom w:val="nil"/>
              <w:right w:val="nil"/>
            </w:tcBorders>
            <w:shd w:val="clear" w:color="auto" w:fill="auto"/>
            <w:noWrap/>
            <w:vAlign w:val="bottom"/>
          </w:tcPr>
          <w:p w14:paraId="054B9438" w14:textId="74769B1B" w:rsidR="00015A86" w:rsidRPr="007239A6" w:rsidRDefault="00015A86" w:rsidP="004C356D">
            <w:pPr>
              <w:spacing w:after="0" w:line="240" w:lineRule="auto"/>
              <w:jc w:val="right"/>
              <w:rPr>
                <w:color w:val="000000"/>
                <w:sz w:val="22"/>
                <w:szCs w:val="22"/>
                <w:lang w:bidi="ar-SA"/>
              </w:rPr>
            </w:pPr>
            <w:r w:rsidRPr="007239A6">
              <w:rPr>
                <w:sz w:val="20"/>
                <w:szCs w:val="20"/>
              </w:rPr>
              <w:t xml:space="preserve">95 </w:t>
            </w:r>
          </w:p>
        </w:tc>
        <w:tc>
          <w:tcPr>
            <w:tcW w:w="1769" w:type="dxa"/>
            <w:tcBorders>
              <w:top w:val="nil"/>
              <w:left w:val="nil"/>
              <w:bottom w:val="nil"/>
              <w:right w:val="nil"/>
            </w:tcBorders>
            <w:vAlign w:val="bottom"/>
          </w:tcPr>
          <w:p w14:paraId="72B94010" w14:textId="58B2D922" w:rsidR="00015A86" w:rsidRPr="00A54231" w:rsidRDefault="00015A86" w:rsidP="004C356D">
            <w:pPr>
              <w:spacing w:after="0" w:line="240" w:lineRule="auto"/>
              <w:jc w:val="right"/>
              <w:rPr>
                <w:sz w:val="20"/>
                <w:szCs w:val="20"/>
              </w:rPr>
            </w:pPr>
            <w:r w:rsidRPr="00A54231">
              <w:rPr>
                <w:color w:val="000000"/>
                <w:sz w:val="20"/>
                <w:szCs w:val="20"/>
              </w:rPr>
              <w:t>-3.39</w:t>
            </w:r>
          </w:p>
        </w:tc>
      </w:tr>
      <w:tr w:rsidR="00015A86" w:rsidRPr="007239A6" w14:paraId="5BB75298" w14:textId="47DB971B" w:rsidTr="00181ACD">
        <w:trPr>
          <w:trHeight w:val="288"/>
        </w:trPr>
        <w:tc>
          <w:tcPr>
            <w:tcW w:w="1586" w:type="dxa"/>
            <w:tcBorders>
              <w:top w:val="nil"/>
              <w:left w:val="nil"/>
              <w:bottom w:val="nil"/>
              <w:right w:val="nil"/>
            </w:tcBorders>
            <w:shd w:val="clear" w:color="auto" w:fill="auto"/>
            <w:noWrap/>
            <w:vAlign w:val="bottom"/>
            <w:hideMark/>
          </w:tcPr>
          <w:p w14:paraId="700E0D77"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Cornwall</w:t>
            </w:r>
          </w:p>
        </w:tc>
        <w:tc>
          <w:tcPr>
            <w:tcW w:w="1261" w:type="dxa"/>
            <w:tcBorders>
              <w:top w:val="nil"/>
              <w:left w:val="nil"/>
              <w:bottom w:val="nil"/>
              <w:right w:val="nil"/>
            </w:tcBorders>
            <w:shd w:val="clear" w:color="auto" w:fill="auto"/>
            <w:noWrap/>
            <w:vAlign w:val="bottom"/>
          </w:tcPr>
          <w:p w14:paraId="66276E96" w14:textId="71AF59A1" w:rsidR="00015A86" w:rsidRPr="007239A6" w:rsidRDefault="00015A86" w:rsidP="004C356D">
            <w:pPr>
              <w:spacing w:after="0" w:line="240" w:lineRule="auto"/>
              <w:jc w:val="right"/>
              <w:rPr>
                <w:color w:val="000000"/>
                <w:sz w:val="22"/>
                <w:szCs w:val="22"/>
                <w:lang w:bidi="ar-SA"/>
              </w:rPr>
            </w:pPr>
            <w:r w:rsidRPr="007239A6">
              <w:rPr>
                <w:sz w:val="20"/>
                <w:szCs w:val="20"/>
              </w:rPr>
              <w:t>133.9</w:t>
            </w:r>
          </w:p>
        </w:tc>
        <w:tc>
          <w:tcPr>
            <w:tcW w:w="1293" w:type="dxa"/>
            <w:tcBorders>
              <w:top w:val="nil"/>
              <w:left w:val="nil"/>
              <w:bottom w:val="nil"/>
              <w:right w:val="nil"/>
            </w:tcBorders>
            <w:shd w:val="clear" w:color="auto" w:fill="auto"/>
            <w:noWrap/>
            <w:vAlign w:val="bottom"/>
          </w:tcPr>
          <w:p w14:paraId="11CA611D" w14:textId="0E6542B0" w:rsidR="00015A86" w:rsidRPr="007239A6" w:rsidRDefault="00015A86" w:rsidP="004C356D">
            <w:pPr>
              <w:spacing w:after="0" w:line="240" w:lineRule="auto"/>
              <w:jc w:val="right"/>
              <w:rPr>
                <w:color w:val="000000"/>
                <w:sz w:val="22"/>
                <w:szCs w:val="22"/>
                <w:lang w:bidi="ar-SA"/>
              </w:rPr>
            </w:pPr>
            <w:r w:rsidRPr="007239A6">
              <w:rPr>
                <w:sz w:val="20"/>
                <w:szCs w:val="20"/>
              </w:rPr>
              <w:t xml:space="preserve">88 </w:t>
            </w:r>
          </w:p>
        </w:tc>
        <w:tc>
          <w:tcPr>
            <w:tcW w:w="1650" w:type="dxa"/>
            <w:tcBorders>
              <w:top w:val="nil"/>
              <w:left w:val="nil"/>
              <w:bottom w:val="nil"/>
              <w:right w:val="nil"/>
            </w:tcBorders>
            <w:shd w:val="clear" w:color="auto" w:fill="auto"/>
            <w:noWrap/>
            <w:vAlign w:val="bottom"/>
          </w:tcPr>
          <w:p w14:paraId="1BFC493D" w14:textId="5A574AD3" w:rsidR="00015A86" w:rsidRPr="007239A6" w:rsidRDefault="00015A86" w:rsidP="004C356D">
            <w:pPr>
              <w:spacing w:after="0" w:line="240" w:lineRule="auto"/>
              <w:jc w:val="right"/>
              <w:rPr>
                <w:color w:val="000000"/>
                <w:sz w:val="22"/>
                <w:szCs w:val="22"/>
                <w:lang w:bidi="ar-SA"/>
              </w:rPr>
            </w:pPr>
            <w:r w:rsidRPr="007239A6">
              <w:rPr>
                <w:sz w:val="20"/>
                <w:szCs w:val="20"/>
              </w:rPr>
              <w:t>183.2</w:t>
            </w:r>
          </w:p>
        </w:tc>
        <w:tc>
          <w:tcPr>
            <w:tcW w:w="1289" w:type="dxa"/>
            <w:tcBorders>
              <w:top w:val="nil"/>
              <w:left w:val="nil"/>
              <w:bottom w:val="nil"/>
              <w:right w:val="nil"/>
            </w:tcBorders>
            <w:shd w:val="clear" w:color="auto" w:fill="auto"/>
            <w:noWrap/>
            <w:vAlign w:val="bottom"/>
          </w:tcPr>
          <w:p w14:paraId="38926960" w14:textId="05295C24" w:rsidR="00015A86" w:rsidRPr="007239A6" w:rsidRDefault="00015A86" w:rsidP="004C356D">
            <w:pPr>
              <w:spacing w:after="0" w:line="240" w:lineRule="auto"/>
              <w:jc w:val="right"/>
              <w:rPr>
                <w:color w:val="000000"/>
                <w:sz w:val="22"/>
                <w:szCs w:val="22"/>
                <w:lang w:bidi="ar-SA"/>
              </w:rPr>
            </w:pPr>
            <w:r w:rsidRPr="007239A6">
              <w:rPr>
                <w:sz w:val="20"/>
                <w:szCs w:val="20"/>
              </w:rPr>
              <w:t xml:space="preserve">121 </w:t>
            </w:r>
          </w:p>
        </w:tc>
        <w:tc>
          <w:tcPr>
            <w:tcW w:w="1769" w:type="dxa"/>
            <w:tcBorders>
              <w:top w:val="nil"/>
              <w:left w:val="nil"/>
              <w:bottom w:val="nil"/>
              <w:right w:val="nil"/>
            </w:tcBorders>
            <w:vAlign w:val="bottom"/>
          </w:tcPr>
          <w:p w14:paraId="231A89C6" w14:textId="32F23446" w:rsidR="00015A86" w:rsidRPr="00A54231" w:rsidRDefault="00015A86" w:rsidP="004C356D">
            <w:pPr>
              <w:spacing w:after="0" w:line="240" w:lineRule="auto"/>
              <w:jc w:val="right"/>
              <w:rPr>
                <w:sz w:val="20"/>
                <w:szCs w:val="20"/>
              </w:rPr>
            </w:pPr>
            <w:r w:rsidRPr="00A54231">
              <w:rPr>
                <w:color w:val="000000"/>
                <w:sz w:val="20"/>
                <w:szCs w:val="20"/>
              </w:rPr>
              <w:t>-2197.01</w:t>
            </w:r>
          </w:p>
        </w:tc>
      </w:tr>
      <w:tr w:rsidR="00015A86" w:rsidRPr="007239A6" w14:paraId="14766A87" w14:textId="4C244154" w:rsidTr="00181ACD">
        <w:trPr>
          <w:trHeight w:val="288"/>
        </w:trPr>
        <w:tc>
          <w:tcPr>
            <w:tcW w:w="1586" w:type="dxa"/>
            <w:tcBorders>
              <w:top w:val="nil"/>
              <w:left w:val="nil"/>
              <w:bottom w:val="nil"/>
              <w:right w:val="nil"/>
            </w:tcBorders>
            <w:shd w:val="clear" w:color="auto" w:fill="auto"/>
            <w:noWrap/>
            <w:vAlign w:val="bottom"/>
            <w:hideMark/>
          </w:tcPr>
          <w:p w14:paraId="22E878C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Coventry</w:t>
            </w:r>
          </w:p>
        </w:tc>
        <w:tc>
          <w:tcPr>
            <w:tcW w:w="1261" w:type="dxa"/>
            <w:tcBorders>
              <w:top w:val="nil"/>
              <w:left w:val="nil"/>
              <w:bottom w:val="nil"/>
              <w:right w:val="nil"/>
            </w:tcBorders>
            <w:shd w:val="clear" w:color="auto" w:fill="auto"/>
            <w:noWrap/>
            <w:vAlign w:val="bottom"/>
          </w:tcPr>
          <w:p w14:paraId="4B6DF874" w14:textId="6F0E650E" w:rsidR="00015A86" w:rsidRPr="007239A6" w:rsidRDefault="00015A86" w:rsidP="004C356D">
            <w:pPr>
              <w:spacing w:after="0" w:line="240" w:lineRule="auto"/>
              <w:jc w:val="right"/>
              <w:rPr>
                <w:color w:val="000000"/>
                <w:sz w:val="22"/>
                <w:szCs w:val="22"/>
                <w:lang w:bidi="ar-SA"/>
              </w:rPr>
            </w:pPr>
            <w:r w:rsidRPr="007239A6">
              <w:rPr>
                <w:sz w:val="20"/>
                <w:szCs w:val="20"/>
              </w:rPr>
              <w:t>335.3</w:t>
            </w:r>
          </w:p>
        </w:tc>
        <w:tc>
          <w:tcPr>
            <w:tcW w:w="1293" w:type="dxa"/>
            <w:tcBorders>
              <w:top w:val="nil"/>
              <w:left w:val="nil"/>
              <w:bottom w:val="nil"/>
              <w:right w:val="nil"/>
            </w:tcBorders>
            <w:shd w:val="clear" w:color="auto" w:fill="auto"/>
            <w:noWrap/>
            <w:vAlign w:val="bottom"/>
          </w:tcPr>
          <w:p w14:paraId="54E160A4" w14:textId="5DBC03F9" w:rsidR="00015A86" w:rsidRPr="007239A6" w:rsidRDefault="00015A86" w:rsidP="004C356D">
            <w:pPr>
              <w:spacing w:after="0" w:line="240" w:lineRule="auto"/>
              <w:jc w:val="right"/>
              <w:rPr>
                <w:color w:val="000000"/>
                <w:sz w:val="22"/>
                <w:szCs w:val="22"/>
                <w:lang w:bidi="ar-SA"/>
              </w:rPr>
            </w:pPr>
            <w:r w:rsidRPr="007239A6">
              <w:rPr>
                <w:sz w:val="20"/>
                <w:szCs w:val="20"/>
              </w:rPr>
              <w:t xml:space="preserve">27 </w:t>
            </w:r>
          </w:p>
        </w:tc>
        <w:tc>
          <w:tcPr>
            <w:tcW w:w="1650" w:type="dxa"/>
            <w:tcBorders>
              <w:top w:val="nil"/>
              <w:left w:val="nil"/>
              <w:bottom w:val="nil"/>
              <w:right w:val="nil"/>
            </w:tcBorders>
            <w:shd w:val="clear" w:color="auto" w:fill="auto"/>
            <w:noWrap/>
            <w:vAlign w:val="bottom"/>
          </w:tcPr>
          <w:p w14:paraId="65455FFF" w14:textId="61DE57B8" w:rsidR="00015A86" w:rsidRPr="007239A6" w:rsidRDefault="00015A86" w:rsidP="004C356D">
            <w:pPr>
              <w:spacing w:after="0" w:line="240" w:lineRule="auto"/>
              <w:jc w:val="right"/>
              <w:rPr>
                <w:color w:val="000000"/>
                <w:sz w:val="22"/>
                <w:szCs w:val="22"/>
                <w:lang w:bidi="ar-SA"/>
              </w:rPr>
            </w:pPr>
            <w:r w:rsidRPr="007239A6">
              <w:rPr>
                <w:sz w:val="20"/>
                <w:szCs w:val="20"/>
              </w:rPr>
              <w:t>1067.1</w:t>
            </w:r>
          </w:p>
        </w:tc>
        <w:tc>
          <w:tcPr>
            <w:tcW w:w="1289" w:type="dxa"/>
            <w:tcBorders>
              <w:top w:val="nil"/>
              <w:left w:val="nil"/>
              <w:bottom w:val="nil"/>
              <w:right w:val="nil"/>
            </w:tcBorders>
            <w:shd w:val="clear" w:color="auto" w:fill="auto"/>
            <w:noWrap/>
            <w:vAlign w:val="bottom"/>
          </w:tcPr>
          <w:p w14:paraId="3180B379" w14:textId="1EC071F9" w:rsidR="00015A86" w:rsidRPr="007239A6" w:rsidRDefault="00015A86" w:rsidP="004C356D">
            <w:pPr>
              <w:spacing w:after="0" w:line="240" w:lineRule="auto"/>
              <w:jc w:val="right"/>
              <w:rPr>
                <w:color w:val="000000"/>
                <w:sz w:val="22"/>
                <w:szCs w:val="22"/>
                <w:lang w:bidi="ar-SA"/>
              </w:rPr>
            </w:pPr>
            <w:r w:rsidRPr="007239A6">
              <w:rPr>
                <w:sz w:val="20"/>
                <w:szCs w:val="20"/>
              </w:rPr>
              <w:t xml:space="preserve">86 </w:t>
            </w:r>
          </w:p>
        </w:tc>
        <w:tc>
          <w:tcPr>
            <w:tcW w:w="1769" w:type="dxa"/>
            <w:tcBorders>
              <w:top w:val="nil"/>
              <w:left w:val="nil"/>
              <w:bottom w:val="nil"/>
              <w:right w:val="nil"/>
            </w:tcBorders>
            <w:vAlign w:val="bottom"/>
          </w:tcPr>
          <w:p w14:paraId="44D99453" w14:textId="01AC6A0D" w:rsidR="00015A86" w:rsidRPr="00A54231" w:rsidRDefault="00015A86" w:rsidP="004C356D">
            <w:pPr>
              <w:spacing w:after="0" w:line="240" w:lineRule="auto"/>
              <w:jc w:val="right"/>
              <w:rPr>
                <w:sz w:val="20"/>
                <w:szCs w:val="20"/>
              </w:rPr>
            </w:pPr>
            <w:r w:rsidRPr="00A54231">
              <w:rPr>
                <w:color w:val="000000"/>
                <w:sz w:val="20"/>
                <w:szCs w:val="20"/>
              </w:rPr>
              <w:t>157.39</w:t>
            </w:r>
          </w:p>
        </w:tc>
      </w:tr>
      <w:tr w:rsidR="00015A86" w:rsidRPr="007239A6" w14:paraId="702C89E4" w14:textId="6A1C1FE6" w:rsidTr="00181ACD">
        <w:trPr>
          <w:trHeight w:val="288"/>
        </w:trPr>
        <w:tc>
          <w:tcPr>
            <w:tcW w:w="1586" w:type="dxa"/>
            <w:tcBorders>
              <w:top w:val="nil"/>
              <w:left w:val="nil"/>
              <w:bottom w:val="nil"/>
              <w:right w:val="nil"/>
            </w:tcBorders>
            <w:shd w:val="clear" w:color="auto" w:fill="auto"/>
            <w:noWrap/>
            <w:vAlign w:val="bottom"/>
            <w:hideMark/>
          </w:tcPr>
          <w:p w14:paraId="1DE16AF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Cromwell</w:t>
            </w:r>
          </w:p>
        </w:tc>
        <w:tc>
          <w:tcPr>
            <w:tcW w:w="1261" w:type="dxa"/>
            <w:tcBorders>
              <w:top w:val="nil"/>
              <w:left w:val="nil"/>
              <w:bottom w:val="nil"/>
              <w:right w:val="nil"/>
            </w:tcBorders>
            <w:shd w:val="clear" w:color="auto" w:fill="auto"/>
            <w:noWrap/>
            <w:vAlign w:val="bottom"/>
          </w:tcPr>
          <w:p w14:paraId="6BD1B98E" w14:textId="1647B5C3" w:rsidR="00015A86" w:rsidRPr="007239A6" w:rsidRDefault="00015A86" w:rsidP="004C356D">
            <w:pPr>
              <w:spacing w:after="0" w:line="240" w:lineRule="auto"/>
              <w:jc w:val="right"/>
              <w:rPr>
                <w:color w:val="000000"/>
                <w:sz w:val="22"/>
                <w:szCs w:val="22"/>
                <w:lang w:bidi="ar-SA"/>
              </w:rPr>
            </w:pPr>
            <w:r w:rsidRPr="007239A6">
              <w:rPr>
                <w:sz w:val="20"/>
                <w:szCs w:val="20"/>
              </w:rPr>
              <w:t>2,090.6</w:t>
            </w:r>
          </w:p>
        </w:tc>
        <w:tc>
          <w:tcPr>
            <w:tcW w:w="1293" w:type="dxa"/>
            <w:tcBorders>
              <w:top w:val="nil"/>
              <w:left w:val="nil"/>
              <w:bottom w:val="nil"/>
              <w:right w:val="nil"/>
            </w:tcBorders>
            <w:shd w:val="clear" w:color="auto" w:fill="auto"/>
            <w:noWrap/>
            <w:vAlign w:val="bottom"/>
          </w:tcPr>
          <w:p w14:paraId="67C87A63" w14:textId="10F13D7A" w:rsidR="00015A86" w:rsidRPr="007239A6" w:rsidRDefault="00015A86" w:rsidP="004C356D">
            <w:pPr>
              <w:spacing w:after="0" w:line="240" w:lineRule="auto"/>
              <w:jc w:val="right"/>
              <w:rPr>
                <w:color w:val="000000"/>
                <w:sz w:val="22"/>
                <w:szCs w:val="22"/>
                <w:lang w:bidi="ar-SA"/>
              </w:rPr>
            </w:pPr>
            <w:r w:rsidRPr="007239A6">
              <w:rPr>
                <w:sz w:val="20"/>
                <w:szCs w:val="20"/>
              </w:rPr>
              <w:t xml:space="preserve">149 </w:t>
            </w:r>
          </w:p>
        </w:tc>
        <w:tc>
          <w:tcPr>
            <w:tcW w:w="1650" w:type="dxa"/>
            <w:tcBorders>
              <w:top w:val="nil"/>
              <w:left w:val="nil"/>
              <w:bottom w:val="nil"/>
              <w:right w:val="nil"/>
            </w:tcBorders>
            <w:shd w:val="clear" w:color="auto" w:fill="auto"/>
            <w:noWrap/>
            <w:vAlign w:val="bottom"/>
          </w:tcPr>
          <w:p w14:paraId="110C2745" w14:textId="29D80A3B" w:rsidR="00015A86" w:rsidRPr="007239A6" w:rsidRDefault="00015A86" w:rsidP="004C356D">
            <w:pPr>
              <w:spacing w:after="0" w:line="240" w:lineRule="auto"/>
              <w:jc w:val="right"/>
              <w:rPr>
                <w:color w:val="000000"/>
                <w:sz w:val="22"/>
                <w:szCs w:val="22"/>
                <w:lang w:bidi="ar-SA"/>
              </w:rPr>
            </w:pPr>
            <w:r w:rsidRPr="007239A6">
              <w:rPr>
                <w:sz w:val="20"/>
                <w:szCs w:val="20"/>
              </w:rPr>
              <w:t>1728.9</w:t>
            </w:r>
          </w:p>
        </w:tc>
        <w:tc>
          <w:tcPr>
            <w:tcW w:w="1289" w:type="dxa"/>
            <w:tcBorders>
              <w:top w:val="nil"/>
              <w:left w:val="nil"/>
              <w:bottom w:val="nil"/>
              <w:right w:val="nil"/>
            </w:tcBorders>
            <w:shd w:val="clear" w:color="auto" w:fill="auto"/>
            <w:noWrap/>
            <w:vAlign w:val="bottom"/>
          </w:tcPr>
          <w:p w14:paraId="1A4B4CD9" w14:textId="57E12D54" w:rsidR="00015A86" w:rsidRPr="007239A6" w:rsidRDefault="00015A86" w:rsidP="004C356D">
            <w:pPr>
              <w:spacing w:after="0" w:line="240" w:lineRule="auto"/>
              <w:jc w:val="right"/>
              <w:rPr>
                <w:color w:val="000000"/>
                <w:sz w:val="22"/>
                <w:szCs w:val="22"/>
                <w:lang w:bidi="ar-SA"/>
              </w:rPr>
            </w:pPr>
            <w:r w:rsidRPr="007239A6">
              <w:rPr>
                <w:sz w:val="20"/>
                <w:szCs w:val="20"/>
              </w:rPr>
              <w:t xml:space="preserve">123 </w:t>
            </w:r>
          </w:p>
        </w:tc>
        <w:tc>
          <w:tcPr>
            <w:tcW w:w="1769" w:type="dxa"/>
            <w:tcBorders>
              <w:top w:val="nil"/>
              <w:left w:val="nil"/>
              <w:bottom w:val="nil"/>
              <w:right w:val="nil"/>
            </w:tcBorders>
            <w:vAlign w:val="bottom"/>
          </w:tcPr>
          <w:p w14:paraId="366EEB2C" w14:textId="4B616D13" w:rsidR="00015A86" w:rsidRPr="00A54231" w:rsidRDefault="00015A86" w:rsidP="004C356D">
            <w:pPr>
              <w:spacing w:after="0" w:line="240" w:lineRule="auto"/>
              <w:jc w:val="right"/>
              <w:rPr>
                <w:sz w:val="20"/>
                <w:szCs w:val="20"/>
              </w:rPr>
            </w:pPr>
            <w:r w:rsidRPr="00A54231">
              <w:rPr>
                <w:color w:val="000000"/>
                <w:sz w:val="20"/>
                <w:szCs w:val="20"/>
              </w:rPr>
              <w:t>33.95</w:t>
            </w:r>
          </w:p>
        </w:tc>
      </w:tr>
      <w:tr w:rsidR="00015A86" w:rsidRPr="007239A6" w14:paraId="3B4BEF4D" w14:textId="5840D205" w:rsidTr="00181ACD">
        <w:trPr>
          <w:trHeight w:val="288"/>
        </w:trPr>
        <w:tc>
          <w:tcPr>
            <w:tcW w:w="1586" w:type="dxa"/>
            <w:tcBorders>
              <w:top w:val="nil"/>
              <w:left w:val="nil"/>
              <w:bottom w:val="nil"/>
              <w:right w:val="nil"/>
            </w:tcBorders>
            <w:shd w:val="clear" w:color="auto" w:fill="auto"/>
            <w:noWrap/>
            <w:vAlign w:val="bottom"/>
            <w:hideMark/>
          </w:tcPr>
          <w:p w14:paraId="77B2E40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Danbury</w:t>
            </w:r>
          </w:p>
        </w:tc>
        <w:tc>
          <w:tcPr>
            <w:tcW w:w="1261" w:type="dxa"/>
            <w:tcBorders>
              <w:top w:val="nil"/>
              <w:left w:val="nil"/>
              <w:bottom w:val="nil"/>
              <w:right w:val="nil"/>
            </w:tcBorders>
            <w:shd w:val="clear" w:color="auto" w:fill="auto"/>
            <w:noWrap/>
            <w:vAlign w:val="bottom"/>
          </w:tcPr>
          <w:p w14:paraId="24E34959" w14:textId="5814AE10" w:rsidR="00015A86" w:rsidRPr="007239A6" w:rsidRDefault="00015A86" w:rsidP="004C356D">
            <w:pPr>
              <w:spacing w:after="0" w:line="240" w:lineRule="auto"/>
              <w:jc w:val="right"/>
              <w:rPr>
                <w:color w:val="000000"/>
                <w:sz w:val="22"/>
                <w:szCs w:val="22"/>
                <w:lang w:bidi="ar-SA"/>
              </w:rPr>
            </w:pPr>
            <w:r w:rsidRPr="007239A6">
              <w:rPr>
                <w:sz w:val="20"/>
                <w:szCs w:val="20"/>
              </w:rPr>
              <w:t>17,976.0</w:t>
            </w:r>
          </w:p>
        </w:tc>
        <w:tc>
          <w:tcPr>
            <w:tcW w:w="1293" w:type="dxa"/>
            <w:tcBorders>
              <w:top w:val="nil"/>
              <w:left w:val="nil"/>
              <w:bottom w:val="nil"/>
              <w:right w:val="nil"/>
            </w:tcBorders>
            <w:shd w:val="clear" w:color="auto" w:fill="auto"/>
            <w:noWrap/>
            <w:vAlign w:val="bottom"/>
          </w:tcPr>
          <w:p w14:paraId="3E819C98" w14:textId="11D038E1" w:rsidR="00015A86" w:rsidRPr="007239A6" w:rsidRDefault="00015A86" w:rsidP="004C356D">
            <w:pPr>
              <w:spacing w:after="0" w:line="240" w:lineRule="auto"/>
              <w:jc w:val="right"/>
              <w:rPr>
                <w:color w:val="000000"/>
                <w:sz w:val="22"/>
                <w:szCs w:val="22"/>
                <w:lang w:bidi="ar-SA"/>
              </w:rPr>
            </w:pPr>
            <w:r w:rsidRPr="007239A6">
              <w:rPr>
                <w:sz w:val="20"/>
                <w:szCs w:val="20"/>
              </w:rPr>
              <w:t xml:space="preserve">219 </w:t>
            </w:r>
          </w:p>
        </w:tc>
        <w:tc>
          <w:tcPr>
            <w:tcW w:w="1650" w:type="dxa"/>
            <w:tcBorders>
              <w:top w:val="nil"/>
              <w:left w:val="nil"/>
              <w:bottom w:val="nil"/>
              <w:right w:val="nil"/>
            </w:tcBorders>
            <w:shd w:val="clear" w:color="auto" w:fill="auto"/>
            <w:noWrap/>
            <w:vAlign w:val="bottom"/>
          </w:tcPr>
          <w:p w14:paraId="0D615514" w14:textId="600D51D9" w:rsidR="00015A86" w:rsidRPr="007239A6" w:rsidRDefault="00015A86" w:rsidP="004C356D">
            <w:pPr>
              <w:spacing w:after="0" w:line="240" w:lineRule="auto"/>
              <w:jc w:val="right"/>
              <w:rPr>
                <w:color w:val="000000"/>
                <w:sz w:val="22"/>
                <w:szCs w:val="22"/>
                <w:lang w:bidi="ar-SA"/>
              </w:rPr>
            </w:pPr>
            <w:r w:rsidRPr="007239A6">
              <w:rPr>
                <w:sz w:val="20"/>
                <w:szCs w:val="20"/>
              </w:rPr>
              <w:t>15044.0</w:t>
            </w:r>
          </w:p>
        </w:tc>
        <w:tc>
          <w:tcPr>
            <w:tcW w:w="1289" w:type="dxa"/>
            <w:tcBorders>
              <w:top w:val="nil"/>
              <w:left w:val="nil"/>
              <w:bottom w:val="nil"/>
              <w:right w:val="nil"/>
            </w:tcBorders>
            <w:shd w:val="clear" w:color="auto" w:fill="auto"/>
            <w:noWrap/>
            <w:vAlign w:val="bottom"/>
          </w:tcPr>
          <w:p w14:paraId="6A099C48" w14:textId="7494E17B" w:rsidR="00015A86" w:rsidRPr="007239A6" w:rsidRDefault="00015A86" w:rsidP="004C356D">
            <w:pPr>
              <w:spacing w:after="0" w:line="240" w:lineRule="auto"/>
              <w:jc w:val="right"/>
              <w:rPr>
                <w:color w:val="000000"/>
                <w:sz w:val="22"/>
                <w:szCs w:val="22"/>
                <w:lang w:bidi="ar-SA"/>
              </w:rPr>
            </w:pPr>
            <w:r w:rsidRPr="007239A6">
              <w:rPr>
                <w:sz w:val="20"/>
                <w:szCs w:val="20"/>
              </w:rPr>
              <w:t xml:space="preserve">184 </w:t>
            </w:r>
          </w:p>
        </w:tc>
        <w:tc>
          <w:tcPr>
            <w:tcW w:w="1769" w:type="dxa"/>
            <w:tcBorders>
              <w:top w:val="nil"/>
              <w:left w:val="nil"/>
              <w:bottom w:val="nil"/>
              <w:right w:val="nil"/>
            </w:tcBorders>
            <w:vAlign w:val="bottom"/>
          </w:tcPr>
          <w:p w14:paraId="4BB7E7CB" w14:textId="33EA4D93" w:rsidR="00015A86" w:rsidRPr="00A54231" w:rsidRDefault="00015A86" w:rsidP="004C356D">
            <w:pPr>
              <w:spacing w:after="0" w:line="240" w:lineRule="auto"/>
              <w:jc w:val="right"/>
              <w:rPr>
                <w:sz w:val="20"/>
                <w:szCs w:val="20"/>
              </w:rPr>
            </w:pPr>
            <w:r w:rsidRPr="00A54231">
              <w:rPr>
                <w:color w:val="000000"/>
                <w:sz w:val="20"/>
                <w:szCs w:val="20"/>
              </w:rPr>
              <w:t>143.26</w:t>
            </w:r>
          </w:p>
        </w:tc>
      </w:tr>
      <w:tr w:rsidR="00015A86" w:rsidRPr="007239A6" w14:paraId="0369A345" w14:textId="69442AF7" w:rsidTr="00181ACD">
        <w:trPr>
          <w:trHeight w:val="288"/>
        </w:trPr>
        <w:tc>
          <w:tcPr>
            <w:tcW w:w="1586" w:type="dxa"/>
            <w:tcBorders>
              <w:top w:val="nil"/>
              <w:left w:val="nil"/>
              <w:bottom w:val="nil"/>
              <w:right w:val="nil"/>
            </w:tcBorders>
            <w:shd w:val="clear" w:color="auto" w:fill="auto"/>
            <w:noWrap/>
            <w:vAlign w:val="bottom"/>
            <w:hideMark/>
          </w:tcPr>
          <w:p w14:paraId="6B2833B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Darien</w:t>
            </w:r>
          </w:p>
        </w:tc>
        <w:tc>
          <w:tcPr>
            <w:tcW w:w="1261" w:type="dxa"/>
            <w:tcBorders>
              <w:top w:val="nil"/>
              <w:left w:val="nil"/>
              <w:bottom w:val="nil"/>
              <w:right w:val="nil"/>
            </w:tcBorders>
            <w:shd w:val="clear" w:color="auto" w:fill="auto"/>
            <w:noWrap/>
            <w:vAlign w:val="bottom"/>
          </w:tcPr>
          <w:p w14:paraId="0055C08A" w14:textId="2C668CCE" w:rsidR="00015A86" w:rsidRPr="007239A6" w:rsidRDefault="00015A86" w:rsidP="004C356D">
            <w:pPr>
              <w:spacing w:after="0" w:line="240" w:lineRule="auto"/>
              <w:jc w:val="right"/>
              <w:rPr>
                <w:color w:val="000000"/>
                <w:sz w:val="22"/>
                <w:szCs w:val="22"/>
                <w:lang w:bidi="ar-SA"/>
              </w:rPr>
            </w:pPr>
            <w:r w:rsidRPr="007239A6">
              <w:rPr>
                <w:sz w:val="20"/>
                <w:szCs w:val="20"/>
              </w:rPr>
              <w:t>4,009.1</w:t>
            </w:r>
          </w:p>
        </w:tc>
        <w:tc>
          <w:tcPr>
            <w:tcW w:w="1293" w:type="dxa"/>
            <w:tcBorders>
              <w:top w:val="nil"/>
              <w:left w:val="nil"/>
              <w:bottom w:val="nil"/>
              <w:right w:val="nil"/>
            </w:tcBorders>
            <w:shd w:val="clear" w:color="auto" w:fill="auto"/>
            <w:noWrap/>
            <w:vAlign w:val="bottom"/>
          </w:tcPr>
          <w:p w14:paraId="74C830BE" w14:textId="7C22D51E" w:rsidR="00015A86" w:rsidRPr="007239A6" w:rsidRDefault="00015A86" w:rsidP="004C356D">
            <w:pPr>
              <w:spacing w:after="0" w:line="240" w:lineRule="auto"/>
              <w:jc w:val="right"/>
              <w:rPr>
                <w:color w:val="000000"/>
                <w:sz w:val="22"/>
                <w:szCs w:val="22"/>
                <w:lang w:bidi="ar-SA"/>
              </w:rPr>
            </w:pPr>
            <w:r w:rsidRPr="007239A6">
              <w:rPr>
                <w:sz w:val="20"/>
                <w:szCs w:val="20"/>
              </w:rPr>
              <w:t xml:space="preserve">192 </w:t>
            </w:r>
          </w:p>
        </w:tc>
        <w:tc>
          <w:tcPr>
            <w:tcW w:w="1650" w:type="dxa"/>
            <w:tcBorders>
              <w:top w:val="nil"/>
              <w:left w:val="nil"/>
              <w:bottom w:val="nil"/>
              <w:right w:val="nil"/>
            </w:tcBorders>
            <w:shd w:val="clear" w:color="auto" w:fill="auto"/>
            <w:noWrap/>
            <w:vAlign w:val="bottom"/>
          </w:tcPr>
          <w:p w14:paraId="3F02D539" w14:textId="7A09D88E" w:rsidR="00015A86" w:rsidRPr="007239A6" w:rsidRDefault="00015A86" w:rsidP="004C356D">
            <w:pPr>
              <w:spacing w:after="0" w:line="240" w:lineRule="auto"/>
              <w:jc w:val="right"/>
              <w:rPr>
                <w:color w:val="000000"/>
                <w:sz w:val="22"/>
                <w:szCs w:val="22"/>
                <w:lang w:bidi="ar-SA"/>
              </w:rPr>
            </w:pPr>
            <w:r w:rsidRPr="007239A6">
              <w:rPr>
                <w:sz w:val="20"/>
                <w:szCs w:val="20"/>
              </w:rPr>
              <w:t>3269.0</w:t>
            </w:r>
          </w:p>
        </w:tc>
        <w:tc>
          <w:tcPr>
            <w:tcW w:w="1289" w:type="dxa"/>
            <w:tcBorders>
              <w:top w:val="nil"/>
              <w:left w:val="nil"/>
              <w:bottom w:val="nil"/>
              <w:right w:val="nil"/>
            </w:tcBorders>
            <w:shd w:val="clear" w:color="auto" w:fill="auto"/>
            <w:noWrap/>
            <w:vAlign w:val="bottom"/>
          </w:tcPr>
          <w:p w14:paraId="6ABAB8A8" w14:textId="0E9B1017" w:rsidR="00015A86" w:rsidRPr="007239A6" w:rsidRDefault="00015A86" w:rsidP="004C356D">
            <w:pPr>
              <w:spacing w:after="0" w:line="240" w:lineRule="auto"/>
              <w:jc w:val="right"/>
              <w:rPr>
                <w:color w:val="000000"/>
                <w:sz w:val="22"/>
                <w:szCs w:val="22"/>
                <w:lang w:bidi="ar-SA"/>
              </w:rPr>
            </w:pPr>
            <w:r w:rsidRPr="007239A6">
              <w:rPr>
                <w:sz w:val="20"/>
                <w:szCs w:val="20"/>
              </w:rPr>
              <w:t xml:space="preserve">156 </w:t>
            </w:r>
          </w:p>
        </w:tc>
        <w:tc>
          <w:tcPr>
            <w:tcW w:w="1769" w:type="dxa"/>
            <w:tcBorders>
              <w:top w:val="nil"/>
              <w:left w:val="nil"/>
              <w:bottom w:val="nil"/>
              <w:right w:val="nil"/>
            </w:tcBorders>
            <w:vAlign w:val="bottom"/>
          </w:tcPr>
          <w:p w14:paraId="33866AD9" w14:textId="562DC03A" w:rsidR="00015A86" w:rsidRPr="00A54231" w:rsidRDefault="00015A86" w:rsidP="004C356D">
            <w:pPr>
              <w:spacing w:after="0" w:line="240" w:lineRule="auto"/>
              <w:jc w:val="right"/>
              <w:rPr>
                <w:sz w:val="20"/>
                <w:szCs w:val="20"/>
              </w:rPr>
            </w:pPr>
            <w:r w:rsidRPr="00A54231">
              <w:rPr>
                <w:color w:val="000000"/>
                <w:sz w:val="20"/>
                <w:szCs w:val="20"/>
              </w:rPr>
              <w:t>-3612.55</w:t>
            </w:r>
          </w:p>
        </w:tc>
      </w:tr>
      <w:tr w:rsidR="00015A86" w:rsidRPr="007239A6" w14:paraId="48ED04DB" w14:textId="46BDDF79" w:rsidTr="00181ACD">
        <w:trPr>
          <w:trHeight w:val="288"/>
        </w:trPr>
        <w:tc>
          <w:tcPr>
            <w:tcW w:w="1586" w:type="dxa"/>
            <w:tcBorders>
              <w:top w:val="nil"/>
              <w:left w:val="nil"/>
              <w:bottom w:val="nil"/>
              <w:right w:val="nil"/>
            </w:tcBorders>
            <w:shd w:val="clear" w:color="auto" w:fill="auto"/>
            <w:noWrap/>
            <w:vAlign w:val="bottom"/>
            <w:hideMark/>
          </w:tcPr>
          <w:p w14:paraId="06A9516E"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Deep River</w:t>
            </w:r>
          </w:p>
        </w:tc>
        <w:tc>
          <w:tcPr>
            <w:tcW w:w="1261" w:type="dxa"/>
            <w:tcBorders>
              <w:top w:val="nil"/>
              <w:left w:val="nil"/>
              <w:bottom w:val="nil"/>
              <w:right w:val="nil"/>
            </w:tcBorders>
            <w:shd w:val="clear" w:color="auto" w:fill="auto"/>
            <w:noWrap/>
            <w:vAlign w:val="bottom"/>
          </w:tcPr>
          <w:p w14:paraId="28A5A7C1" w14:textId="75349160" w:rsidR="00015A86" w:rsidRPr="007239A6" w:rsidRDefault="00015A86" w:rsidP="004C356D">
            <w:pPr>
              <w:spacing w:after="0" w:line="240" w:lineRule="auto"/>
              <w:jc w:val="right"/>
              <w:rPr>
                <w:color w:val="000000"/>
                <w:sz w:val="22"/>
                <w:szCs w:val="22"/>
                <w:lang w:bidi="ar-SA"/>
              </w:rPr>
            </w:pPr>
            <w:r w:rsidRPr="007239A6">
              <w:rPr>
                <w:sz w:val="20"/>
                <w:szCs w:val="20"/>
              </w:rPr>
              <w:t>312.2</w:t>
            </w:r>
          </w:p>
        </w:tc>
        <w:tc>
          <w:tcPr>
            <w:tcW w:w="1293" w:type="dxa"/>
            <w:tcBorders>
              <w:top w:val="nil"/>
              <w:left w:val="nil"/>
              <w:bottom w:val="nil"/>
              <w:right w:val="nil"/>
            </w:tcBorders>
            <w:shd w:val="clear" w:color="auto" w:fill="auto"/>
            <w:noWrap/>
            <w:vAlign w:val="bottom"/>
          </w:tcPr>
          <w:p w14:paraId="762152D4" w14:textId="5F56E7BE" w:rsidR="00015A86" w:rsidRPr="007239A6" w:rsidRDefault="00015A86" w:rsidP="004C356D">
            <w:pPr>
              <w:spacing w:after="0" w:line="240" w:lineRule="auto"/>
              <w:jc w:val="right"/>
              <w:rPr>
                <w:color w:val="000000"/>
                <w:sz w:val="22"/>
                <w:szCs w:val="22"/>
                <w:lang w:bidi="ar-SA"/>
              </w:rPr>
            </w:pPr>
            <w:r w:rsidRPr="007239A6">
              <w:rPr>
                <w:sz w:val="20"/>
                <w:szCs w:val="20"/>
              </w:rPr>
              <w:t xml:space="preserve">68 </w:t>
            </w:r>
          </w:p>
        </w:tc>
        <w:tc>
          <w:tcPr>
            <w:tcW w:w="1650" w:type="dxa"/>
            <w:tcBorders>
              <w:top w:val="nil"/>
              <w:left w:val="nil"/>
              <w:bottom w:val="nil"/>
              <w:right w:val="nil"/>
            </w:tcBorders>
            <w:shd w:val="clear" w:color="auto" w:fill="auto"/>
            <w:noWrap/>
            <w:vAlign w:val="bottom"/>
          </w:tcPr>
          <w:p w14:paraId="7773864C" w14:textId="66C5C0E9" w:rsidR="00015A86" w:rsidRPr="007239A6" w:rsidRDefault="00015A86" w:rsidP="004C356D">
            <w:pPr>
              <w:spacing w:after="0" w:line="240" w:lineRule="auto"/>
              <w:jc w:val="right"/>
              <w:rPr>
                <w:color w:val="000000"/>
                <w:sz w:val="22"/>
                <w:szCs w:val="22"/>
                <w:lang w:bidi="ar-SA"/>
              </w:rPr>
            </w:pPr>
            <w:r w:rsidRPr="007239A6">
              <w:rPr>
                <w:sz w:val="20"/>
                <w:szCs w:val="20"/>
              </w:rPr>
              <w:t>460.5</w:t>
            </w:r>
          </w:p>
        </w:tc>
        <w:tc>
          <w:tcPr>
            <w:tcW w:w="1289" w:type="dxa"/>
            <w:tcBorders>
              <w:top w:val="nil"/>
              <w:left w:val="nil"/>
              <w:bottom w:val="nil"/>
              <w:right w:val="nil"/>
            </w:tcBorders>
            <w:shd w:val="clear" w:color="auto" w:fill="auto"/>
            <w:noWrap/>
            <w:vAlign w:val="bottom"/>
          </w:tcPr>
          <w:p w14:paraId="25F41868" w14:textId="6DC5051D" w:rsidR="00015A86" w:rsidRPr="007239A6" w:rsidRDefault="00015A86" w:rsidP="004C356D">
            <w:pPr>
              <w:spacing w:after="0" w:line="240" w:lineRule="auto"/>
              <w:jc w:val="right"/>
              <w:rPr>
                <w:color w:val="000000"/>
                <w:sz w:val="22"/>
                <w:szCs w:val="22"/>
                <w:lang w:bidi="ar-SA"/>
              </w:rPr>
            </w:pPr>
            <w:r w:rsidRPr="007239A6">
              <w:rPr>
                <w:sz w:val="20"/>
                <w:szCs w:val="20"/>
              </w:rPr>
              <w:t xml:space="preserve">100 </w:t>
            </w:r>
          </w:p>
        </w:tc>
        <w:tc>
          <w:tcPr>
            <w:tcW w:w="1769" w:type="dxa"/>
            <w:tcBorders>
              <w:top w:val="nil"/>
              <w:left w:val="nil"/>
              <w:bottom w:val="nil"/>
              <w:right w:val="nil"/>
            </w:tcBorders>
            <w:vAlign w:val="bottom"/>
          </w:tcPr>
          <w:p w14:paraId="27B651AC" w14:textId="5763C4B5" w:rsidR="00015A86" w:rsidRPr="00A54231" w:rsidRDefault="00015A86" w:rsidP="004C356D">
            <w:pPr>
              <w:spacing w:after="0" w:line="240" w:lineRule="auto"/>
              <w:jc w:val="right"/>
              <w:rPr>
                <w:sz w:val="20"/>
                <w:szCs w:val="20"/>
              </w:rPr>
            </w:pPr>
            <w:r w:rsidRPr="00A54231">
              <w:rPr>
                <w:color w:val="000000"/>
                <w:sz w:val="20"/>
                <w:szCs w:val="20"/>
              </w:rPr>
              <w:t>-220.27</w:t>
            </w:r>
          </w:p>
        </w:tc>
      </w:tr>
      <w:tr w:rsidR="00015A86" w:rsidRPr="007239A6" w14:paraId="31D21D6E" w14:textId="1867FBCB" w:rsidTr="00181ACD">
        <w:trPr>
          <w:trHeight w:val="288"/>
        </w:trPr>
        <w:tc>
          <w:tcPr>
            <w:tcW w:w="1586" w:type="dxa"/>
            <w:tcBorders>
              <w:top w:val="nil"/>
              <w:left w:val="nil"/>
              <w:bottom w:val="nil"/>
              <w:right w:val="nil"/>
            </w:tcBorders>
            <w:shd w:val="clear" w:color="auto" w:fill="auto"/>
            <w:noWrap/>
            <w:vAlign w:val="bottom"/>
            <w:hideMark/>
          </w:tcPr>
          <w:p w14:paraId="47E0235E"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Derby</w:t>
            </w:r>
          </w:p>
        </w:tc>
        <w:tc>
          <w:tcPr>
            <w:tcW w:w="1261" w:type="dxa"/>
            <w:tcBorders>
              <w:top w:val="nil"/>
              <w:left w:val="nil"/>
              <w:bottom w:val="nil"/>
              <w:right w:val="nil"/>
            </w:tcBorders>
            <w:shd w:val="clear" w:color="auto" w:fill="auto"/>
            <w:noWrap/>
            <w:vAlign w:val="bottom"/>
          </w:tcPr>
          <w:p w14:paraId="7CB9B6DE" w14:textId="7CBA0835" w:rsidR="00015A86" w:rsidRPr="007239A6" w:rsidRDefault="00015A86" w:rsidP="004C356D">
            <w:pPr>
              <w:spacing w:after="0" w:line="240" w:lineRule="auto"/>
              <w:jc w:val="right"/>
              <w:rPr>
                <w:color w:val="000000"/>
                <w:sz w:val="22"/>
                <w:szCs w:val="22"/>
                <w:lang w:bidi="ar-SA"/>
              </w:rPr>
            </w:pPr>
            <w:r w:rsidRPr="007239A6">
              <w:rPr>
                <w:sz w:val="20"/>
                <w:szCs w:val="20"/>
              </w:rPr>
              <w:t>1,749.9</w:t>
            </w:r>
          </w:p>
        </w:tc>
        <w:tc>
          <w:tcPr>
            <w:tcW w:w="1293" w:type="dxa"/>
            <w:tcBorders>
              <w:top w:val="nil"/>
              <w:left w:val="nil"/>
              <w:bottom w:val="nil"/>
              <w:right w:val="nil"/>
            </w:tcBorders>
            <w:shd w:val="clear" w:color="auto" w:fill="auto"/>
            <w:noWrap/>
            <w:vAlign w:val="bottom"/>
          </w:tcPr>
          <w:p w14:paraId="7BA96E29" w14:textId="24054A01" w:rsidR="00015A86" w:rsidRPr="007239A6" w:rsidRDefault="00015A86" w:rsidP="004C356D">
            <w:pPr>
              <w:spacing w:after="0" w:line="240" w:lineRule="auto"/>
              <w:jc w:val="right"/>
              <w:rPr>
                <w:color w:val="000000"/>
                <w:sz w:val="22"/>
                <w:szCs w:val="22"/>
                <w:lang w:bidi="ar-SA"/>
              </w:rPr>
            </w:pPr>
            <w:r w:rsidRPr="007239A6">
              <w:rPr>
                <w:sz w:val="20"/>
                <w:szCs w:val="20"/>
              </w:rPr>
              <w:t xml:space="preserve">136 </w:t>
            </w:r>
          </w:p>
        </w:tc>
        <w:tc>
          <w:tcPr>
            <w:tcW w:w="1650" w:type="dxa"/>
            <w:tcBorders>
              <w:top w:val="nil"/>
              <w:left w:val="nil"/>
              <w:bottom w:val="nil"/>
              <w:right w:val="nil"/>
            </w:tcBorders>
            <w:shd w:val="clear" w:color="auto" w:fill="auto"/>
            <w:noWrap/>
            <w:vAlign w:val="bottom"/>
          </w:tcPr>
          <w:p w14:paraId="2DF4237E" w14:textId="4B869844" w:rsidR="00015A86" w:rsidRPr="007239A6" w:rsidRDefault="00015A86" w:rsidP="004C356D">
            <w:pPr>
              <w:spacing w:after="0" w:line="240" w:lineRule="auto"/>
              <w:jc w:val="right"/>
              <w:rPr>
                <w:color w:val="000000"/>
                <w:sz w:val="22"/>
                <w:szCs w:val="22"/>
                <w:lang w:bidi="ar-SA"/>
              </w:rPr>
            </w:pPr>
            <w:r w:rsidRPr="007239A6">
              <w:rPr>
                <w:sz w:val="20"/>
                <w:szCs w:val="20"/>
              </w:rPr>
              <w:t>1243.1</w:t>
            </w:r>
          </w:p>
        </w:tc>
        <w:tc>
          <w:tcPr>
            <w:tcW w:w="1289" w:type="dxa"/>
            <w:tcBorders>
              <w:top w:val="nil"/>
              <w:left w:val="nil"/>
              <w:bottom w:val="nil"/>
              <w:right w:val="nil"/>
            </w:tcBorders>
            <w:shd w:val="clear" w:color="auto" w:fill="auto"/>
            <w:noWrap/>
            <w:vAlign w:val="bottom"/>
          </w:tcPr>
          <w:p w14:paraId="0A025159" w14:textId="3A6223AB" w:rsidR="00015A86" w:rsidRPr="007239A6" w:rsidRDefault="00015A86" w:rsidP="004C356D">
            <w:pPr>
              <w:spacing w:after="0" w:line="240" w:lineRule="auto"/>
              <w:jc w:val="right"/>
              <w:rPr>
                <w:color w:val="000000"/>
                <w:sz w:val="22"/>
                <w:szCs w:val="22"/>
                <w:lang w:bidi="ar-SA"/>
              </w:rPr>
            </w:pPr>
            <w:r w:rsidRPr="007239A6">
              <w:rPr>
                <w:sz w:val="20"/>
                <w:szCs w:val="20"/>
              </w:rPr>
              <w:t xml:space="preserve">97 </w:t>
            </w:r>
          </w:p>
        </w:tc>
        <w:tc>
          <w:tcPr>
            <w:tcW w:w="1769" w:type="dxa"/>
            <w:tcBorders>
              <w:top w:val="nil"/>
              <w:left w:val="nil"/>
              <w:bottom w:val="nil"/>
              <w:right w:val="nil"/>
            </w:tcBorders>
            <w:vAlign w:val="bottom"/>
          </w:tcPr>
          <w:p w14:paraId="14ED7FA1" w14:textId="6CC9C24C" w:rsidR="00015A86" w:rsidRPr="00A54231" w:rsidRDefault="00015A86" w:rsidP="004C356D">
            <w:pPr>
              <w:spacing w:after="0" w:line="240" w:lineRule="auto"/>
              <w:jc w:val="right"/>
              <w:rPr>
                <w:sz w:val="20"/>
                <w:szCs w:val="20"/>
              </w:rPr>
            </w:pPr>
            <w:r w:rsidRPr="00A54231">
              <w:rPr>
                <w:color w:val="000000"/>
                <w:sz w:val="20"/>
                <w:szCs w:val="20"/>
              </w:rPr>
              <w:t>605.66</w:t>
            </w:r>
          </w:p>
        </w:tc>
      </w:tr>
      <w:tr w:rsidR="00015A86" w:rsidRPr="007239A6" w14:paraId="63ABADD9" w14:textId="764606C5" w:rsidTr="00181ACD">
        <w:trPr>
          <w:trHeight w:val="288"/>
        </w:trPr>
        <w:tc>
          <w:tcPr>
            <w:tcW w:w="1586" w:type="dxa"/>
            <w:tcBorders>
              <w:top w:val="nil"/>
              <w:left w:val="nil"/>
              <w:bottom w:val="nil"/>
              <w:right w:val="nil"/>
            </w:tcBorders>
            <w:shd w:val="clear" w:color="auto" w:fill="auto"/>
            <w:noWrap/>
            <w:vAlign w:val="bottom"/>
            <w:hideMark/>
          </w:tcPr>
          <w:p w14:paraId="64BFC2E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Durham</w:t>
            </w:r>
          </w:p>
        </w:tc>
        <w:tc>
          <w:tcPr>
            <w:tcW w:w="1261" w:type="dxa"/>
            <w:tcBorders>
              <w:top w:val="nil"/>
              <w:left w:val="nil"/>
              <w:bottom w:val="nil"/>
              <w:right w:val="nil"/>
            </w:tcBorders>
            <w:shd w:val="clear" w:color="auto" w:fill="auto"/>
            <w:noWrap/>
            <w:vAlign w:val="bottom"/>
          </w:tcPr>
          <w:p w14:paraId="2BA5E041" w14:textId="07D9CEAC" w:rsidR="00015A86" w:rsidRPr="007239A6" w:rsidRDefault="00015A86" w:rsidP="004C356D">
            <w:pPr>
              <w:spacing w:after="0" w:line="240" w:lineRule="auto"/>
              <w:jc w:val="right"/>
              <w:rPr>
                <w:color w:val="000000"/>
                <w:sz w:val="22"/>
                <w:szCs w:val="22"/>
                <w:lang w:bidi="ar-SA"/>
              </w:rPr>
            </w:pPr>
            <w:r w:rsidRPr="007239A6">
              <w:rPr>
                <w:sz w:val="20"/>
                <w:szCs w:val="20"/>
              </w:rPr>
              <w:t>410.4</w:t>
            </w:r>
          </w:p>
        </w:tc>
        <w:tc>
          <w:tcPr>
            <w:tcW w:w="1293" w:type="dxa"/>
            <w:tcBorders>
              <w:top w:val="nil"/>
              <w:left w:val="nil"/>
              <w:bottom w:val="nil"/>
              <w:right w:val="nil"/>
            </w:tcBorders>
            <w:shd w:val="clear" w:color="auto" w:fill="auto"/>
            <w:noWrap/>
            <w:vAlign w:val="bottom"/>
          </w:tcPr>
          <w:p w14:paraId="1598F582" w14:textId="79F4C401" w:rsidR="00015A86" w:rsidRPr="007239A6" w:rsidRDefault="00015A86" w:rsidP="004C356D">
            <w:pPr>
              <w:spacing w:after="0" w:line="240" w:lineRule="auto"/>
              <w:jc w:val="right"/>
              <w:rPr>
                <w:color w:val="000000"/>
                <w:sz w:val="22"/>
                <w:szCs w:val="22"/>
                <w:lang w:bidi="ar-SA"/>
              </w:rPr>
            </w:pPr>
            <w:r w:rsidRPr="007239A6">
              <w:rPr>
                <w:sz w:val="20"/>
                <w:szCs w:val="20"/>
              </w:rPr>
              <w:t xml:space="preserve">56 </w:t>
            </w:r>
          </w:p>
        </w:tc>
        <w:tc>
          <w:tcPr>
            <w:tcW w:w="1650" w:type="dxa"/>
            <w:tcBorders>
              <w:top w:val="nil"/>
              <w:left w:val="nil"/>
              <w:bottom w:val="nil"/>
              <w:right w:val="nil"/>
            </w:tcBorders>
            <w:shd w:val="clear" w:color="auto" w:fill="auto"/>
            <w:noWrap/>
            <w:vAlign w:val="bottom"/>
          </w:tcPr>
          <w:p w14:paraId="280F322D" w14:textId="058C3895" w:rsidR="00015A86" w:rsidRPr="007239A6" w:rsidRDefault="00015A86" w:rsidP="004C356D">
            <w:pPr>
              <w:spacing w:after="0" w:line="240" w:lineRule="auto"/>
              <w:jc w:val="right"/>
              <w:rPr>
                <w:color w:val="000000"/>
                <w:sz w:val="22"/>
                <w:szCs w:val="22"/>
                <w:lang w:bidi="ar-SA"/>
              </w:rPr>
            </w:pPr>
            <w:r w:rsidRPr="007239A6">
              <w:rPr>
                <w:sz w:val="20"/>
                <w:szCs w:val="20"/>
              </w:rPr>
              <w:t>691.0</w:t>
            </w:r>
          </w:p>
        </w:tc>
        <w:tc>
          <w:tcPr>
            <w:tcW w:w="1289" w:type="dxa"/>
            <w:tcBorders>
              <w:top w:val="nil"/>
              <w:left w:val="nil"/>
              <w:bottom w:val="nil"/>
              <w:right w:val="nil"/>
            </w:tcBorders>
            <w:shd w:val="clear" w:color="auto" w:fill="auto"/>
            <w:noWrap/>
            <w:vAlign w:val="bottom"/>
          </w:tcPr>
          <w:p w14:paraId="6A04B9CB" w14:textId="61FF33F5" w:rsidR="00015A86" w:rsidRPr="007239A6" w:rsidRDefault="00015A86" w:rsidP="004C356D">
            <w:pPr>
              <w:spacing w:after="0" w:line="240" w:lineRule="auto"/>
              <w:jc w:val="right"/>
              <w:rPr>
                <w:color w:val="000000"/>
                <w:sz w:val="22"/>
                <w:szCs w:val="22"/>
                <w:lang w:bidi="ar-SA"/>
              </w:rPr>
            </w:pPr>
            <w:r w:rsidRPr="007239A6">
              <w:rPr>
                <w:sz w:val="20"/>
                <w:szCs w:val="20"/>
              </w:rPr>
              <w:t xml:space="preserve">94 </w:t>
            </w:r>
          </w:p>
        </w:tc>
        <w:tc>
          <w:tcPr>
            <w:tcW w:w="1769" w:type="dxa"/>
            <w:tcBorders>
              <w:top w:val="nil"/>
              <w:left w:val="nil"/>
              <w:bottom w:val="nil"/>
              <w:right w:val="nil"/>
            </w:tcBorders>
            <w:vAlign w:val="bottom"/>
          </w:tcPr>
          <w:p w14:paraId="536A16D0" w14:textId="2B3E2A43" w:rsidR="00015A86" w:rsidRPr="00A54231" w:rsidRDefault="00015A86" w:rsidP="004C356D">
            <w:pPr>
              <w:spacing w:after="0" w:line="240" w:lineRule="auto"/>
              <w:jc w:val="right"/>
              <w:rPr>
                <w:sz w:val="20"/>
                <w:szCs w:val="20"/>
              </w:rPr>
            </w:pPr>
            <w:r w:rsidRPr="00A54231">
              <w:rPr>
                <w:color w:val="000000"/>
                <w:sz w:val="20"/>
                <w:szCs w:val="20"/>
              </w:rPr>
              <w:t>-135.58</w:t>
            </w:r>
          </w:p>
        </w:tc>
      </w:tr>
      <w:tr w:rsidR="00015A86" w:rsidRPr="007239A6" w14:paraId="29A0A0F9" w14:textId="27FA0128" w:rsidTr="00181ACD">
        <w:trPr>
          <w:trHeight w:val="288"/>
        </w:trPr>
        <w:tc>
          <w:tcPr>
            <w:tcW w:w="1586" w:type="dxa"/>
            <w:tcBorders>
              <w:top w:val="nil"/>
              <w:left w:val="nil"/>
              <w:bottom w:val="nil"/>
              <w:right w:val="nil"/>
            </w:tcBorders>
            <w:shd w:val="clear" w:color="auto" w:fill="auto"/>
            <w:noWrap/>
            <w:vAlign w:val="bottom"/>
            <w:hideMark/>
          </w:tcPr>
          <w:p w14:paraId="4C39427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lastRenderedPageBreak/>
              <w:t>East Granby</w:t>
            </w:r>
          </w:p>
        </w:tc>
        <w:tc>
          <w:tcPr>
            <w:tcW w:w="1261" w:type="dxa"/>
            <w:tcBorders>
              <w:top w:val="nil"/>
              <w:left w:val="nil"/>
              <w:bottom w:val="nil"/>
              <w:right w:val="nil"/>
            </w:tcBorders>
            <w:shd w:val="clear" w:color="auto" w:fill="auto"/>
            <w:noWrap/>
            <w:vAlign w:val="bottom"/>
          </w:tcPr>
          <w:p w14:paraId="4BB78088" w14:textId="49DA41E0" w:rsidR="00015A86" w:rsidRPr="007239A6" w:rsidRDefault="00015A86" w:rsidP="004C356D">
            <w:pPr>
              <w:spacing w:after="0" w:line="240" w:lineRule="auto"/>
              <w:jc w:val="right"/>
              <w:rPr>
                <w:color w:val="000000"/>
                <w:sz w:val="22"/>
                <w:szCs w:val="22"/>
                <w:lang w:bidi="ar-SA"/>
              </w:rPr>
            </w:pPr>
            <w:r w:rsidRPr="007239A6">
              <w:rPr>
                <w:sz w:val="20"/>
                <w:szCs w:val="20"/>
              </w:rPr>
              <w:t>553.3</w:t>
            </w:r>
          </w:p>
        </w:tc>
        <w:tc>
          <w:tcPr>
            <w:tcW w:w="1293" w:type="dxa"/>
            <w:tcBorders>
              <w:top w:val="nil"/>
              <w:left w:val="nil"/>
              <w:bottom w:val="nil"/>
              <w:right w:val="nil"/>
            </w:tcBorders>
            <w:shd w:val="clear" w:color="auto" w:fill="auto"/>
            <w:noWrap/>
            <w:vAlign w:val="bottom"/>
          </w:tcPr>
          <w:p w14:paraId="59CACF2D" w14:textId="3E104AAE" w:rsidR="00015A86" w:rsidRPr="007239A6" w:rsidRDefault="00015A86" w:rsidP="004C356D">
            <w:pPr>
              <w:spacing w:after="0" w:line="240" w:lineRule="auto"/>
              <w:jc w:val="right"/>
              <w:rPr>
                <w:color w:val="000000"/>
                <w:sz w:val="22"/>
                <w:szCs w:val="22"/>
                <w:lang w:bidi="ar-SA"/>
              </w:rPr>
            </w:pPr>
            <w:r w:rsidRPr="007239A6">
              <w:rPr>
                <w:sz w:val="20"/>
                <w:szCs w:val="20"/>
              </w:rPr>
              <w:t xml:space="preserve">110 </w:t>
            </w:r>
          </w:p>
        </w:tc>
        <w:tc>
          <w:tcPr>
            <w:tcW w:w="1650" w:type="dxa"/>
            <w:tcBorders>
              <w:top w:val="nil"/>
              <w:left w:val="nil"/>
              <w:bottom w:val="nil"/>
              <w:right w:val="nil"/>
            </w:tcBorders>
            <w:shd w:val="clear" w:color="auto" w:fill="auto"/>
            <w:noWrap/>
            <w:vAlign w:val="bottom"/>
          </w:tcPr>
          <w:p w14:paraId="547ACF28" w14:textId="6F63515E" w:rsidR="00015A86" w:rsidRPr="007239A6" w:rsidRDefault="00015A86" w:rsidP="004C356D">
            <w:pPr>
              <w:spacing w:after="0" w:line="240" w:lineRule="auto"/>
              <w:jc w:val="right"/>
              <w:rPr>
                <w:color w:val="000000"/>
                <w:sz w:val="22"/>
                <w:szCs w:val="22"/>
                <w:lang w:bidi="ar-SA"/>
              </w:rPr>
            </w:pPr>
            <w:r w:rsidRPr="007239A6">
              <w:rPr>
                <w:sz w:val="20"/>
                <w:szCs w:val="20"/>
              </w:rPr>
              <w:t>863.3</w:t>
            </w:r>
          </w:p>
        </w:tc>
        <w:tc>
          <w:tcPr>
            <w:tcW w:w="1289" w:type="dxa"/>
            <w:tcBorders>
              <w:top w:val="nil"/>
              <w:left w:val="nil"/>
              <w:bottom w:val="nil"/>
              <w:right w:val="nil"/>
            </w:tcBorders>
            <w:shd w:val="clear" w:color="auto" w:fill="auto"/>
            <w:noWrap/>
            <w:vAlign w:val="bottom"/>
          </w:tcPr>
          <w:p w14:paraId="066A1B42" w14:textId="167919DE" w:rsidR="00015A86" w:rsidRPr="007239A6" w:rsidRDefault="00015A86" w:rsidP="004C356D">
            <w:pPr>
              <w:spacing w:after="0" w:line="240" w:lineRule="auto"/>
              <w:jc w:val="right"/>
              <w:rPr>
                <w:color w:val="000000"/>
                <w:sz w:val="22"/>
                <w:szCs w:val="22"/>
                <w:lang w:bidi="ar-SA"/>
              </w:rPr>
            </w:pPr>
            <w:r w:rsidRPr="007239A6">
              <w:rPr>
                <w:sz w:val="20"/>
                <w:szCs w:val="20"/>
              </w:rPr>
              <w:t xml:space="preserve">171 </w:t>
            </w:r>
          </w:p>
        </w:tc>
        <w:tc>
          <w:tcPr>
            <w:tcW w:w="1769" w:type="dxa"/>
            <w:tcBorders>
              <w:top w:val="nil"/>
              <w:left w:val="nil"/>
              <w:bottom w:val="nil"/>
              <w:right w:val="nil"/>
            </w:tcBorders>
            <w:vAlign w:val="bottom"/>
          </w:tcPr>
          <w:p w14:paraId="6E3CDB06" w14:textId="073E6230" w:rsidR="00015A86" w:rsidRPr="00A54231" w:rsidRDefault="00015A86" w:rsidP="004C356D">
            <w:pPr>
              <w:spacing w:after="0" w:line="240" w:lineRule="auto"/>
              <w:jc w:val="right"/>
              <w:rPr>
                <w:sz w:val="20"/>
                <w:szCs w:val="20"/>
              </w:rPr>
            </w:pPr>
            <w:r w:rsidRPr="00A54231">
              <w:rPr>
                <w:color w:val="000000"/>
                <w:sz w:val="20"/>
                <w:szCs w:val="20"/>
              </w:rPr>
              <w:t>-149.07</w:t>
            </w:r>
          </w:p>
        </w:tc>
      </w:tr>
      <w:tr w:rsidR="00015A86" w:rsidRPr="007239A6" w14:paraId="4C84CDB6" w14:textId="2FAB5E88" w:rsidTr="00181ACD">
        <w:trPr>
          <w:trHeight w:val="288"/>
        </w:trPr>
        <w:tc>
          <w:tcPr>
            <w:tcW w:w="1586" w:type="dxa"/>
            <w:tcBorders>
              <w:top w:val="nil"/>
              <w:left w:val="nil"/>
              <w:bottom w:val="nil"/>
              <w:right w:val="nil"/>
            </w:tcBorders>
            <w:shd w:val="clear" w:color="auto" w:fill="auto"/>
            <w:noWrap/>
            <w:vAlign w:val="bottom"/>
            <w:hideMark/>
          </w:tcPr>
          <w:p w14:paraId="124C404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East Haddam</w:t>
            </w:r>
          </w:p>
        </w:tc>
        <w:tc>
          <w:tcPr>
            <w:tcW w:w="1261" w:type="dxa"/>
            <w:tcBorders>
              <w:top w:val="nil"/>
              <w:left w:val="nil"/>
              <w:bottom w:val="nil"/>
              <w:right w:val="nil"/>
            </w:tcBorders>
            <w:shd w:val="clear" w:color="auto" w:fill="auto"/>
            <w:noWrap/>
            <w:vAlign w:val="bottom"/>
          </w:tcPr>
          <w:p w14:paraId="1249E89D" w14:textId="551DFA5A" w:rsidR="00015A86" w:rsidRPr="007239A6" w:rsidRDefault="00015A86" w:rsidP="004C356D">
            <w:pPr>
              <w:spacing w:after="0" w:line="240" w:lineRule="auto"/>
              <w:jc w:val="right"/>
              <w:rPr>
                <w:color w:val="000000"/>
                <w:sz w:val="22"/>
                <w:szCs w:val="22"/>
                <w:lang w:bidi="ar-SA"/>
              </w:rPr>
            </w:pPr>
            <w:r w:rsidRPr="007239A6">
              <w:rPr>
                <w:sz w:val="20"/>
                <w:szCs w:val="20"/>
              </w:rPr>
              <w:t>359.2</w:t>
            </w:r>
          </w:p>
        </w:tc>
        <w:tc>
          <w:tcPr>
            <w:tcW w:w="1293" w:type="dxa"/>
            <w:tcBorders>
              <w:top w:val="nil"/>
              <w:left w:val="nil"/>
              <w:bottom w:val="nil"/>
              <w:right w:val="nil"/>
            </w:tcBorders>
            <w:shd w:val="clear" w:color="auto" w:fill="auto"/>
            <w:noWrap/>
            <w:vAlign w:val="bottom"/>
          </w:tcPr>
          <w:p w14:paraId="386D9133" w14:textId="120DD9D8" w:rsidR="00015A86" w:rsidRPr="007239A6" w:rsidRDefault="00015A86" w:rsidP="004C356D">
            <w:pPr>
              <w:spacing w:after="0" w:line="240" w:lineRule="auto"/>
              <w:jc w:val="right"/>
              <w:rPr>
                <w:color w:val="000000"/>
                <w:sz w:val="22"/>
                <w:szCs w:val="22"/>
                <w:lang w:bidi="ar-SA"/>
              </w:rPr>
            </w:pPr>
            <w:r w:rsidRPr="007239A6">
              <w:rPr>
                <w:sz w:val="20"/>
                <w:szCs w:val="20"/>
              </w:rPr>
              <w:t xml:space="preserve">39 </w:t>
            </w:r>
          </w:p>
        </w:tc>
        <w:tc>
          <w:tcPr>
            <w:tcW w:w="1650" w:type="dxa"/>
            <w:tcBorders>
              <w:top w:val="nil"/>
              <w:left w:val="nil"/>
              <w:bottom w:val="nil"/>
              <w:right w:val="nil"/>
            </w:tcBorders>
            <w:shd w:val="clear" w:color="auto" w:fill="auto"/>
            <w:noWrap/>
            <w:vAlign w:val="bottom"/>
          </w:tcPr>
          <w:p w14:paraId="5E6813EA" w14:textId="5035678D" w:rsidR="00015A86" w:rsidRPr="007239A6" w:rsidRDefault="00015A86" w:rsidP="004C356D">
            <w:pPr>
              <w:spacing w:after="0" w:line="240" w:lineRule="auto"/>
              <w:jc w:val="right"/>
              <w:rPr>
                <w:color w:val="000000"/>
                <w:sz w:val="22"/>
                <w:szCs w:val="22"/>
                <w:lang w:bidi="ar-SA"/>
              </w:rPr>
            </w:pPr>
            <w:r w:rsidRPr="007239A6">
              <w:rPr>
                <w:sz w:val="20"/>
                <w:szCs w:val="20"/>
              </w:rPr>
              <w:t>693.3</w:t>
            </w:r>
          </w:p>
        </w:tc>
        <w:tc>
          <w:tcPr>
            <w:tcW w:w="1289" w:type="dxa"/>
            <w:tcBorders>
              <w:top w:val="nil"/>
              <w:left w:val="nil"/>
              <w:bottom w:val="nil"/>
              <w:right w:val="nil"/>
            </w:tcBorders>
            <w:shd w:val="clear" w:color="auto" w:fill="auto"/>
            <w:noWrap/>
            <w:vAlign w:val="bottom"/>
          </w:tcPr>
          <w:p w14:paraId="59D0CF4C" w14:textId="3EE227A6" w:rsidR="00015A86" w:rsidRPr="007239A6" w:rsidRDefault="00015A86" w:rsidP="004C356D">
            <w:pPr>
              <w:spacing w:after="0" w:line="240" w:lineRule="auto"/>
              <w:jc w:val="right"/>
              <w:rPr>
                <w:color w:val="000000"/>
                <w:sz w:val="22"/>
                <w:szCs w:val="22"/>
                <w:lang w:bidi="ar-SA"/>
              </w:rPr>
            </w:pPr>
            <w:r w:rsidRPr="007239A6">
              <w:rPr>
                <w:sz w:val="20"/>
                <w:szCs w:val="20"/>
              </w:rPr>
              <w:t xml:space="preserve">76 </w:t>
            </w:r>
          </w:p>
        </w:tc>
        <w:tc>
          <w:tcPr>
            <w:tcW w:w="1769" w:type="dxa"/>
            <w:tcBorders>
              <w:top w:val="nil"/>
              <w:left w:val="nil"/>
              <w:bottom w:val="nil"/>
              <w:right w:val="nil"/>
            </w:tcBorders>
            <w:vAlign w:val="bottom"/>
          </w:tcPr>
          <w:p w14:paraId="755CA7E8" w14:textId="42853DF2" w:rsidR="00015A86" w:rsidRPr="00A54231" w:rsidRDefault="00015A86" w:rsidP="004C356D">
            <w:pPr>
              <w:spacing w:after="0" w:line="240" w:lineRule="auto"/>
              <w:jc w:val="right"/>
              <w:rPr>
                <w:sz w:val="20"/>
                <w:szCs w:val="20"/>
              </w:rPr>
            </w:pPr>
            <w:r w:rsidRPr="00A54231">
              <w:rPr>
                <w:color w:val="000000"/>
                <w:sz w:val="20"/>
                <w:szCs w:val="20"/>
              </w:rPr>
              <w:t>-80.49</w:t>
            </w:r>
          </w:p>
        </w:tc>
      </w:tr>
      <w:tr w:rsidR="00015A86" w:rsidRPr="007239A6" w14:paraId="6D68A418" w14:textId="7EA25C73" w:rsidTr="00181ACD">
        <w:trPr>
          <w:trHeight w:val="288"/>
        </w:trPr>
        <w:tc>
          <w:tcPr>
            <w:tcW w:w="1586" w:type="dxa"/>
            <w:tcBorders>
              <w:top w:val="nil"/>
              <w:left w:val="nil"/>
              <w:bottom w:val="nil"/>
              <w:right w:val="nil"/>
            </w:tcBorders>
            <w:shd w:val="clear" w:color="auto" w:fill="auto"/>
            <w:noWrap/>
            <w:vAlign w:val="bottom"/>
            <w:hideMark/>
          </w:tcPr>
          <w:p w14:paraId="1DD4A0F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East Hampton</w:t>
            </w:r>
          </w:p>
        </w:tc>
        <w:tc>
          <w:tcPr>
            <w:tcW w:w="1261" w:type="dxa"/>
            <w:tcBorders>
              <w:top w:val="nil"/>
              <w:left w:val="nil"/>
              <w:bottom w:val="nil"/>
              <w:right w:val="nil"/>
            </w:tcBorders>
            <w:shd w:val="clear" w:color="auto" w:fill="auto"/>
            <w:noWrap/>
            <w:vAlign w:val="bottom"/>
          </w:tcPr>
          <w:p w14:paraId="013052D8" w14:textId="7A1A2F93" w:rsidR="00015A86" w:rsidRPr="007239A6" w:rsidRDefault="00015A86" w:rsidP="004C356D">
            <w:pPr>
              <w:spacing w:after="0" w:line="240" w:lineRule="auto"/>
              <w:jc w:val="right"/>
              <w:rPr>
                <w:color w:val="000000"/>
                <w:sz w:val="22"/>
                <w:szCs w:val="22"/>
                <w:lang w:bidi="ar-SA"/>
              </w:rPr>
            </w:pPr>
            <w:r w:rsidRPr="007239A6">
              <w:rPr>
                <w:sz w:val="20"/>
                <w:szCs w:val="20"/>
              </w:rPr>
              <w:t>640.1</w:t>
            </w:r>
          </w:p>
        </w:tc>
        <w:tc>
          <w:tcPr>
            <w:tcW w:w="1293" w:type="dxa"/>
            <w:tcBorders>
              <w:top w:val="nil"/>
              <w:left w:val="nil"/>
              <w:bottom w:val="nil"/>
              <w:right w:val="nil"/>
            </w:tcBorders>
            <w:shd w:val="clear" w:color="auto" w:fill="auto"/>
            <w:noWrap/>
            <w:vAlign w:val="bottom"/>
          </w:tcPr>
          <w:p w14:paraId="35E6C88A" w14:textId="386AE4C6" w:rsidR="00015A86" w:rsidRPr="007239A6" w:rsidRDefault="00015A86" w:rsidP="004C356D">
            <w:pPr>
              <w:spacing w:after="0" w:line="240" w:lineRule="auto"/>
              <w:jc w:val="right"/>
              <w:rPr>
                <w:color w:val="000000"/>
                <w:sz w:val="22"/>
                <w:szCs w:val="22"/>
                <w:lang w:bidi="ar-SA"/>
              </w:rPr>
            </w:pPr>
            <w:r w:rsidRPr="007239A6">
              <w:rPr>
                <w:sz w:val="20"/>
                <w:szCs w:val="20"/>
              </w:rPr>
              <w:t xml:space="preserve">49 </w:t>
            </w:r>
          </w:p>
        </w:tc>
        <w:tc>
          <w:tcPr>
            <w:tcW w:w="1650" w:type="dxa"/>
            <w:tcBorders>
              <w:top w:val="nil"/>
              <w:left w:val="nil"/>
              <w:bottom w:val="nil"/>
              <w:right w:val="nil"/>
            </w:tcBorders>
            <w:shd w:val="clear" w:color="auto" w:fill="auto"/>
            <w:noWrap/>
            <w:vAlign w:val="bottom"/>
          </w:tcPr>
          <w:p w14:paraId="71A82614" w14:textId="2BD27559" w:rsidR="00015A86" w:rsidRPr="007239A6" w:rsidRDefault="00015A86" w:rsidP="004C356D">
            <w:pPr>
              <w:spacing w:after="0" w:line="240" w:lineRule="auto"/>
              <w:jc w:val="right"/>
              <w:rPr>
                <w:color w:val="000000"/>
                <w:sz w:val="22"/>
                <w:szCs w:val="22"/>
                <w:lang w:bidi="ar-SA"/>
              </w:rPr>
            </w:pPr>
            <w:r w:rsidRPr="007239A6">
              <w:rPr>
                <w:sz w:val="20"/>
                <w:szCs w:val="20"/>
              </w:rPr>
              <w:t>956.6</w:t>
            </w:r>
          </w:p>
        </w:tc>
        <w:tc>
          <w:tcPr>
            <w:tcW w:w="1289" w:type="dxa"/>
            <w:tcBorders>
              <w:top w:val="nil"/>
              <w:left w:val="nil"/>
              <w:bottom w:val="nil"/>
              <w:right w:val="nil"/>
            </w:tcBorders>
            <w:shd w:val="clear" w:color="auto" w:fill="auto"/>
            <w:noWrap/>
            <w:vAlign w:val="bottom"/>
          </w:tcPr>
          <w:p w14:paraId="5AC9D1AA" w14:textId="0517E885" w:rsidR="00015A86" w:rsidRPr="007239A6" w:rsidRDefault="00015A86" w:rsidP="004C356D">
            <w:pPr>
              <w:spacing w:after="0" w:line="240" w:lineRule="auto"/>
              <w:jc w:val="right"/>
              <w:rPr>
                <w:color w:val="000000"/>
                <w:sz w:val="22"/>
                <w:szCs w:val="22"/>
                <w:lang w:bidi="ar-SA"/>
              </w:rPr>
            </w:pPr>
            <w:r w:rsidRPr="007239A6">
              <w:rPr>
                <w:sz w:val="20"/>
                <w:szCs w:val="20"/>
              </w:rPr>
              <w:t xml:space="preserve">74 </w:t>
            </w:r>
          </w:p>
        </w:tc>
        <w:tc>
          <w:tcPr>
            <w:tcW w:w="1769" w:type="dxa"/>
            <w:tcBorders>
              <w:top w:val="nil"/>
              <w:left w:val="nil"/>
              <w:bottom w:val="nil"/>
              <w:right w:val="nil"/>
            </w:tcBorders>
            <w:vAlign w:val="bottom"/>
          </w:tcPr>
          <w:p w14:paraId="5F5670F3" w14:textId="626266DE" w:rsidR="00015A86" w:rsidRPr="00A54231" w:rsidRDefault="00015A86" w:rsidP="004C356D">
            <w:pPr>
              <w:spacing w:after="0" w:line="240" w:lineRule="auto"/>
              <w:jc w:val="right"/>
              <w:rPr>
                <w:sz w:val="20"/>
                <w:szCs w:val="20"/>
              </w:rPr>
            </w:pPr>
            <w:r w:rsidRPr="00A54231">
              <w:rPr>
                <w:color w:val="000000"/>
                <w:sz w:val="20"/>
                <w:szCs w:val="20"/>
              </w:rPr>
              <w:t>52.46</w:t>
            </w:r>
          </w:p>
        </w:tc>
      </w:tr>
      <w:tr w:rsidR="00015A86" w:rsidRPr="007239A6" w14:paraId="10A2CCB9" w14:textId="1237FF49" w:rsidTr="00181ACD">
        <w:trPr>
          <w:trHeight w:val="288"/>
        </w:trPr>
        <w:tc>
          <w:tcPr>
            <w:tcW w:w="1586" w:type="dxa"/>
            <w:tcBorders>
              <w:top w:val="nil"/>
              <w:left w:val="nil"/>
              <w:bottom w:val="nil"/>
              <w:right w:val="nil"/>
            </w:tcBorders>
            <w:shd w:val="clear" w:color="auto" w:fill="auto"/>
            <w:noWrap/>
            <w:vAlign w:val="bottom"/>
            <w:hideMark/>
          </w:tcPr>
          <w:p w14:paraId="626C2E7E"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East Hartford</w:t>
            </w:r>
          </w:p>
        </w:tc>
        <w:tc>
          <w:tcPr>
            <w:tcW w:w="1261" w:type="dxa"/>
            <w:tcBorders>
              <w:top w:val="nil"/>
              <w:left w:val="nil"/>
              <w:bottom w:val="nil"/>
              <w:right w:val="nil"/>
            </w:tcBorders>
            <w:shd w:val="clear" w:color="auto" w:fill="auto"/>
            <w:noWrap/>
            <w:vAlign w:val="bottom"/>
          </w:tcPr>
          <w:p w14:paraId="6B4088B0" w14:textId="59A01549" w:rsidR="00015A86" w:rsidRPr="007239A6" w:rsidRDefault="00015A86" w:rsidP="004C356D">
            <w:pPr>
              <w:spacing w:after="0" w:line="240" w:lineRule="auto"/>
              <w:jc w:val="right"/>
              <w:rPr>
                <w:color w:val="000000"/>
                <w:sz w:val="22"/>
                <w:szCs w:val="22"/>
                <w:lang w:bidi="ar-SA"/>
              </w:rPr>
            </w:pPr>
            <w:r w:rsidRPr="007239A6">
              <w:rPr>
                <w:sz w:val="20"/>
                <w:szCs w:val="20"/>
              </w:rPr>
              <w:t>7,203.3</w:t>
            </w:r>
          </w:p>
        </w:tc>
        <w:tc>
          <w:tcPr>
            <w:tcW w:w="1293" w:type="dxa"/>
            <w:tcBorders>
              <w:top w:val="nil"/>
              <w:left w:val="nil"/>
              <w:bottom w:val="nil"/>
              <w:right w:val="nil"/>
            </w:tcBorders>
            <w:shd w:val="clear" w:color="auto" w:fill="auto"/>
            <w:noWrap/>
            <w:vAlign w:val="bottom"/>
          </w:tcPr>
          <w:p w14:paraId="25C8BDE0" w14:textId="77D74755" w:rsidR="00015A86" w:rsidRPr="007239A6" w:rsidRDefault="00015A86" w:rsidP="004C356D">
            <w:pPr>
              <w:spacing w:after="0" w:line="240" w:lineRule="auto"/>
              <w:jc w:val="right"/>
              <w:rPr>
                <w:color w:val="000000"/>
                <w:sz w:val="22"/>
                <w:szCs w:val="22"/>
                <w:lang w:bidi="ar-SA"/>
              </w:rPr>
            </w:pPr>
            <w:r w:rsidRPr="007239A6">
              <w:rPr>
                <w:sz w:val="20"/>
                <w:szCs w:val="20"/>
              </w:rPr>
              <w:t xml:space="preserve">141 </w:t>
            </w:r>
          </w:p>
        </w:tc>
        <w:tc>
          <w:tcPr>
            <w:tcW w:w="1650" w:type="dxa"/>
            <w:tcBorders>
              <w:top w:val="nil"/>
              <w:left w:val="nil"/>
              <w:bottom w:val="nil"/>
              <w:right w:val="nil"/>
            </w:tcBorders>
            <w:shd w:val="clear" w:color="auto" w:fill="auto"/>
            <w:noWrap/>
            <w:vAlign w:val="bottom"/>
          </w:tcPr>
          <w:p w14:paraId="2129109F" w14:textId="43ECAB1A" w:rsidR="00015A86" w:rsidRPr="007239A6" w:rsidRDefault="00015A86" w:rsidP="004C356D">
            <w:pPr>
              <w:spacing w:after="0" w:line="240" w:lineRule="auto"/>
              <w:jc w:val="right"/>
              <w:rPr>
                <w:color w:val="000000"/>
                <w:sz w:val="22"/>
                <w:szCs w:val="22"/>
                <w:lang w:bidi="ar-SA"/>
              </w:rPr>
            </w:pPr>
            <w:r w:rsidRPr="007239A6">
              <w:rPr>
                <w:sz w:val="20"/>
                <w:szCs w:val="20"/>
              </w:rPr>
              <w:t>7529.9</w:t>
            </w:r>
          </w:p>
        </w:tc>
        <w:tc>
          <w:tcPr>
            <w:tcW w:w="1289" w:type="dxa"/>
            <w:tcBorders>
              <w:top w:val="nil"/>
              <w:left w:val="nil"/>
              <w:bottom w:val="nil"/>
              <w:right w:val="nil"/>
            </w:tcBorders>
            <w:shd w:val="clear" w:color="auto" w:fill="auto"/>
            <w:noWrap/>
            <w:vAlign w:val="bottom"/>
          </w:tcPr>
          <w:p w14:paraId="3F6F59DC" w14:textId="013FE84C" w:rsidR="00015A86" w:rsidRPr="007239A6" w:rsidRDefault="00015A86" w:rsidP="004C356D">
            <w:pPr>
              <w:spacing w:after="0" w:line="240" w:lineRule="auto"/>
              <w:jc w:val="right"/>
              <w:rPr>
                <w:color w:val="000000"/>
                <w:sz w:val="22"/>
                <w:szCs w:val="22"/>
                <w:lang w:bidi="ar-SA"/>
              </w:rPr>
            </w:pPr>
            <w:r w:rsidRPr="007239A6">
              <w:rPr>
                <w:sz w:val="20"/>
                <w:szCs w:val="20"/>
              </w:rPr>
              <w:t xml:space="preserve">147 </w:t>
            </w:r>
          </w:p>
        </w:tc>
        <w:tc>
          <w:tcPr>
            <w:tcW w:w="1769" w:type="dxa"/>
            <w:tcBorders>
              <w:top w:val="nil"/>
              <w:left w:val="nil"/>
              <w:bottom w:val="nil"/>
              <w:right w:val="nil"/>
            </w:tcBorders>
            <w:vAlign w:val="bottom"/>
          </w:tcPr>
          <w:p w14:paraId="5A5B0023" w14:textId="571A4D13" w:rsidR="00015A86" w:rsidRPr="00A54231" w:rsidRDefault="00015A86" w:rsidP="004C356D">
            <w:pPr>
              <w:spacing w:after="0" w:line="240" w:lineRule="auto"/>
              <w:jc w:val="right"/>
              <w:rPr>
                <w:sz w:val="20"/>
                <w:szCs w:val="20"/>
              </w:rPr>
            </w:pPr>
            <w:r w:rsidRPr="00A54231">
              <w:rPr>
                <w:color w:val="000000"/>
                <w:sz w:val="20"/>
                <w:szCs w:val="20"/>
              </w:rPr>
              <w:t>735.44</w:t>
            </w:r>
          </w:p>
        </w:tc>
      </w:tr>
      <w:tr w:rsidR="00015A86" w:rsidRPr="007239A6" w14:paraId="6C5B8BD3" w14:textId="70211E65" w:rsidTr="00181ACD">
        <w:trPr>
          <w:trHeight w:val="288"/>
        </w:trPr>
        <w:tc>
          <w:tcPr>
            <w:tcW w:w="1586" w:type="dxa"/>
            <w:tcBorders>
              <w:top w:val="nil"/>
              <w:left w:val="nil"/>
              <w:bottom w:val="nil"/>
              <w:right w:val="nil"/>
            </w:tcBorders>
            <w:shd w:val="clear" w:color="auto" w:fill="auto"/>
            <w:noWrap/>
            <w:vAlign w:val="bottom"/>
            <w:hideMark/>
          </w:tcPr>
          <w:p w14:paraId="509484B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East Haven</w:t>
            </w:r>
          </w:p>
        </w:tc>
        <w:tc>
          <w:tcPr>
            <w:tcW w:w="1261" w:type="dxa"/>
            <w:tcBorders>
              <w:top w:val="nil"/>
              <w:left w:val="nil"/>
              <w:bottom w:val="nil"/>
              <w:right w:val="nil"/>
            </w:tcBorders>
            <w:shd w:val="clear" w:color="auto" w:fill="auto"/>
            <w:noWrap/>
            <w:vAlign w:val="bottom"/>
          </w:tcPr>
          <w:p w14:paraId="6CB41A19" w14:textId="6D5D6729" w:rsidR="00015A86" w:rsidRPr="007239A6" w:rsidRDefault="00015A86" w:rsidP="004C356D">
            <w:pPr>
              <w:spacing w:after="0" w:line="240" w:lineRule="auto"/>
              <w:jc w:val="right"/>
              <w:rPr>
                <w:color w:val="000000"/>
                <w:sz w:val="22"/>
                <w:szCs w:val="22"/>
                <w:lang w:bidi="ar-SA"/>
              </w:rPr>
            </w:pPr>
            <w:r w:rsidRPr="007239A6">
              <w:rPr>
                <w:sz w:val="20"/>
                <w:szCs w:val="20"/>
              </w:rPr>
              <w:t>3,198.1</w:t>
            </w:r>
          </w:p>
        </w:tc>
        <w:tc>
          <w:tcPr>
            <w:tcW w:w="1293" w:type="dxa"/>
            <w:tcBorders>
              <w:top w:val="nil"/>
              <w:left w:val="nil"/>
              <w:bottom w:val="nil"/>
              <w:right w:val="nil"/>
            </w:tcBorders>
            <w:shd w:val="clear" w:color="auto" w:fill="auto"/>
            <w:noWrap/>
            <w:vAlign w:val="bottom"/>
          </w:tcPr>
          <w:p w14:paraId="545A2512" w14:textId="18D88C0E" w:rsidR="00015A86" w:rsidRPr="007239A6" w:rsidRDefault="00015A86" w:rsidP="004C356D">
            <w:pPr>
              <w:spacing w:after="0" w:line="240" w:lineRule="auto"/>
              <w:jc w:val="right"/>
              <w:rPr>
                <w:color w:val="000000"/>
                <w:sz w:val="22"/>
                <w:szCs w:val="22"/>
                <w:lang w:bidi="ar-SA"/>
              </w:rPr>
            </w:pPr>
            <w:r w:rsidRPr="007239A6">
              <w:rPr>
                <w:sz w:val="20"/>
                <w:szCs w:val="20"/>
              </w:rPr>
              <w:t xml:space="preserve">110 </w:t>
            </w:r>
          </w:p>
        </w:tc>
        <w:tc>
          <w:tcPr>
            <w:tcW w:w="1650" w:type="dxa"/>
            <w:tcBorders>
              <w:top w:val="nil"/>
              <w:left w:val="nil"/>
              <w:bottom w:val="nil"/>
              <w:right w:val="nil"/>
            </w:tcBorders>
            <w:shd w:val="clear" w:color="auto" w:fill="auto"/>
            <w:noWrap/>
            <w:vAlign w:val="bottom"/>
          </w:tcPr>
          <w:p w14:paraId="214D0446" w14:textId="696CE121" w:rsidR="00015A86" w:rsidRPr="007239A6" w:rsidRDefault="00015A86" w:rsidP="004C356D">
            <w:pPr>
              <w:spacing w:after="0" w:line="240" w:lineRule="auto"/>
              <w:jc w:val="right"/>
              <w:rPr>
                <w:color w:val="000000"/>
                <w:sz w:val="22"/>
                <w:szCs w:val="22"/>
                <w:lang w:bidi="ar-SA"/>
              </w:rPr>
            </w:pPr>
            <w:r w:rsidRPr="007239A6">
              <w:rPr>
                <w:sz w:val="20"/>
                <w:szCs w:val="20"/>
              </w:rPr>
              <w:t>3140.7</w:t>
            </w:r>
          </w:p>
        </w:tc>
        <w:tc>
          <w:tcPr>
            <w:tcW w:w="1289" w:type="dxa"/>
            <w:tcBorders>
              <w:top w:val="nil"/>
              <w:left w:val="nil"/>
              <w:bottom w:val="nil"/>
              <w:right w:val="nil"/>
            </w:tcBorders>
            <w:shd w:val="clear" w:color="auto" w:fill="auto"/>
            <w:noWrap/>
            <w:vAlign w:val="bottom"/>
          </w:tcPr>
          <w:p w14:paraId="22A9B804" w14:textId="0BBF6502" w:rsidR="00015A86" w:rsidRPr="007239A6" w:rsidRDefault="00015A86" w:rsidP="004C356D">
            <w:pPr>
              <w:spacing w:after="0" w:line="240" w:lineRule="auto"/>
              <w:jc w:val="right"/>
              <w:rPr>
                <w:color w:val="000000"/>
                <w:sz w:val="22"/>
                <w:szCs w:val="22"/>
                <w:lang w:bidi="ar-SA"/>
              </w:rPr>
            </w:pPr>
            <w:r w:rsidRPr="007239A6">
              <w:rPr>
                <w:sz w:val="20"/>
                <w:szCs w:val="20"/>
              </w:rPr>
              <w:t xml:space="preserve">108 </w:t>
            </w:r>
          </w:p>
        </w:tc>
        <w:tc>
          <w:tcPr>
            <w:tcW w:w="1769" w:type="dxa"/>
            <w:tcBorders>
              <w:top w:val="nil"/>
              <w:left w:val="nil"/>
              <w:bottom w:val="nil"/>
              <w:right w:val="nil"/>
            </w:tcBorders>
            <w:vAlign w:val="bottom"/>
          </w:tcPr>
          <w:p w14:paraId="0057EDD8" w14:textId="06A2DFDF" w:rsidR="00015A86" w:rsidRPr="00A54231" w:rsidRDefault="00015A86" w:rsidP="004C356D">
            <w:pPr>
              <w:spacing w:after="0" w:line="240" w:lineRule="auto"/>
              <w:jc w:val="right"/>
              <w:rPr>
                <w:sz w:val="20"/>
                <w:szCs w:val="20"/>
              </w:rPr>
            </w:pPr>
            <w:r w:rsidRPr="00A54231">
              <w:rPr>
                <w:color w:val="000000"/>
                <w:sz w:val="20"/>
                <w:szCs w:val="20"/>
              </w:rPr>
              <w:t>355.09</w:t>
            </w:r>
          </w:p>
        </w:tc>
      </w:tr>
      <w:tr w:rsidR="00015A86" w:rsidRPr="007239A6" w14:paraId="09BB8509" w14:textId="484C1630" w:rsidTr="00181ACD">
        <w:trPr>
          <w:trHeight w:val="288"/>
        </w:trPr>
        <w:tc>
          <w:tcPr>
            <w:tcW w:w="1586" w:type="dxa"/>
            <w:tcBorders>
              <w:top w:val="nil"/>
              <w:left w:val="nil"/>
              <w:bottom w:val="nil"/>
              <w:right w:val="nil"/>
            </w:tcBorders>
            <w:shd w:val="clear" w:color="auto" w:fill="auto"/>
            <w:noWrap/>
            <w:vAlign w:val="bottom"/>
            <w:hideMark/>
          </w:tcPr>
          <w:p w14:paraId="0F1020C8"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East Lyme</w:t>
            </w:r>
          </w:p>
        </w:tc>
        <w:tc>
          <w:tcPr>
            <w:tcW w:w="1261" w:type="dxa"/>
            <w:tcBorders>
              <w:top w:val="nil"/>
              <w:left w:val="nil"/>
              <w:bottom w:val="nil"/>
              <w:right w:val="nil"/>
            </w:tcBorders>
            <w:shd w:val="clear" w:color="auto" w:fill="auto"/>
            <w:noWrap/>
            <w:vAlign w:val="bottom"/>
          </w:tcPr>
          <w:p w14:paraId="78C64755" w14:textId="334B8156" w:rsidR="00015A86" w:rsidRPr="007239A6" w:rsidRDefault="00015A86" w:rsidP="004C356D">
            <w:pPr>
              <w:spacing w:after="0" w:line="240" w:lineRule="auto"/>
              <w:jc w:val="right"/>
              <w:rPr>
                <w:color w:val="000000"/>
                <w:sz w:val="22"/>
                <w:szCs w:val="22"/>
                <w:lang w:bidi="ar-SA"/>
              </w:rPr>
            </w:pPr>
            <w:r w:rsidRPr="007239A6">
              <w:rPr>
                <w:sz w:val="20"/>
                <w:szCs w:val="20"/>
              </w:rPr>
              <w:t>1,338.1</w:t>
            </w:r>
          </w:p>
        </w:tc>
        <w:tc>
          <w:tcPr>
            <w:tcW w:w="1293" w:type="dxa"/>
            <w:tcBorders>
              <w:top w:val="nil"/>
              <w:left w:val="nil"/>
              <w:bottom w:val="nil"/>
              <w:right w:val="nil"/>
            </w:tcBorders>
            <w:shd w:val="clear" w:color="auto" w:fill="auto"/>
            <w:noWrap/>
            <w:vAlign w:val="bottom"/>
          </w:tcPr>
          <w:p w14:paraId="69AB8E4C" w14:textId="4681B872" w:rsidR="00015A86" w:rsidRPr="007239A6" w:rsidRDefault="00015A86" w:rsidP="004C356D">
            <w:pPr>
              <w:spacing w:after="0" w:line="240" w:lineRule="auto"/>
              <w:jc w:val="right"/>
              <w:rPr>
                <w:color w:val="000000"/>
                <w:sz w:val="22"/>
                <w:szCs w:val="22"/>
                <w:lang w:bidi="ar-SA"/>
              </w:rPr>
            </w:pPr>
            <w:r w:rsidRPr="007239A6">
              <w:rPr>
                <w:sz w:val="20"/>
                <w:szCs w:val="20"/>
              </w:rPr>
              <w:t xml:space="preserve">70 </w:t>
            </w:r>
          </w:p>
        </w:tc>
        <w:tc>
          <w:tcPr>
            <w:tcW w:w="1650" w:type="dxa"/>
            <w:tcBorders>
              <w:top w:val="nil"/>
              <w:left w:val="nil"/>
              <w:bottom w:val="nil"/>
              <w:right w:val="nil"/>
            </w:tcBorders>
            <w:shd w:val="clear" w:color="auto" w:fill="auto"/>
            <w:noWrap/>
            <w:vAlign w:val="bottom"/>
          </w:tcPr>
          <w:p w14:paraId="757EF4B7" w14:textId="1105A348" w:rsidR="00015A86" w:rsidRPr="007239A6" w:rsidRDefault="00015A86" w:rsidP="004C356D">
            <w:pPr>
              <w:spacing w:after="0" w:line="240" w:lineRule="auto"/>
              <w:jc w:val="right"/>
              <w:rPr>
                <w:color w:val="000000"/>
                <w:sz w:val="22"/>
                <w:szCs w:val="22"/>
                <w:lang w:bidi="ar-SA"/>
              </w:rPr>
            </w:pPr>
            <w:r w:rsidRPr="007239A6">
              <w:rPr>
                <w:sz w:val="20"/>
                <w:szCs w:val="20"/>
              </w:rPr>
              <w:t>1883.3</w:t>
            </w:r>
          </w:p>
        </w:tc>
        <w:tc>
          <w:tcPr>
            <w:tcW w:w="1289" w:type="dxa"/>
            <w:tcBorders>
              <w:top w:val="nil"/>
              <w:left w:val="nil"/>
              <w:bottom w:val="nil"/>
              <w:right w:val="nil"/>
            </w:tcBorders>
            <w:shd w:val="clear" w:color="auto" w:fill="auto"/>
            <w:noWrap/>
            <w:vAlign w:val="bottom"/>
          </w:tcPr>
          <w:p w14:paraId="227EFB08" w14:textId="4892B673" w:rsidR="00015A86" w:rsidRPr="007239A6" w:rsidRDefault="00015A86" w:rsidP="004C356D">
            <w:pPr>
              <w:spacing w:after="0" w:line="240" w:lineRule="auto"/>
              <w:jc w:val="right"/>
              <w:rPr>
                <w:color w:val="000000"/>
                <w:sz w:val="22"/>
                <w:szCs w:val="22"/>
                <w:lang w:bidi="ar-SA"/>
              </w:rPr>
            </w:pPr>
            <w:r w:rsidRPr="007239A6">
              <w:rPr>
                <w:sz w:val="20"/>
                <w:szCs w:val="20"/>
              </w:rPr>
              <w:t xml:space="preserve">99 </w:t>
            </w:r>
          </w:p>
        </w:tc>
        <w:tc>
          <w:tcPr>
            <w:tcW w:w="1769" w:type="dxa"/>
            <w:tcBorders>
              <w:top w:val="nil"/>
              <w:left w:val="nil"/>
              <w:bottom w:val="nil"/>
              <w:right w:val="nil"/>
            </w:tcBorders>
            <w:vAlign w:val="bottom"/>
          </w:tcPr>
          <w:p w14:paraId="47B4698E" w14:textId="27D5D5B9" w:rsidR="00015A86" w:rsidRPr="00A54231" w:rsidRDefault="00015A86" w:rsidP="004C356D">
            <w:pPr>
              <w:spacing w:after="0" w:line="240" w:lineRule="auto"/>
              <w:jc w:val="right"/>
              <w:rPr>
                <w:sz w:val="20"/>
                <w:szCs w:val="20"/>
              </w:rPr>
            </w:pPr>
            <w:r w:rsidRPr="00A54231">
              <w:rPr>
                <w:color w:val="000000"/>
                <w:sz w:val="20"/>
                <w:szCs w:val="20"/>
              </w:rPr>
              <w:t>-281.25</w:t>
            </w:r>
          </w:p>
        </w:tc>
      </w:tr>
      <w:tr w:rsidR="00015A86" w:rsidRPr="007239A6" w14:paraId="5320F6AF" w14:textId="6F424154" w:rsidTr="00181ACD">
        <w:trPr>
          <w:trHeight w:val="288"/>
        </w:trPr>
        <w:tc>
          <w:tcPr>
            <w:tcW w:w="1586" w:type="dxa"/>
            <w:tcBorders>
              <w:top w:val="nil"/>
              <w:left w:val="nil"/>
              <w:bottom w:val="nil"/>
              <w:right w:val="nil"/>
            </w:tcBorders>
            <w:shd w:val="clear" w:color="auto" w:fill="auto"/>
            <w:noWrap/>
            <w:vAlign w:val="bottom"/>
            <w:hideMark/>
          </w:tcPr>
          <w:p w14:paraId="79EB5E91"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East Windsor</w:t>
            </w:r>
          </w:p>
        </w:tc>
        <w:tc>
          <w:tcPr>
            <w:tcW w:w="1261" w:type="dxa"/>
            <w:tcBorders>
              <w:top w:val="nil"/>
              <w:left w:val="nil"/>
              <w:bottom w:val="nil"/>
              <w:right w:val="nil"/>
            </w:tcBorders>
            <w:shd w:val="clear" w:color="auto" w:fill="auto"/>
            <w:noWrap/>
            <w:vAlign w:val="bottom"/>
          </w:tcPr>
          <w:p w14:paraId="5597D8A3" w14:textId="72AD9A61" w:rsidR="00015A86" w:rsidRPr="007239A6" w:rsidRDefault="00015A86" w:rsidP="004C356D">
            <w:pPr>
              <w:spacing w:after="0" w:line="240" w:lineRule="auto"/>
              <w:jc w:val="right"/>
              <w:rPr>
                <w:color w:val="000000"/>
                <w:sz w:val="22"/>
                <w:szCs w:val="22"/>
                <w:lang w:bidi="ar-SA"/>
              </w:rPr>
            </w:pPr>
            <w:r w:rsidRPr="007239A6">
              <w:rPr>
                <w:sz w:val="20"/>
                <w:szCs w:val="20"/>
              </w:rPr>
              <w:t>1,752.6</w:t>
            </w:r>
          </w:p>
        </w:tc>
        <w:tc>
          <w:tcPr>
            <w:tcW w:w="1293" w:type="dxa"/>
            <w:tcBorders>
              <w:top w:val="nil"/>
              <w:left w:val="nil"/>
              <w:bottom w:val="nil"/>
              <w:right w:val="nil"/>
            </w:tcBorders>
            <w:shd w:val="clear" w:color="auto" w:fill="auto"/>
            <w:noWrap/>
            <w:vAlign w:val="bottom"/>
          </w:tcPr>
          <w:p w14:paraId="3D5EB7B6" w14:textId="798DD290" w:rsidR="00015A86" w:rsidRPr="007239A6" w:rsidRDefault="00015A86" w:rsidP="004C356D">
            <w:pPr>
              <w:spacing w:after="0" w:line="240" w:lineRule="auto"/>
              <w:jc w:val="right"/>
              <w:rPr>
                <w:color w:val="000000"/>
                <w:sz w:val="22"/>
                <w:szCs w:val="22"/>
                <w:lang w:bidi="ar-SA"/>
              </w:rPr>
            </w:pPr>
            <w:r w:rsidRPr="007239A6">
              <w:rPr>
                <w:sz w:val="20"/>
                <w:szCs w:val="20"/>
              </w:rPr>
              <w:t xml:space="preserve">155 </w:t>
            </w:r>
          </w:p>
        </w:tc>
        <w:tc>
          <w:tcPr>
            <w:tcW w:w="1650" w:type="dxa"/>
            <w:tcBorders>
              <w:top w:val="nil"/>
              <w:left w:val="nil"/>
              <w:bottom w:val="nil"/>
              <w:right w:val="nil"/>
            </w:tcBorders>
            <w:shd w:val="clear" w:color="auto" w:fill="auto"/>
            <w:noWrap/>
            <w:vAlign w:val="bottom"/>
          </w:tcPr>
          <w:p w14:paraId="75BA9A6E" w14:textId="2055B10A" w:rsidR="00015A86" w:rsidRPr="007239A6" w:rsidRDefault="00015A86" w:rsidP="004C356D">
            <w:pPr>
              <w:spacing w:after="0" w:line="240" w:lineRule="auto"/>
              <w:jc w:val="right"/>
              <w:rPr>
                <w:color w:val="000000"/>
                <w:sz w:val="22"/>
                <w:szCs w:val="22"/>
                <w:lang w:bidi="ar-SA"/>
              </w:rPr>
            </w:pPr>
            <w:r w:rsidRPr="007239A6">
              <w:rPr>
                <w:sz w:val="20"/>
                <w:szCs w:val="20"/>
              </w:rPr>
              <w:t>1733.0</w:t>
            </w:r>
          </w:p>
        </w:tc>
        <w:tc>
          <w:tcPr>
            <w:tcW w:w="1289" w:type="dxa"/>
            <w:tcBorders>
              <w:top w:val="nil"/>
              <w:left w:val="nil"/>
              <w:bottom w:val="nil"/>
              <w:right w:val="nil"/>
            </w:tcBorders>
            <w:shd w:val="clear" w:color="auto" w:fill="auto"/>
            <w:noWrap/>
            <w:vAlign w:val="bottom"/>
          </w:tcPr>
          <w:p w14:paraId="12C35B96" w14:textId="3F6E2C03" w:rsidR="00015A86" w:rsidRPr="007239A6" w:rsidRDefault="00015A86" w:rsidP="004C356D">
            <w:pPr>
              <w:spacing w:after="0" w:line="240" w:lineRule="auto"/>
              <w:jc w:val="right"/>
              <w:rPr>
                <w:color w:val="000000"/>
                <w:sz w:val="22"/>
                <w:szCs w:val="22"/>
                <w:lang w:bidi="ar-SA"/>
              </w:rPr>
            </w:pPr>
            <w:r w:rsidRPr="007239A6">
              <w:rPr>
                <w:sz w:val="20"/>
                <w:szCs w:val="20"/>
              </w:rPr>
              <w:t xml:space="preserve">154 </w:t>
            </w:r>
          </w:p>
        </w:tc>
        <w:tc>
          <w:tcPr>
            <w:tcW w:w="1769" w:type="dxa"/>
            <w:tcBorders>
              <w:top w:val="nil"/>
              <w:left w:val="nil"/>
              <w:bottom w:val="nil"/>
              <w:right w:val="nil"/>
            </w:tcBorders>
            <w:vAlign w:val="bottom"/>
          </w:tcPr>
          <w:p w14:paraId="007B310B" w14:textId="0CC958CC" w:rsidR="00015A86" w:rsidRPr="00A54231" w:rsidRDefault="00015A86" w:rsidP="004C356D">
            <w:pPr>
              <w:spacing w:after="0" w:line="240" w:lineRule="auto"/>
              <w:jc w:val="right"/>
              <w:rPr>
                <w:sz w:val="20"/>
                <w:szCs w:val="20"/>
              </w:rPr>
            </w:pPr>
            <w:r w:rsidRPr="00A54231">
              <w:rPr>
                <w:color w:val="000000"/>
                <w:sz w:val="20"/>
                <w:szCs w:val="20"/>
              </w:rPr>
              <w:t>160.16</w:t>
            </w:r>
          </w:p>
        </w:tc>
      </w:tr>
      <w:tr w:rsidR="00015A86" w:rsidRPr="007239A6" w14:paraId="0CBFD187" w14:textId="111535AF" w:rsidTr="00181ACD">
        <w:trPr>
          <w:trHeight w:val="288"/>
        </w:trPr>
        <w:tc>
          <w:tcPr>
            <w:tcW w:w="1586" w:type="dxa"/>
            <w:tcBorders>
              <w:top w:val="nil"/>
              <w:left w:val="nil"/>
              <w:bottom w:val="nil"/>
              <w:right w:val="nil"/>
            </w:tcBorders>
            <w:shd w:val="clear" w:color="auto" w:fill="auto"/>
            <w:noWrap/>
            <w:vAlign w:val="bottom"/>
            <w:hideMark/>
          </w:tcPr>
          <w:p w14:paraId="32A47B9B"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Eastford</w:t>
            </w:r>
          </w:p>
        </w:tc>
        <w:tc>
          <w:tcPr>
            <w:tcW w:w="1261" w:type="dxa"/>
            <w:tcBorders>
              <w:top w:val="nil"/>
              <w:left w:val="nil"/>
              <w:bottom w:val="nil"/>
              <w:right w:val="nil"/>
            </w:tcBorders>
            <w:shd w:val="clear" w:color="auto" w:fill="auto"/>
            <w:noWrap/>
            <w:vAlign w:val="bottom"/>
          </w:tcPr>
          <w:p w14:paraId="6B26AF97" w14:textId="090868CA" w:rsidR="00015A86" w:rsidRPr="007239A6" w:rsidRDefault="00015A86" w:rsidP="004C356D">
            <w:pPr>
              <w:spacing w:after="0" w:line="240" w:lineRule="auto"/>
              <w:jc w:val="right"/>
              <w:rPr>
                <w:color w:val="000000"/>
                <w:sz w:val="22"/>
                <w:szCs w:val="22"/>
                <w:lang w:bidi="ar-SA"/>
              </w:rPr>
            </w:pPr>
            <w:r w:rsidRPr="007239A6">
              <w:rPr>
                <w:sz w:val="20"/>
                <w:szCs w:val="20"/>
              </w:rPr>
              <w:t>92.2</w:t>
            </w:r>
          </w:p>
        </w:tc>
        <w:tc>
          <w:tcPr>
            <w:tcW w:w="1293" w:type="dxa"/>
            <w:tcBorders>
              <w:top w:val="nil"/>
              <w:left w:val="nil"/>
              <w:bottom w:val="nil"/>
              <w:right w:val="nil"/>
            </w:tcBorders>
            <w:shd w:val="clear" w:color="auto" w:fill="auto"/>
            <w:noWrap/>
            <w:vAlign w:val="bottom"/>
          </w:tcPr>
          <w:p w14:paraId="462B1C3B" w14:textId="50D3E6C2" w:rsidR="00015A86" w:rsidRPr="007239A6" w:rsidRDefault="00015A86" w:rsidP="004C356D">
            <w:pPr>
              <w:spacing w:after="0" w:line="240" w:lineRule="auto"/>
              <w:jc w:val="right"/>
              <w:rPr>
                <w:color w:val="000000"/>
                <w:sz w:val="22"/>
                <w:szCs w:val="22"/>
                <w:lang w:bidi="ar-SA"/>
              </w:rPr>
            </w:pPr>
            <w:r w:rsidRPr="007239A6">
              <w:rPr>
                <w:sz w:val="20"/>
                <w:szCs w:val="20"/>
              </w:rPr>
              <w:t xml:space="preserve">56 </w:t>
            </w:r>
          </w:p>
        </w:tc>
        <w:tc>
          <w:tcPr>
            <w:tcW w:w="1650" w:type="dxa"/>
            <w:tcBorders>
              <w:top w:val="nil"/>
              <w:left w:val="nil"/>
              <w:bottom w:val="nil"/>
              <w:right w:val="nil"/>
            </w:tcBorders>
            <w:shd w:val="clear" w:color="auto" w:fill="auto"/>
            <w:noWrap/>
            <w:vAlign w:val="bottom"/>
          </w:tcPr>
          <w:p w14:paraId="7EE6DE51" w14:textId="127582BC" w:rsidR="00015A86" w:rsidRPr="007239A6" w:rsidRDefault="00015A86" w:rsidP="004C356D">
            <w:pPr>
              <w:spacing w:after="0" w:line="240" w:lineRule="auto"/>
              <w:jc w:val="right"/>
              <w:rPr>
                <w:color w:val="000000"/>
                <w:sz w:val="22"/>
                <w:szCs w:val="22"/>
                <w:lang w:bidi="ar-SA"/>
              </w:rPr>
            </w:pPr>
            <w:r w:rsidRPr="007239A6">
              <w:rPr>
                <w:sz w:val="20"/>
                <w:szCs w:val="20"/>
              </w:rPr>
              <w:t>122.6</w:t>
            </w:r>
          </w:p>
        </w:tc>
        <w:tc>
          <w:tcPr>
            <w:tcW w:w="1289" w:type="dxa"/>
            <w:tcBorders>
              <w:top w:val="nil"/>
              <w:left w:val="nil"/>
              <w:bottom w:val="nil"/>
              <w:right w:val="nil"/>
            </w:tcBorders>
            <w:shd w:val="clear" w:color="auto" w:fill="auto"/>
            <w:noWrap/>
            <w:vAlign w:val="bottom"/>
          </w:tcPr>
          <w:p w14:paraId="79EBD64A" w14:textId="009B432A" w:rsidR="00015A86" w:rsidRPr="007239A6" w:rsidRDefault="00015A86" w:rsidP="004C356D">
            <w:pPr>
              <w:spacing w:after="0" w:line="240" w:lineRule="auto"/>
              <w:jc w:val="right"/>
              <w:rPr>
                <w:color w:val="000000"/>
                <w:sz w:val="22"/>
                <w:szCs w:val="22"/>
                <w:lang w:bidi="ar-SA"/>
              </w:rPr>
            </w:pPr>
            <w:r w:rsidRPr="007239A6">
              <w:rPr>
                <w:sz w:val="20"/>
                <w:szCs w:val="20"/>
              </w:rPr>
              <w:t xml:space="preserve">74 </w:t>
            </w:r>
          </w:p>
        </w:tc>
        <w:tc>
          <w:tcPr>
            <w:tcW w:w="1769" w:type="dxa"/>
            <w:tcBorders>
              <w:top w:val="nil"/>
              <w:left w:val="nil"/>
              <w:bottom w:val="nil"/>
              <w:right w:val="nil"/>
            </w:tcBorders>
            <w:vAlign w:val="bottom"/>
          </w:tcPr>
          <w:p w14:paraId="5FF41A2F" w14:textId="3D8C3C26" w:rsidR="00015A86" w:rsidRPr="00A54231" w:rsidRDefault="00015A86" w:rsidP="004C356D">
            <w:pPr>
              <w:spacing w:after="0" w:line="240" w:lineRule="auto"/>
              <w:jc w:val="right"/>
              <w:rPr>
                <w:sz w:val="20"/>
                <w:szCs w:val="20"/>
              </w:rPr>
            </w:pPr>
            <w:r w:rsidRPr="00A54231">
              <w:rPr>
                <w:color w:val="000000"/>
                <w:sz w:val="20"/>
                <w:szCs w:val="20"/>
              </w:rPr>
              <w:t>77.51</w:t>
            </w:r>
          </w:p>
        </w:tc>
      </w:tr>
      <w:tr w:rsidR="00015A86" w:rsidRPr="007239A6" w14:paraId="70519C58" w14:textId="329D5950" w:rsidTr="00181ACD">
        <w:trPr>
          <w:trHeight w:val="288"/>
        </w:trPr>
        <w:tc>
          <w:tcPr>
            <w:tcW w:w="1586" w:type="dxa"/>
            <w:tcBorders>
              <w:top w:val="nil"/>
              <w:left w:val="nil"/>
              <w:bottom w:val="nil"/>
              <w:right w:val="nil"/>
            </w:tcBorders>
            <w:shd w:val="clear" w:color="auto" w:fill="auto"/>
            <w:noWrap/>
            <w:vAlign w:val="bottom"/>
            <w:hideMark/>
          </w:tcPr>
          <w:p w14:paraId="35D5DED1"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Easton</w:t>
            </w:r>
          </w:p>
        </w:tc>
        <w:tc>
          <w:tcPr>
            <w:tcW w:w="1261" w:type="dxa"/>
            <w:tcBorders>
              <w:top w:val="nil"/>
              <w:left w:val="nil"/>
              <w:bottom w:val="nil"/>
              <w:right w:val="nil"/>
            </w:tcBorders>
            <w:shd w:val="clear" w:color="auto" w:fill="auto"/>
            <w:noWrap/>
            <w:vAlign w:val="bottom"/>
          </w:tcPr>
          <w:p w14:paraId="68D1C94C" w14:textId="22A8B014" w:rsidR="00015A86" w:rsidRPr="007239A6" w:rsidRDefault="00015A86" w:rsidP="004C356D">
            <w:pPr>
              <w:spacing w:after="0" w:line="240" w:lineRule="auto"/>
              <w:jc w:val="right"/>
              <w:rPr>
                <w:color w:val="000000"/>
                <w:sz w:val="22"/>
                <w:szCs w:val="22"/>
                <w:lang w:bidi="ar-SA"/>
              </w:rPr>
            </w:pPr>
            <w:r w:rsidRPr="007239A6">
              <w:rPr>
                <w:sz w:val="20"/>
                <w:szCs w:val="20"/>
              </w:rPr>
              <w:t>158.3</w:t>
            </w:r>
          </w:p>
        </w:tc>
        <w:tc>
          <w:tcPr>
            <w:tcW w:w="1293" w:type="dxa"/>
            <w:tcBorders>
              <w:top w:val="nil"/>
              <w:left w:val="nil"/>
              <w:bottom w:val="nil"/>
              <w:right w:val="nil"/>
            </w:tcBorders>
            <w:shd w:val="clear" w:color="auto" w:fill="auto"/>
            <w:noWrap/>
            <w:vAlign w:val="bottom"/>
          </w:tcPr>
          <w:p w14:paraId="53244C7D" w14:textId="6C487179" w:rsidR="00015A86" w:rsidRPr="007239A6" w:rsidRDefault="00015A86" w:rsidP="004C356D">
            <w:pPr>
              <w:spacing w:after="0" w:line="240" w:lineRule="auto"/>
              <w:jc w:val="right"/>
              <w:rPr>
                <w:color w:val="000000"/>
                <w:sz w:val="22"/>
                <w:szCs w:val="22"/>
                <w:lang w:bidi="ar-SA"/>
              </w:rPr>
            </w:pPr>
            <w:r w:rsidRPr="007239A6">
              <w:rPr>
                <w:sz w:val="20"/>
                <w:szCs w:val="20"/>
              </w:rPr>
              <w:t xml:space="preserve">21 </w:t>
            </w:r>
          </w:p>
        </w:tc>
        <w:tc>
          <w:tcPr>
            <w:tcW w:w="1650" w:type="dxa"/>
            <w:tcBorders>
              <w:top w:val="nil"/>
              <w:left w:val="nil"/>
              <w:bottom w:val="nil"/>
              <w:right w:val="nil"/>
            </w:tcBorders>
            <w:shd w:val="clear" w:color="auto" w:fill="auto"/>
            <w:noWrap/>
            <w:vAlign w:val="bottom"/>
          </w:tcPr>
          <w:p w14:paraId="3297361F" w14:textId="41251F51" w:rsidR="00015A86" w:rsidRPr="007239A6" w:rsidRDefault="00015A86" w:rsidP="004C356D">
            <w:pPr>
              <w:spacing w:after="0" w:line="240" w:lineRule="auto"/>
              <w:jc w:val="right"/>
              <w:rPr>
                <w:color w:val="000000"/>
                <w:sz w:val="22"/>
                <w:szCs w:val="22"/>
                <w:lang w:bidi="ar-SA"/>
              </w:rPr>
            </w:pPr>
            <w:r w:rsidRPr="007239A6">
              <w:rPr>
                <w:sz w:val="20"/>
                <w:szCs w:val="20"/>
              </w:rPr>
              <w:t>527.9</w:t>
            </w:r>
          </w:p>
        </w:tc>
        <w:tc>
          <w:tcPr>
            <w:tcW w:w="1289" w:type="dxa"/>
            <w:tcBorders>
              <w:top w:val="nil"/>
              <w:left w:val="nil"/>
              <w:bottom w:val="nil"/>
              <w:right w:val="nil"/>
            </w:tcBorders>
            <w:shd w:val="clear" w:color="auto" w:fill="auto"/>
            <w:noWrap/>
            <w:vAlign w:val="bottom"/>
          </w:tcPr>
          <w:p w14:paraId="6E040D83" w14:textId="5F6C4E17" w:rsidR="00015A86" w:rsidRPr="007239A6" w:rsidRDefault="00015A86" w:rsidP="004C356D">
            <w:pPr>
              <w:spacing w:after="0" w:line="240" w:lineRule="auto"/>
              <w:jc w:val="right"/>
              <w:rPr>
                <w:color w:val="000000"/>
                <w:sz w:val="22"/>
                <w:szCs w:val="22"/>
                <w:lang w:bidi="ar-SA"/>
              </w:rPr>
            </w:pPr>
            <w:r w:rsidRPr="007239A6">
              <w:rPr>
                <w:sz w:val="20"/>
                <w:szCs w:val="20"/>
              </w:rPr>
              <w:t xml:space="preserve">70 </w:t>
            </w:r>
          </w:p>
        </w:tc>
        <w:tc>
          <w:tcPr>
            <w:tcW w:w="1769" w:type="dxa"/>
            <w:tcBorders>
              <w:top w:val="nil"/>
              <w:left w:val="nil"/>
              <w:bottom w:val="nil"/>
              <w:right w:val="nil"/>
            </w:tcBorders>
            <w:vAlign w:val="bottom"/>
          </w:tcPr>
          <w:p w14:paraId="6FEBC919" w14:textId="4FB4B494" w:rsidR="00015A86" w:rsidRPr="00A54231" w:rsidRDefault="00015A86" w:rsidP="004C356D">
            <w:pPr>
              <w:spacing w:after="0" w:line="240" w:lineRule="auto"/>
              <w:jc w:val="right"/>
              <w:rPr>
                <w:sz w:val="20"/>
                <w:szCs w:val="20"/>
              </w:rPr>
            </w:pPr>
            <w:r w:rsidRPr="00A54231">
              <w:rPr>
                <w:color w:val="000000"/>
                <w:sz w:val="20"/>
                <w:szCs w:val="20"/>
              </w:rPr>
              <w:t>-1261.38</w:t>
            </w:r>
          </w:p>
        </w:tc>
      </w:tr>
      <w:tr w:rsidR="00015A86" w:rsidRPr="007239A6" w14:paraId="08797ECE" w14:textId="438EC4A9" w:rsidTr="00181ACD">
        <w:trPr>
          <w:trHeight w:val="288"/>
        </w:trPr>
        <w:tc>
          <w:tcPr>
            <w:tcW w:w="1586" w:type="dxa"/>
            <w:tcBorders>
              <w:top w:val="nil"/>
              <w:left w:val="nil"/>
              <w:bottom w:val="nil"/>
              <w:right w:val="nil"/>
            </w:tcBorders>
            <w:shd w:val="clear" w:color="auto" w:fill="auto"/>
            <w:noWrap/>
            <w:vAlign w:val="bottom"/>
            <w:hideMark/>
          </w:tcPr>
          <w:p w14:paraId="05E7CC24"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Ellington</w:t>
            </w:r>
          </w:p>
        </w:tc>
        <w:tc>
          <w:tcPr>
            <w:tcW w:w="1261" w:type="dxa"/>
            <w:tcBorders>
              <w:top w:val="nil"/>
              <w:left w:val="nil"/>
              <w:bottom w:val="nil"/>
              <w:right w:val="nil"/>
            </w:tcBorders>
            <w:shd w:val="clear" w:color="auto" w:fill="auto"/>
            <w:noWrap/>
            <w:vAlign w:val="bottom"/>
          </w:tcPr>
          <w:p w14:paraId="288F3169" w14:textId="3C77A690" w:rsidR="00015A86" w:rsidRPr="007239A6" w:rsidRDefault="00015A86" w:rsidP="004C356D">
            <w:pPr>
              <w:spacing w:after="0" w:line="240" w:lineRule="auto"/>
              <w:jc w:val="right"/>
              <w:rPr>
                <w:color w:val="000000"/>
                <w:sz w:val="22"/>
                <w:szCs w:val="22"/>
                <w:lang w:bidi="ar-SA"/>
              </w:rPr>
            </w:pPr>
            <w:r w:rsidRPr="007239A6">
              <w:rPr>
                <w:sz w:val="20"/>
                <w:szCs w:val="20"/>
              </w:rPr>
              <w:t>967.0</w:t>
            </w:r>
          </w:p>
        </w:tc>
        <w:tc>
          <w:tcPr>
            <w:tcW w:w="1293" w:type="dxa"/>
            <w:tcBorders>
              <w:top w:val="nil"/>
              <w:left w:val="nil"/>
              <w:bottom w:val="nil"/>
              <w:right w:val="nil"/>
            </w:tcBorders>
            <w:shd w:val="clear" w:color="auto" w:fill="auto"/>
            <w:noWrap/>
            <w:vAlign w:val="bottom"/>
          </w:tcPr>
          <w:p w14:paraId="186742B1" w14:textId="3236165C" w:rsidR="00015A86" w:rsidRPr="007239A6" w:rsidRDefault="00015A86" w:rsidP="004C356D">
            <w:pPr>
              <w:spacing w:after="0" w:line="240" w:lineRule="auto"/>
              <w:jc w:val="right"/>
              <w:rPr>
                <w:color w:val="000000"/>
                <w:sz w:val="22"/>
                <w:szCs w:val="22"/>
                <w:lang w:bidi="ar-SA"/>
              </w:rPr>
            </w:pPr>
            <w:r w:rsidRPr="007239A6">
              <w:rPr>
                <w:sz w:val="20"/>
                <w:szCs w:val="20"/>
              </w:rPr>
              <w:t xml:space="preserve">62 </w:t>
            </w:r>
          </w:p>
        </w:tc>
        <w:tc>
          <w:tcPr>
            <w:tcW w:w="1650" w:type="dxa"/>
            <w:tcBorders>
              <w:top w:val="nil"/>
              <w:left w:val="nil"/>
              <w:bottom w:val="nil"/>
              <w:right w:val="nil"/>
            </w:tcBorders>
            <w:shd w:val="clear" w:color="auto" w:fill="auto"/>
            <w:noWrap/>
            <w:vAlign w:val="bottom"/>
          </w:tcPr>
          <w:p w14:paraId="4C7646F5" w14:textId="482F4908" w:rsidR="00015A86" w:rsidRPr="007239A6" w:rsidRDefault="00015A86" w:rsidP="004C356D">
            <w:pPr>
              <w:spacing w:after="0" w:line="240" w:lineRule="auto"/>
              <w:jc w:val="right"/>
              <w:rPr>
                <w:color w:val="000000"/>
                <w:sz w:val="22"/>
                <w:szCs w:val="22"/>
                <w:lang w:bidi="ar-SA"/>
              </w:rPr>
            </w:pPr>
            <w:r w:rsidRPr="007239A6">
              <w:rPr>
                <w:sz w:val="20"/>
                <w:szCs w:val="20"/>
              </w:rPr>
              <w:t>1565.4</w:t>
            </w:r>
          </w:p>
        </w:tc>
        <w:tc>
          <w:tcPr>
            <w:tcW w:w="1289" w:type="dxa"/>
            <w:tcBorders>
              <w:top w:val="nil"/>
              <w:left w:val="nil"/>
              <w:bottom w:val="nil"/>
              <w:right w:val="nil"/>
            </w:tcBorders>
            <w:shd w:val="clear" w:color="auto" w:fill="auto"/>
            <w:noWrap/>
            <w:vAlign w:val="bottom"/>
          </w:tcPr>
          <w:p w14:paraId="708D09DB" w14:textId="58FCAC29" w:rsidR="00015A86" w:rsidRPr="007239A6" w:rsidRDefault="00015A86" w:rsidP="004C356D">
            <w:pPr>
              <w:spacing w:after="0" w:line="240" w:lineRule="auto"/>
              <w:jc w:val="right"/>
              <w:rPr>
                <w:color w:val="000000"/>
                <w:sz w:val="22"/>
                <w:szCs w:val="22"/>
                <w:lang w:bidi="ar-SA"/>
              </w:rPr>
            </w:pPr>
            <w:r w:rsidRPr="007239A6">
              <w:rPr>
                <w:sz w:val="20"/>
                <w:szCs w:val="20"/>
              </w:rPr>
              <w:t xml:space="preserve">100 </w:t>
            </w:r>
          </w:p>
        </w:tc>
        <w:tc>
          <w:tcPr>
            <w:tcW w:w="1769" w:type="dxa"/>
            <w:tcBorders>
              <w:top w:val="nil"/>
              <w:left w:val="nil"/>
              <w:bottom w:val="nil"/>
              <w:right w:val="nil"/>
            </w:tcBorders>
            <w:vAlign w:val="bottom"/>
          </w:tcPr>
          <w:p w14:paraId="4EADA0A5" w14:textId="771103EC" w:rsidR="00015A86" w:rsidRPr="00A54231" w:rsidRDefault="00015A86" w:rsidP="004C356D">
            <w:pPr>
              <w:spacing w:after="0" w:line="240" w:lineRule="auto"/>
              <w:jc w:val="right"/>
              <w:rPr>
                <w:sz w:val="20"/>
                <w:szCs w:val="20"/>
              </w:rPr>
            </w:pPr>
            <w:r w:rsidRPr="00A54231">
              <w:rPr>
                <w:color w:val="000000"/>
                <w:sz w:val="20"/>
                <w:szCs w:val="20"/>
              </w:rPr>
              <w:t>136.49</w:t>
            </w:r>
          </w:p>
        </w:tc>
      </w:tr>
      <w:tr w:rsidR="00015A86" w:rsidRPr="007239A6" w14:paraId="1EF12B58" w14:textId="75F8AA09" w:rsidTr="00181ACD">
        <w:trPr>
          <w:trHeight w:val="288"/>
        </w:trPr>
        <w:tc>
          <w:tcPr>
            <w:tcW w:w="1586" w:type="dxa"/>
            <w:tcBorders>
              <w:top w:val="nil"/>
              <w:left w:val="nil"/>
              <w:bottom w:val="nil"/>
              <w:right w:val="nil"/>
            </w:tcBorders>
            <w:shd w:val="clear" w:color="auto" w:fill="auto"/>
            <w:noWrap/>
            <w:vAlign w:val="bottom"/>
            <w:hideMark/>
          </w:tcPr>
          <w:p w14:paraId="38025517"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Enfield</w:t>
            </w:r>
          </w:p>
        </w:tc>
        <w:tc>
          <w:tcPr>
            <w:tcW w:w="1261" w:type="dxa"/>
            <w:tcBorders>
              <w:top w:val="nil"/>
              <w:left w:val="nil"/>
              <w:bottom w:val="nil"/>
              <w:right w:val="nil"/>
            </w:tcBorders>
            <w:shd w:val="clear" w:color="auto" w:fill="auto"/>
            <w:noWrap/>
            <w:vAlign w:val="bottom"/>
          </w:tcPr>
          <w:p w14:paraId="4C872C4B" w14:textId="553DBE19" w:rsidR="00015A86" w:rsidRPr="007239A6" w:rsidRDefault="00015A86" w:rsidP="004C356D">
            <w:pPr>
              <w:spacing w:after="0" w:line="240" w:lineRule="auto"/>
              <w:jc w:val="right"/>
              <w:rPr>
                <w:color w:val="000000"/>
                <w:sz w:val="22"/>
                <w:szCs w:val="22"/>
                <w:lang w:bidi="ar-SA"/>
              </w:rPr>
            </w:pPr>
            <w:r w:rsidRPr="007239A6">
              <w:rPr>
                <w:sz w:val="20"/>
                <w:szCs w:val="20"/>
              </w:rPr>
              <w:t>6,827.3</w:t>
            </w:r>
          </w:p>
        </w:tc>
        <w:tc>
          <w:tcPr>
            <w:tcW w:w="1293" w:type="dxa"/>
            <w:tcBorders>
              <w:top w:val="nil"/>
              <w:left w:val="nil"/>
              <w:bottom w:val="nil"/>
              <w:right w:val="nil"/>
            </w:tcBorders>
            <w:shd w:val="clear" w:color="auto" w:fill="auto"/>
            <w:noWrap/>
            <w:vAlign w:val="bottom"/>
          </w:tcPr>
          <w:p w14:paraId="78BB2A62" w14:textId="6004945F" w:rsidR="00015A86" w:rsidRPr="007239A6" w:rsidRDefault="00015A86" w:rsidP="004C356D">
            <w:pPr>
              <w:spacing w:after="0" w:line="240" w:lineRule="auto"/>
              <w:jc w:val="right"/>
              <w:rPr>
                <w:color w:val="000000"/>
                <w:sz w:val="22"/>
                <w:szCs w:val="22"/>
                <w:lang w:bidi="ar-SA"/>
              </w:rPr>
            </w:pPr>
            <w:r w:rsidRPr="007239A6">
              <w:rPr>
                <w:sz w:val="20"/>
                <w:szCs w:val="20"/>
              </w:rPr>
              <w:t xml:space="preserve">153 </w:t>
            </w:r>
          </w:p>
        </w:tc>
        <w:tc>
          <w:tcPr>
            <w:tcW w:w="1650" w:type="dxa"/>
            <w:tcBorders>
              <w:top w:val="nil"/>
              <w:left w:val="nil"/>
              <w:bottom w:val="nil"/>
              <w:right w:val="nil"/>
            </w:tcBorders>
            <w:shd w:val="clear" w:color="auto" w:fill="auto"/>
            <w:noWrap/>
            <w:vAlign w:val="bottom"/>
          </w:tcPr>
          <w:p w14:paraId="3F55FC72" w14:textId="5911933E" w:rsidR="00015A86" w:rsidRPr="007239A6" w:rsidRDefault="00015A86" w:rsidP="004C356D">
            <w:pPr>
              <w:spacing w:after="0" w:line="240" w:lineRule="auto"/>
              <w:jc w:val="right"/>
              <w:rPr>
                <w:color w:val="000000"/>
                <w:sz w:val="22"/>
                <w:szCs w:val="22"/>
                <w:lang w:bidi="ar-SA"/>
              </w:rPr>
            </w:pPr>
            <w:r w:rsidRPr="007239A6">
              <w:rPr>
                <w:sz w:val="20"/>
                <w:szCs w:val="20"/>
              </w:rPr>
              <w:t>5668.7</w:t>
            </w:r>
          </w:p>
        </w:tc>
        <w:tc>
          <w:tcPr>
            <w:tcW w:w="1289" w:type="dxa"/>
            <w:tcBorders>
              <w:top w:val="nil"/>
              <w:left w:val="nil"/>
              <w:bottom w:val="nil"/>
              <w:right w:val="nil"/>
            </w:tcBorders>
            <w:shd w:val="clear" w:color="auto" w:fill="auto"/>
            <w:noWrap/>
            <w:vAlign w:val="bottom"/>
          </w:tcPr>
          <w:p w14:paraId="60C26B37" w14:textId="70658419" w:rsidR="00015A86" w:rsidRPr="007239A6" w:rsidRDefault="00015A86" w:rsidP="004C356D">
            <w:pPr>
              <w:spacing w:after="0" w:line="240" w:lineRule="auto"/>
              <w:jc w:val="right"/>
              <w:rPr>
                <w:color w:val="000000"/>
                <w:sz w:val="22"/>
                <w:szCs w:val="22"/>
                <w:lang w:bidi="ar-SA"/>
              </w:rPr>
            </w:pPr>
            <w:r w:rsidRPr="007239A6">
              <w:rPr>
                <w:sz w:val="20"/>
                <w:szCs w:val="20"/>
              </w:rPr>
              <w:t xml:space="preserve">127 </w:t>
            </w:r>
          </w:p>
        </w:tc>
        <w:tc>
          <w:tcPr>
            <w:tcW w:w="1769" w:type="dxa"/>
            <w:tcBorders>
              <w:top w:val="nil"/>
              <w:left w:val="nil"/>
              <w:bottom w:val="nil"/>
              <w:right w:val="nil"/>
            </w:tcBorders>
            <w:vAlign w:val="bottom"/>
          </w:tcPr>
          <w:p w14:paraId="1D4A971F" w14:textId="6F880AEF" w:rsidR="00015A86" w:rsidRPr="00A54231" w:rsidRDefault="00015A86" w:rsidP="004C356D">
            <w:pPr>
              <w:spacing w:after="0" w:line="240" w:lineRule="auto"/>
              <w:jc w:val="right"/>
              <w:rPr>
                <w:sz w:val="20"/>
                <w:szCs w:val="20"/>
              </w:rPr>
            </w:pPr>
            <w:r w:rsidRPr="00A54231">
              <w:rPr>
                <w:color w:val="000000"/>
                <w:sz w:val="20"/>
                <w:szCs w:val="20"/>
              </w:rPr>
              <w:t>389.47</w:t>
            </w:r>
          </w:p>
        </w:tc>
      </w:tr>
      <w:tr w:rsidR="00015A86" w:rsidRPr="007239A6" w14:paraId="6D1D5695" w14:textId="51944425" w:rsidTr="00181ACD">
        <w:trPr>
          <w:trHeight w:val="288"/>
        </w:trPr>
        <w:tc>
          <w:tcPr>
            <w:tcW w:w="1586" w:type="dxa"/>
            <w:tcBorders>
              <w:top w:val="nil"/>
              <w:left w:val="nil"/>
              <w:bottom w:val="nil"/>
              <w:right w:val="nil"/>
            </w:tcBorders>
            <w:shd w:val="clear" w:color="auto" w:fill="auto"/>
            <w:noWrap/>
            <w:vAlign w:val="bottom"/>
            <w:hideMark/>
          </w:tcPr>
          <w:p w14:paraId="25188A3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Essex</w:t>
            </w:r>
          </w:p>
        </w:tc>
        <w:tc>
          <w:tcPr>
            <w:tcW w:w="1261" w:type="dxa"/>
            <w:tcBorders>
              <w:top w:val="nil"/>
              <w:left w:val="nil"/>
              <w:bottom w:val="nil"/>
              <w:right w:val="nil"/>
            </w:tcBorders>
            <w:shd w:val="clear" w:color="auto" w:fill="auto"/>
            <w:noWrap/>
            <w:vAlign w:val="bottom"/>
          </w:tcPr>
          <w:p w14:paraId="397C13A3" w14:textId="3CB2B27A" w:rsidR="00015A86" w:rsidRPr="007239A6" w:rsidRDefault="00015A86" w:rsidP="004C356D">
            <w:pPr>
              <w:spacing w:after="0" w:line="240" w:lineRule="auto"/>
              <w:jc w:val="right"/>
              <w:rPr>
                <w:color w:val="000000"/>
                <w:sz w:val="22"/>
                <w:szCs w:val="22"/>
                <w:lang w:bidi="ar-SA"/>
              </w:rPr>
            </w:pPr>
            <w:r w:rsidRPr="007239A6">
              <w:rPr>
                <w:sz w:val="20"/>
                <w:szCs w:val="20"/>
              </w:rPr>
              <w:t>651.4</w:t>
            </w:r>
          </w:p>
        </w:tc>
        <w:tc>
          <w:tcPr>
            <w:tcW w:w="1293" w:type="dxa"/>
            <w:tcBorders>
              <w:top w:val="nil"/>
              <w:left w:val="nil"/>
              <w:bottom w:val="nil"/>
              <w:right w:val="nil"/>
            </w:tcBorders>
            <w:shd w:val="clear" w:color="auto" w:fill="auto"/>
            <w:noWrap/>
            <w:vAlign w:val="bottom"/>
          </w:tcPr>
          <w:p w14:paraId="680A2702" w14:textId="2ABCEF42" w:rsidR="00015A86" w:rsidRPr="007239A6" w:rsidRDefault="00015A86" w:rsidP="004C356D">
            <w:pPr>
              <w:spacing w:after="0" w:line="240" w:lineRule="auto"/>
              <w:jc w:val="right"/>
              <w:rPr>
                <w:color w:val="000000"/>
                <w:sz w:val="22"/>
                <w:szCs w:val="22"/>
                <w:lang w:bidi="ar-SA"/>
              </w:rPr>
            </w:pPr>
            <w:r w:rsidRPr="007239A6">
              <w:rPr>
                <w:sz w:val="20"/>
                <w:szCs w:val="20"/>
              </w:rPr>
              <w:t xml:space="preserve">98 </w:t>
            </w:r>
          </w:p>
        </w:tc>
        <w:tc>
          <w:tcPr>
            <w:tcW w:w="1650" w:type="dxa"/>
            <w:tcBorders>
              <w:top w:val="nil"/>
              <w:left w:val="nil"/>
              <w:bottom w:val="nil"/>
              <w:right w:val="nil"/>
            </w:tcBorders>
            <w:shd w:val="clear" w:color="auto" w:fill="auto"/>
            <w:noWrap/>
            <w:vAlign w:val="bottom"/>
          </w:tcPr>
          <w:p w14:paraId="68876CEA" w14:textId="124A9B7A" w:rsidR="00015A86" w:rsidRPr="007239A6" w:rsidRDefault="00015A86" w:rsidP="004C356D">
            <w:pPr>
              <w:spacing w:after="0" w:line="240" w:lineRule="auto"/>
              <w:jc w:val="right"/>
              <w:rPr>
                <w:color w:val="000000"/>
                <w:sz w:val="22"/>
                <w:szCs w:val="22"/>
                <w:lang w:bidi="ar-SA"/>
              </w:rPr>
            </w:pPr>
            <w:r w:rsidRPr="007239A6">
              <w:rPr>
                <w:sz w:val="20"/>
                <w:szCs w:val="20"/>
              </w:rPr>
              <w:t>868.7</w:t>
            </w:r>
          </w:p>
        </w:tc>
        <w:tc>
          <w:tcPr>
            <w:tcW w:w="1289" w:type="dxa"/>
            <w:tcBorders>
              <w:top w:val="nil"/>
              <w:left w:val="nil"/>
              <w:bottom w:val="nil"/>
              <w:right w:val="nil"/>
            </w:tcBorders>
            <w:shd w:val="clear" w:color="auto" w:fill="auto"/>
            <w:noWrap/>
            <w:vAlign w:val="bottom"/>
          </w:tcPr>
          <w:p w14:paraId="2E6A2A25" w14:textId="01899FCF" w:rsidR="00015A86" w:rsidRPr="007239A6" w:rsidRDefault="00015A86" w:rsidP="004C356D">
            <w:pPr>
              <w:spacing w:after="0" w:line="240" w:lineRule="auto"/>
              <w:jc w:val="right"/>
              <w:rPr>
                <w:color w:val="000000"/>
                <w:sz w:val="22"/>
                <w:szCs w:val="22"/>
                <w:lang w:bidi="ar-SA"/>
              </w:rPr>
            </w:pPr>
            <w:r w:rsidRPr="007239A6">
              <w:rPr>
                <w:sz w:val="20"/>
                <w:szCs w:val="20"/>
              </w:rPr>
              <w:t xml:space="preserve">130 </w:t>
            </w:r>
          </w:p>
        </w:tc>
        <w:tc>
          <w:tcPr>
            <w:tcW w:w="1769" w:type="dxa"/>
            <w:tcBorders>
              <w:top w:val="nil"/>
              <w:left w:val="nil"/>
              <w:bottom w:val="nil"/>
              <w:right w:val="nil"/>
            </w:tcBorders>
            <w:vAlign w:val="bottom"/>
          </w:tcPr>
          <w:p w14:paraId="6EA34B52" w14:textId="3288BF4A" w:rsidR="00015A86" w:rsidRPr="00A54231" w:rsidRDefault="00015A86" w:rsidP="004C356D">
            <w:pPr>
              <w:spacing w:after="0" w:line="240" w:lineRule="auto"/>
              <w:jc w:val="right"/>
              <w:rPr>
                <w:sz w:val="20"/>
                <w:szCs w:val="20"/>
              </w:rPr>
            </w:pPr>
            <w:r w:rsidRPr="00A54231">
              <w:rPr>
                <w:color w:val="000000"/>
                <w:sz w:val="20"/>
                <w:szCs w:val="20"/>
              </w:rPr>
              <w:t>-1015.20</w:t>
            </w:r>
          </w:p>
        </w:tc>
      </w:tr>
      <w:tr w:rsidR="00015A86" w:rsidRPr="007239A6" w14:paraId="763E73CB" w14:textId="098D82B3" w:rsidTr="00181ACD">
        <w:trPr>
          <w:trHeight w:val="288"/>
        </w:trPr>
        <w:tc>
          <w:tcPr>
            <w:tcW w:w="1586" w:type="dxa"/>
            <w:tcBorders>
              <w:top w:val="nil"/>
              <w:left w:val="nil"/>
              <w:bottom w:val="nil"/>
              <w:right w:val="nil"/>
            </w:tcBorders>
            <w:shd w:val="clear" w:color="auto" w:fill="auto"/>
            <w:noWrap/>
            <w:vAlign w:val="bottom"/>
            <w:hideMark/>
          </w:tcPr>
          <w:p w14:paraId="198F8419"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Fairfield</w:t>
            </w:r>
          </w:p>
        </w:tc>
        <w:tc>
          <w:tcPr>
            <w:tcW w:w="1261" w:type="dxa"/>
            <w:tcBorders>
              <w:top w:val="nil"/>
              <w:left w:val="nil"/>
              <w:bottom w:val="nil"/>
              <w:right w:val="nil"/>
            </w:tcBorders>
            <w:shd w:val="clear" w:color="auto" w:fill="auto"/>
            <w:noWrap/>
            <w:vAlign w:val="bottom"/>
          </w:tcPr>
          <w:p w14:paraId="31CB7133" w14:textId="2E75D3A7" w:rsidR="00015A86" w:rsidRPr="007239A6" w:rsidRDefault="00015A86" w:rsidP="004C356D">
            <w:pPr>
              <w:spacing w:after="0" w:line="240" w:lineRule="auto"/>
              <w:jc w:val="right"/>
              <w:rPr>
                <w:color w:val="000000"/>
                <w:sz w:val="22"/>
                <w:szCs w:val="22"/>
                <w:lang w:bidi="ar-SA"/>
              </w:rPr>
            </w:pPr>
            <w:r w:rsidRPr="007239A6">
              <w:rPr>
                <w:sz w:val="20"/>
                <w:szCs w:val="20"/>
              </w:rPr>
              <w:t>11,797.8</w:t>
            </w:r>
          </w:p>
        </w:tc>
        <w:tc>
          <w:tcPr>
            <w:tcW w:w="1293" w:type="dxa"/>
            <w:tcBorders>
              <w:top w:val="nil"/>
              <w:left w:val="nil"/>
              <w:bottom w:val="nil"/>
              <w:right w:val="nil"/>
            </w:tcBorders>
            <w:shd w:val="clear" w:color="auto" w:fill="auto"/>
            <w:noWrap/>
            <w:vAlign w:val="bottom"/>
          </w:tcPr>
          <w:p w14:paraId="64C27B41" w14:textId="2D337C49" w:rsidR="00015A86" w:rsidRPr="007239A6" w:rsidRDefault="00015A86" w:rsidP="004C356D">
            <w:pPr>
              <w:spacing w:after="0" w:line="240" w:lineRule="auto"/>
              <w:jc w:val="right"/>
              <w:rPr>
                <w:color w:val="000000"/>
                <w:sz w:val="22"/>
                <w:szCs w:val="22"/>
                <w:lang w:bidi="ar-SA"/>
              </w:rPr>
            </w:pPr>
            <w:r w:rsidRPr="007239A6">
              <w:rPr>
                <w:sz w:val="20"/>
                <w:szCs w:val="20"/>
              </w:rPr>
              <w:t xml:space="preserve">196 </w:t>
            </w:r>
          </w:p>
        </w:tc>
        <w:tc>
          <w:tcPr>
            <w:tcW w:w="1650" w:type="dxa"/>
            <w:tcBorders>
              <w:top w:val="nil"/>
              <w:left w:val="nil"/>
              <w:bottom w:val="nil"/>
              <w:right w:val="nil"/>
            </w:tcBorders>
            <w:shd w:val="clear" w:color="auto" w:fill="auto"/>
            <w:noWrap/>
            <w:vAlign w:val="bottom"/>
          </w:tcPr>
          <w:p w14:paraId="13FF62A1" w14:textId="533B44A7" w:rsidR="00015A86" w:rsidRPr="007239A6" w:rsidRDefault="00015A86" w:rsidP="004C356D">
            <w:pPr>
              <w:spacing w:after="0" w:line="240" w:lineRule="auto"/>
              <w:jc w:val="right"/>
              <w:rPr>
                <w:color w:val="000000"/>
                <w:sz w:val="22"/>
                <w:szCs w:val="22"/>
                <w:lang w:bidi="ar-SA"/>
              </w:rPr>
            </w:pPr>
            <w:r w:rsidRPr="007239A6">
              <w:rPr>
                <w:sz w:val="20"/>
                <w:szCs w:val="20"/>
              </w:rPr>
              <w:t>6743.5</w:t>
            </w:r>
          </w:p>
        </w:tc>
        <w:tc>
          <w:tcPr>
            <w:tcW w:w="1289" w:type="dxa"/>
            <w:tcBorders>
              <w:top w:val="nil"/>
              <w:left w:val="nil"/>
              <w:bottom w:val="nil"/>
              <w:right w:val="nil"/>
            </w:tcBorders>
            <w:shd w:val="clear" w:color="auto" w:fill="auto"/>
            <w:noWrap/>
            <w:vAlign w:val="bottom"/>
          </w:tcPr>
          <w:p w14:paraId="47777130" w14:textId="17C46AE5" w:rsidR="00015A86" w:rsidRPr="007239A6" w:rsidRDefault="00015A86" w:rsidP="004C356D">
            <w:pPr>
              <w:spacing w:after="0" w:line="240" w:lineRule="auto"/>
              <w:jc w:val="right"/>
              <w:rPr>
                <w:color w:val="000000"/>
                <w:sz w:val="22"/>
                <w:szCs w:val="22"/>
                <w:lang w:bidi="ar-SA"/>
              </w:rPr>
            </w:pPr>
            <w:r w:rsidRPr="007239A6">
              <w:rPr>
                <w:sz w:val="20"/>
                <w:szCs w:val="20"/>
              </w:rPr>
              <w:t xml:space="preserve">112 </w:t>
            </w:r>
          </w:p>
        </w:tc>
        <w:tc>
          <w:tcPr>
            <w:tcW w:w="1769" w:type="dxa"/>
            <w:tcBorders>
              <w:top w:val="nil"/>
              <w:left w:val="nil"/>
              <w:bottom w:val="nil"/>
              <w:right w:val="nil"/>
            </w:tcBorders>
            <w:vAlign w:val="bottom"/>
          </w:tcPr>
          <w:p w14:paraId="5082C35C" w14:textId="1FD9800D" w:rsidR="00015A86" w:rsidRPr="00A54231" w:rsidRDefault="00015A86" w:rsidP="004C356D">
            <w:pPr>
              <w:spacing w:after="0" w:line="240" w:lineRule="auto"/>
              <w:jc w:val="right"/>
              <w:rPr>
                <w:sz w:val="20"/>
                <w:szCs w:val="20"/>
              </w:rPr>
            </w:pPr>
            <w:r w:rsidRPr="00A54231">
              <w:rPr>
                <w:color w:val="000000"/>
                <w:sz w:val="20"/>
                <w:szCs w:val="20"/>
              </w:rPr>
              <w:t>-957.52</w:t>
            </w:r>
          </w:p>
        </w:tc>
      </w:tr>
      <w:tr w:rsidR="00015A86" w:rsidRPr="007239A6" w14:paraId="6623F4A9" w14:textId="438D716B" w:rsidTr="00181ACD">
        <w:trPr>
          <w:trHeight w:val="288"/>
        </w:trPr>
        <w:tc>
          <w:tcPr>
            <w:tcW w:w="1586" w:type="dxa"/>
            <w:tcBorders>
              <w:top w:val="nil"/>
              <w:left w:val="nil"/>
              <w:bottom w:val="nil"/>
              <w:right w:val="nil"/>
            </w:tcBorders>
            <w:shd w:val="clear" w:color="auto" w:fill="auto"/>
            <w:noWrap/>
            <w:vAlign w:val="bottom"/>
            <w:hideMark/>
          </w:tcPr>
          <w:p w14:paraId="54ED1C5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Farmington</w:t>
            </w:r>
          </w:p>
        </w:tc>
        <w:tc>
          <w:tcPr>
            <w:tcW w:w="1261" w:type="dxa"/>
            <w:tcBorders>
              <w:top w:val="nil"/>
              <w:left w:val="nil"/>
              <w:bottom w:val="nil"/>
              <w:right w:val="nil"/>
            </w:tcBorders>
            <w:shd w:val="clear" w:color="auto" w:fill="auto"/>
            <w:noWrap/>
            <w:vAlign w:val="bottom"/>
          </w:tcPr>
          <w:p w14:paraId="27644D15" w14:textId="794585A1" w:rsidR="00015A86" w:rsidRPr="007239A6" w:rsidRDefault="00015A86" w:rsidP="004C356D">
            <w:pPr>
              <w:spacing w:after="0" w:line="240" w:lineRule="auto"/>
              <w:jc w:val="right"/>
              <w:rPr>
                <w:color w:val="000000"/>
                <w:sz w:val="22"/>
                <w:szCs w:val="22"/>
                <w:lang w:bidi="ar-SA"/>
              </w:rPr>
            </w:pPr>
            <w:r w:rsidRPr="007239A6">
              <w:rPr>
                <w:sz w:val="20"/>
                <w:szCs w:val="20"/>
              </w:rPr>
              <w:t>6,555.4</w:t>
            </w:r>
          </w:p>
        </w:tc>
        <w:tc>
          <w:tcPr>
            <w:tcW w:w="1293" w:type="dxa"/>
            <w:tcBorders>
              <w:top w:val="nil"/>
              <w:left w:val="nil"/>
              <w:bottom w:val="nil"/>
              <w:right w:val="nil"/>
            </w:tcBorders>
            <w:shd w:val="clear" w:color="auto" w:fill="auto"/>
            <w:noWrap/>
            <w:vAlign w:val="bottom"/>
          </w:tcPr>
          <w:p w14:paraId="4DEDE98F" w14:textId="2B33D709" w:rsidR="00015A86" w:rsidRPr="007239A6" w:rsidRDefault="00015A86" w:rsidP="004C356D">
            <w:pPr>
              <w:spacing w:after="0" w:line="240" w:lineRule="auto"/>
              <w:jc w:val="right"/>
              <w:rPr>
                <w:color w:val="000000"/>
                <w:sz w:val="22"/>
                <w:szCs w:val="22"/>
                <w:lang w:bidi="ar-SA"/>
              </w:rPr>
            </w:pPr>
            <w:r w:rsidRPr="007239A6">
              <w:rPr>
                <w:sz w:val="20"/>
                <w:szCs w:val="20"/>
              </w:rPr>
              <w:t xml:space="preserve">258 </w:t>
            </w:r>
          </w:p>
        </w:tc>
        <w:tc>
          <w:tcPr>
            <w:tcW w:w="1650" w:type="dxa"/>
            <w:tcBorders>
              <w:top w:val="nil"/>
              <w:left w:val="nil"/>
              <w:bottom w:val="nil"/>
              <w:right w:val="nil"/>
            </w:tcBorders>
            <w:shd w:val="clear" w:color="auto" w:fill="auto"/>
            <w:noWrap/>
            <w:vAlign w:val="bottom"/>
          </w:tcPr>
          <w:p w14:paraId="3B25DF01" w14:textId="23C59063" w:rsidR="00015A86" w:rsidRPr="007239A6" w:rsidRDefault="00015A86" w:rsidP="004C356D">
            <w:pPr>
              <w:spacing w:after="0" w:line="240" w:lineRule="auto"/>
              <w:jc w:val="right"/>
              <w:rPr>
                <w:color w:val="000000"/>
                <w:sz w:val="22"/>
                <w:szCs w:val="22"/>
                <w:lang w:bidi="ar-SA"/>
              </w:rPr>
            </w:pPr>
            <w:r w:rsidRPr="007239A6">
              <w:rPr>
                <w:sz w:val="20"/>
                <w:szCs w:val="20"/>
              </w:rPr>
              <w:t>5848.5</w:t>
            </w:r>
          </w:p>
        </w:tc>
        <w:tc>
          <w:tcPr>
            <w:tcW w:w="1289" w:type="dxa"/>
            <w:tcBorders>
              <w:top w:val="nil"/>
              <w:left w:val="nil"/>
              <w:bottom w:val="nil"/>
              <w:right w:val="nil"/>
            </w:tcBorders>
            <w:shd w:val="clear" w:color="auto" w:fill="auto"/>
            <w:noWrap/>
            <w:vAlign w:val="bottom"/>
          </w:tcPr>
          <w:p w14:paraId="36E8EADA" w14:textId="65458A7D" w:rsidR="00015A86" w:rsidRPr="007239A6" w:rsidRDefault="00015A86" w:rsidP="004C356D">
            <w:pPr>
              <w:spacing w:after="0" w:line="240" w:lineRule="auto"/>
              <w:jc w:val="right"/>
              <w:rPr>
                <w:color w:val="000000"/>
                <w:sz w:val="22"/>
                <w:szCs w:val="22"/>
                <w:lang w:bidi="ar-SA"/>
              </w:rPr>
            </w:pPr>
            <w:r w:rsidRPr="007239A6">
              <w:rPr>
                <w:sz w:val="20"/>
                <w:szCs w:val="20"/>
              </w:rPr>
              <w:t xml:space="preserve">230 </w:t>
            </w:r>
          </w:p>
        </w:tc>
        <w:tc>
          <w:tcPr>
            <w:tcW w:w="1769" w:type="dxa"/>
            <w:tcBorders>
              <w:top w:val="nil"/>
              <w:left w:val="nil"/>
              <w:bottom w:val="nil"/>
              <w:right w:val="nil"/>
            </w:tcBorders>
            <w:vAlign w:val="bottom"/>
          </w:tcPr>
          <w:p w14:paraId="05B53363" w14:textId="33418DD4" w:rsidR="00015A86" w:rsidRPr="00A54231" w:rsidRDefault="00015A86" w:rsidP="004C356D">
            <w:pPr>
              <w:spacing w:after="0" w:line="240" w:lineRule="auto"/>
              <w:jc w:val="right"/>
              <w:rPr>
                <w:sz w:val="20"/>
                <w:szCs w:val="20"/>
              </w:rPr>
            </w:pPr>
            <w:r w:rsidRPr="00A54231">
              <w:rPr>
                <w:color w:val="000000"/>
                <w:sz w:val="20"/>
                <w:szCs w:val="20"/>
              </w:rPr>
              <w:t>-455.85</w:t>
            </w:r>
          </w:p>
        </w:tc>
      </w:tr>
      <w:tr w:rsidR="00015A86" w:rsidRPr="007239A6" w14:paraId="3FC648A7" w14:textId="1380FEFC" w:rsidTr="00181ACD">
        <w:trPr>
          <w:trHeight w:val="288"/>
        </w:trPr>
        <w:tc>
          <w:tcPr>
            <w:tcW w:w="1586" w:type="dxa"/>
            <w:tcBorders>
              <w:top w:val="nil"/>
              <w:left w:val="nil"/>
              <w:bottom w:val="nil"/>
              <w:right w:val="nil"/>
            </w:tcBorders>
            <w:shd w:val="clear" w:color="auto" w:fill="auto"/>
            <w:noWrap/>
            <w:vAlign w:val="bottom"/>
            <w:hideMark/>
          </w:tcPr>
          <w:p w14:paraId="0C6DEBD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Franklin</w:t>
            </w:r>
          </w:p>
        </w:tc>
        <w:tc>
          <w:tcPr>
            <w:tcW w:w="1261" w:type="dxa"/>
            <w:tcBorders>
              <w:top w:val="nil"/>
              <w:left w:val="nil"/>
              <w:bottom w:val="nil"/>
              <w:right w:val="nil"/>
            </w:tcBorders>
            <w:shd w:val="clear" w:color="auto" w:fill="auto"/>
            <w:noWrap/>
            <w:vAlign w:val="bottom"/>
          </w:tcPr>
          <w:p w14:paraId="6FFD2E8E" w14:textId="7B247B21" w:rsidR="00015A86" w:rsidRPr="007239A6" w:rsidRDefault="00015A86" w:rsidP="004C356D">
            <w:pPr>
              <w:spacing w:after="0" w:line="240" w:lineRule="auto"/>
              <w:jc w:val="right"/>
              <w:rPr>
                <w:color w:val="000000"/>
                <w:sz w:val="22"/>
                <w:szCs w:val="22"/>
                <w:lang w:bidi="ar-SA"/>
              </w:rPr>
            </w:pPr>
            <w:r w:rsidRPr="007239A6">
              <w:rPr>
                <w:sz w:val="20"/>
                <w:szCs w:val="20"/>
              </w:rPr>
              <w:t>546.3</w:t>
            </w:r>
          </w:p>
        </w:tc>
        <w:tc>
          <w:tcPr>
            <w:tcW w:w="1293" w:type="dxa"/>
            <w:tcBorders>
              <w:top w:val="nil"/>
              <w:left w:val="nil"/>
              <w:bottom w:val="nil"/>
              <w:right w:val="nil"/>
            </w:tcBorders>
            <w:shd w:val="clear" w:color="auto" w:fill="auto"/>
            <w:noWrap/>
            <w:vAlign w:val="bottom"/>
          </w:tcPr>
          <w:p w14:paraId="5EEFF82B" w14:textId="7ECD37ED" w:rsidR="00015A86" w:rsidRPr="007239A6" w:rsidRDefault="00015A86" w:rsidP="004C356D">
            <w:pPr>
              <w:spacing w:after="0" w:line="240" w:lineRule="auto"/>
              <w:jc w:val="right"/>
              <w:rPr>
                <w:color w:val="000000"/>
                <w:sz w:val="22"/>
                <w:szCs w:val="22"/>
                <w:lang w:bidi="ar-SA"/>
              </w:rPr>
            </w:pPr>
            <w:r w:rsidRPr="007239A6">
              <w:rPr>
                <w:sz w:val="20"/>
                <w:szCs w:val="20"/>
              </w:rPr>
              <w:t xml:space="preserve">280 </w:t>
            </w:r>
          </w:p>
        </w:tc>
        <w:tc>
          <w:tcPr>
            <w:tcW w:w="1650" w:type="dxa"/>
            <w:tcBorders>
              <w:top w:val="nil"/>
              <w:left w:val="nil"/>
              <w:bottom w:val="nil"/>
              <w:right w:val="nil"/>
            </w:tcBorders>
            <w:shd w:val="clear" w:color="auto" w:fill="auto"/>
            <w:noWrap/>
            <w:vAlign w:val="bottom"/>
          </w:tcPr>
          <w:p w14:paraId="371069C1" w14:textId="6D40F802" w:rsidR="00015A86" w:rsidRPr="007239A6" w:rsidRDefault="00015A86" w:rsidP="004C356D">
            <w:pPr>
              <w:spacing w:after="0" w:line="240" w:lineRule="auto"/>
              <w:jc w:val="right"/>
              <w:rPr>
                <w:color w:val="000000"/>
                <w:sz w:val="22"/>
                <w:szCs w:val="22"/>
                <w:lang w:bidi="ar-SA"/>
              </w:rPr>
            </w:pPr>
            <w:r w:rsidRPr="007239A6">
              <w:rPr>
                <w:sz w:val="20"/>
                <w:szCs w:val="20"/>
              </w:rPr>
              <w:t>244.1</w:t>
            </w:r>
          </w:p>
        </w:tc>
        <w:tc>
          <w:tcPr>
            <w:tcW w:w="1289" w:type="dxa"/>
            <w:tcBorders>
              <w:top w:val="nil"/>
              <w:left w:val="nil"/>
              <w:bottom w:val="nil"/>
              <w:right w:val="nil"/>
            </w:tcBorders>
            <w:shd w:val="clear" w:color="auto" w:fill="auto"/>
            <w:noWrap/>
            <w:vAlign w:val="bottom"/>
          </w:tcPr>
          <w:p w14:paraId="0BB5ECAE" w14:textId="37DEC4B3" w:rsidR="00015A86" w:rsidRPr="007239A6" w:rsidRDefault="00015A86" w:rsidP="004C356D">
            <w:pPr>
              <w:spacing w:after="0" w:line="240" w:lineRule="auto"/>
              <w:jc w:val="right"/>
              <w:rPr>
                <w:color w:val="000000"/>
                <w:sz w:val="22"/>
                <w:szCs w:val="22"/>
                <w:lang w:bidi="ar-SA"/>
              </w:rPr>
            </w:pPr>
            <w:r w:rsidRPr="007239A6">
              <w:rPr>
                <w:sz w:val="20"/>
                <w:szCs w:val="20"/>
              </w:rPr>
              <w:t xml:space="preserve">125 </w:t>
            </w:r>
          </w:p>
        </w:tc>
        <w:tc>
          <w:tcPr>
            <w:tcW w:w="1769" w:type="dxa"/>
            <w:tcBorders>
              <w:top w:val="nil"/>
              <w:left w:val="nil"/>
              <w:bottom w:val="nil"/>
              <w:right w:val="nil"/>
            </w:tcBorders>
            <w:vAlign w:val="bottom"/>
          </w:tcPr>
          <w:p w14:paraId="0A868213" w14:textId="6CFDE58B" w:rsidR="00015A86" w:rsidRPr="00A54231" w:rsidRDefault="00015A86" w:rsidP="004C356D">
            <w:pPr>
              <w:spacing w:after="0" w:line="240" w:lineRule="auto"/>
              <w:jc w:val="right"/>
              <w:rPr>
                <w:sz w:val="20"/>
                <w:szCs w:val="20"/>
              </w:rPr>
            </w:pPr>
            <w:r w:rsidRPr="00A54231">
              <w:rPr>
                <w:color w:val="000000"/>
                <w:sz w:val="20"/>
                <w:szCs w:val="20"/>
              </w:rPr>
              <w:t>-106.64</w:t>
            </w:r>
          </w:p>
        </w:tc>
      </w:tr>
      <w:tr w:rsidR="00015A86" w:rsidRPr="007239A6" w14:paraId="4E965721" w14:textId="6538D690" w:rsidTr="00181ACD">
        <w:trPr>
          <w:trHeight w:val="288"/>
        </w:trPr>
        <w:tc>
          <w:tcPr>
            <w:tcW w:w="1586" w:type="dxa"/>
            <w:tcBorders>
              <w:top w:val="nil"/>
              <w:left w:val="nil"/>
              <w:bottom w:val="nil"/>
              <w:right w:val="nil"/>
            </w:tcBorders>
            <w:shd w:val="clear" w:color="auto" w:fill="auto"/>
            <w:noWrap/>
            <w:vAlign w:val="bottom"/>
            <w:hideMark/>
          </w:tcPr>
          <w:p w14:paraId="34DE0D3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Glastonbury</w:t>
            </w:r>
          </w:p>
        </w:tc>
        <w:tc>
          <w:tcPr>
            <w:tcW w:w="1261" w:type="dxa"/>
            <w:tcBorders>
              <w:top w:val="nil"/>
              <w:left w:val="nil"/>
              <w:bottom w:val="nil"/>
              <w:right w:val="nil"/>
            </w:tcBorders>
            <w:shd w:val="clear" w:color="auto" w:fill="auto"/>
            <w:noWrap/>
            <w:vAlign w:val="bottom"/>
          </w:tcPr>
          <w:p w14:paraId="45AE4CC0" w14:textId="419494C1" w:rsidR="00015A86" w:rsidRPr="007239A6" w:rsidRDefault="00015A86" w:rsidP="004C356D">
            <w:pPr>
              <w:spacing w:after="0" w:line="240" w:lineRule="auto"/>
              <w:jc w:val="right"/>
              <w:rPr>
                <w:color w:val="000000"/>
                <w:sz w:val="22"/>
                <w:szCs w:val="22"/>
                <w:lang w:bidi="ar-SA"/>
              </w:rPr>
            </w:pPr>
            <w:r w:rsidRPr="007239A6">
              <w:rPr>
                <w:sz w:val="20"/>
                <w:szCs w:val="20"/>
              </w:rPr>
              <w:t>4,305.7</w:t>
            </w:r>
          </w:p>
        </w:tc>
        <w:tc>
          <w:tcPr>
            <w:tcW w:w="1293" w:type="dxa"/>
            <w:tcBorders>
              <w:top w:val="nil"/>
              <w:left w:val="nil"/>
              <w:bottom w:val="nil"/>
              <w:right w:val="nil"/>
            </w:tcBorders>
            <w:shd w:val="clear" w:color="auto" w:fill="auto"/>
            <w:noWrap/>
            <w:vAlign w:val="bottom"/>
          </w:tcPr>
          <w:p w14:paraId="4AC3440E" w14:textId="21E78020" w:rsidR="00015A86" w:rsidRPr="007239A6" w:rsidRDefault="00015A86" w:rsidP="004C356D">
            <w:pPr>
              <w:spacing w:after="0" w:line="240" w:lineRule="auto"/>
              <w:jc w:val="right"/>
              <w:rPr>
                <w:color w:val="000000"/>
                <w:sz w:val="22"/>
                <w:szCs w:val="22"/>
                <w:lang w:bidi="ar-SA"/>
              </w:rPr>
            </w:pPr>
            <w:r w:rsidRPr="007239A6">
              <w:rPr>
                <w:sz w:val="20"/>
                <w:szCs w:val="20"/>
              </w:rPr>
              <w:t xml:space="preserve">125 </w:t>
            </w:r>
          </w:p>
        </w:tc>
        <w:tc>
          <w:tcPr>
            <w:tcW w:w="1650" w:type="dxa"/>
            <w:tcBorders>
              <w:top w:val="nil"/>
              <w:left w:val="nil"/>
              <w:bottom w:val="nil"/>
              <w:right w:val="nil"/>
            </w:tcBorders>
            <w:shd w:val="clear" w:color="auto" w:fill="auto"/>
            <w:noWrap/>
            <w:vAlign w:val="bottom"/>
          </w:tcPr>
          <w:p w14:paraId="4016B2EA" w14:textId="707760F4" w:rsidR="00015A86" w:rsidRPr="007239A6" w:rsidRDefault="00015A86" w:rsidP="004C356D">
            <w:pPr>
              <w:spacing w:after="0" w:line="240" w:lineRule="auto"/>
              <w:jc w:val="right"/>
              <w:rPr>
                <w:color w:val="000000"/>
                <w:sz w:val="22"/>
                <w:szCs w:val="22"/>
                <w:lang w:bidi="ar-SA"/>
              </w:rPr>
            </w:pPr>
            <w:r w:rsidRPr="007239A6">
              <w:rPr>
                <w:sz w:val="20"/>
                <w:szCs w:val="20"/>
              </w:rPr>
              <w:t>4614.2</w:t>
            </w:r>
          </w:p>
        </w:tc>
        <w:tc>
          <w:tcPr>
            <w:tcW w:w="1289" w:type="dxa"/>
            <w:tcBorders>
              <w:top w:val="nil"/>
              <w:left w:val="nil"/>
              <w:bottom w:val="nil"/>
              <w:right w:val="nil"/>
            </w:tcBorders>
            <w:shd w:val="clear" w:color="auto" w:fill="auto"/>
            <w:noWrap/>
            <w:vAlign w:val="bottom"/>
          </w:tcPr>
          <w:p w14:paraId="41DA8F14" w14:textId="782CDCBE" w:rsidR="00015A86" w:rsidRPr="007239A6" w:rsidRDefault="00015A86" w:rsidP="004C356D">
            <w:pPr>
              <w:spacing w:after="0" w:line="240" w:lineRule="auto"/>
              <w:jc w:val="right"/>
              <w:rPr>
                <w:color w:val="000000"/>
                <w:sz w:val="22"/>
                <w:szCs w:val="22"/>
                <w:lang w:bidi="ar-SA"/>
              </w:rPr>
            </w:pPr>
            <w:r w:rsidRPr="007239A6">
              <w:rPr>
                <w:sz w:val="20"/>
                <w:szCs w:val="20"/>
              </w:rPr>
              <w:t xml:space="preserve">134 </w:t>
            </w:r>
          </w:p>
        </w:tc>
        <w:tc>
          <w:tcPr>
            <w:tcW w:w="1769" w:type="dxa"/>
            <w:tcBorders>
              <w:top w:val="nil"/>
              <w:left w:val="nil"/>
              <w:bottom w:val="nil"/>
              <w:right w:val="nil"/>
            </w:tcBorders>
            <w:vAlign w:val="bottom"/>
          </w:tcPr>
          <w:p w14:paraId="2CA6446B" w14:textId="5A4E0D0D" w:rsidR="00015A86" w:rsidRPr="00A54231" w:rsidRDefault="00015A86" w:rsidP="004C356D">
            <w:pPr>
              <w:spacing w:after="0" w:line="240" w:lineRule="auto"/>
              <w:jc w:val="right"/>
              <w:rPr>
                <w:sz w:val="20"/>
                <w:szCs w:val="20"/>
              </w:rPr>
            </w:pPr>
            <w:r w:rsidRPr="00A54231">
              <w:rPr>
                <w:color w:val="000000"/>
                <w:sz w:val="20"/>
                <w:szCs w:val="20"/>
              </w:rPr>
              <w:t>-274.55</w:t>
            </w:r>
          </w:p>
        </w:tc>
      </w:tr>
      <w:tr w:rsidR="00015A86" w:rsidRPr="007239A6" w14:paraId="4F9A0330" w14:textId="019B8F4C" w:rsidTr="00181ACD">
        <w:trPr>
          <w:trHeight w:val="288"/>
        </w:trPr>
        <w:tc>
          <w:tcPr>
            <w:tcW w:w="1586" w:type="dxa"/>
            <w:tcBorders>
              <w:top w:val="nil"/>
              <w:left w:val="nil"/>
              <w:bottom w:val="nil"/>
              <w:right w:val="nil"/>
            </w:tcBorders>
            <w:shd w:val="clear" w:color="auto" w:fill="auto"/>
            <w:noWrap/>
            <w:vAlign w:val="bottom"/>
            <w:hideMark/>
          </w:tcPr>
          <w:p w14:paraId="78995A89"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Goshen</w:t>
            </w:r>
          </w:p>
        </w:tc>
        <w:tc>
          <w:tcPr>
            <w:tcW w:w="1261" w:type="dxa"/>
            <w:tcBorders>
              <w:top w:val="nil"/>
              <w:left w:val="nil"/>
              <w:bottom w:val="nil"/>
              <w:right w:val="nil"/>
            </w:tcBorders>
            <w:shd w:val="clear" w:color="auto" w:fill="auto"/>
            <w:noWrap/>
            <w:vAlign w:val="bottom"/>
          </w:tcPr>
          <w:p w14:paraId="2E3339E6" w14:textId="7C1B7C03" w:rsidR="00015A86" w:rsidRPr="007239A6" w:rsidRDefault="00015A86" w:rsidP="004C356D">
            <w:pPr>
              <w:spacing w:after="0" w:line="240" w:lineRule="auto"/>
              <w:jc w:val="right"/>
              <w:rPr>
                <w:color w:val="000000"/>
                <w:sz w:val="22"/>
                <w:szCs w:val="22"/>
                <w:lang w:bidi="ar-SA"/>
              </w:rPr>
            </w:pPr>
            <w:r w:rsidRPr="007239A6">
              <w:rPr>
                <w:sz w:val="20"/>
                <w:szCs w:val="20"/>
              </w:rPr>
              <w:t>127.1</w:t>
            </w:r>
          </w:p>
        </w:tc>
        <w:tc>
          <w:tcPr>
            <w:tcW w:w="1293" w:type="dxa"/>
            <w:tcBorders>
              <w:top w:val="nil"/>
              <w:left w:val="nil"/>
              <w:bottom w:val="nil"/>
              <w:right w:val="nil"/>
            </w:tcBorders>
            <w:shd w:val="clear" w:color="auto" w:fill="auto"/>
            <w:noWrap/>
            <w:vAlign w:val="bottom"/>
          </w:tcPr>
          <w:p w14:paraId="7E40F768" w14:textId="492B1D5F" w:rsidR="00015A86" w:rsidRPr="007239A6" w:rsidRDefault="00015A86" w:rsidP="004C356D">
            <w:pPr>
              <w:spacing w:after="0" w:line="240" w:lineRule="auto"/>
              <w:jc w:val="right"/>
              <w:rPr>
                <w:color w:val="000000"/>
                <w:sz w:val="22"/>
                <w:szCs w:val="22"/>
                <w:lang w:bidi="ar-SA"/>
              </w:rPr>
            </w:pPr>
            <w:r w:rsidRPr="007239A6">
              <w:rPr>
                <w:sz w:val="20"/>
                <w:szCs w:val="20"/>
              </w:rPr>
              <w:t xml:space="preserve">43 </w:t>
            </w:r>
          </w:p>
        </w:tc>
        <w:tc>
          <w:tcPr>
            <w:tcW w:w="1650" w:type="dxa"/>
            <w:tcBorders>
              <w:top w:val="nil"/>
              <w:left w:val="nil"/>
              <w:bottom w:val="nil"/>
              <w:right w:val="nil"/>
            </w:tcBorders>
            <w:shd w:val="clear" w:color="auto" w:fill="auto"/>
            <w:noWrap/>
            <w:vAlign w:val="bottom"/>
          </w:tcPr>
          <w:p w14:paraId="1D603C3B" w14:textId="2ECF7723" w:rsidR="00015A86" w:rsidRPr="007239A6" w:rsidRDefault="00015A86" w:rsidP="004C356D">
            <w:pPr>
              <w:spacing w:after="0" w:line="240" w:lineRule="auto"/>
              <w:jc w:val="right"/>
              <w:rPr>
                <w:color w:val="000000"/>
                <w:sz w:val="22"/>
                <w:szCs w:val="22"/>
                <w:lang w:bidi="ar-SA"/>
              </w:rPr>
            </w:pPr>
            <w:r w:rsidRPr="007239A6">
              <w:rPr>
                <w:sz w:val="20"/>
                <w:szCs w:val="20"/>
              </w:rPr>
              <w:t>268.9</w:t>
            </w:r>
          </w:p>
        </w:tc>
        <w:tc>
          <w:tcPr>
            <w:tcW w:w="1289" w:type="dxa"/>
            <w:tcBorders>
              <w:top w:val="nil"/>
              <w:left w:val="nil"/>
              <w:bottom w:val="nil"/>
              <w:right w:val="nil"/>
            </w:tcBorders>
            <w:shd w:val="clear" w:color="auto" w:fill="auto"/>
            <w:noWrap/>
            <w:vAlign w:val="bottom"/>
          </w:tcPr>
          <w:p w14:paraId="0FF36932" w14:textId="6C1D5D6E" w:rsidR="00015A86" w:rsidRPr="007239A6" w:rsidRDefault="00015A86" w:rsidP="004C356D">
            <w:pPr>
              <w:spacing w:after="0" w:line="240" w:lineRule="auto"/>
              <w:jc w:val="right"/>
              <w:rPr>
                <w:color w:val="000000"/>
                <w:sz w:val="22"/>
                <w:szCs w:val="22"/>
                <w:lang w:bidi="ar-SA"/>
              </w:rPr>
            </w:pPr>
            <w:r w:rsidRPr="007239A6">
              <w:rPr>
                <w:sz w:val="20"/>
                <w:szCs w:val="20"/>
              </w:rPr>
              <w:t xml:space="preserve">91 </w:t>
            </w:r>
          </w:p>
        </w:tc>
        <w:tc>
          <w:tcPr>
            <w:tcW w:w="1769" w:type="dxa"/>
            <w:tcBorders>
              <w:top w:val="nil"/>
              <w:left w:val="nil"/>
              <w:bottom w:val="nil"/>
              <w:right w:val="nil"/>
            </w:tcBorders>
            <w:vAlign w:val="bottom"/>
          </w:tcPr>
          <w:p w14:paraId="51D14C99" w14:textId="5E94357D" w:rsidR="00015A86" w:rsidRPr="00A54231" w:rsidRDefault="00015A86" w:rsidP="004C356D">
            <w:pPr>
              <w:spacing w:after="0" w:line="240" w:lineRule="auto"/>
              <w:jc w:val="right"/>
              <w:rPr>
                <w:sz w:val="20"/>
                <w:szCs w:val="20"/>
              </w:rPr>
            </w:pPr>
            <w:r w:rsidRPr="00A54231">
              <w:rPr>
                <w:color w:val="000000"/>
                <w:sz w:val="20"/>
                <w:szCs w:val="20"/>
              </w:rPr>
              <w:t>-1167.21</w:t>
            </w:r>
          </w:p>
        </w:tc>
      </w:tr>
      <w:tr w:rsidR="00015A86" w:rsidRPr="007239A6" w14:paraId="52CF6E33" w14:textId="6574648B" w:rsidTr="00181ACD">
        <w:trPr>
          <w:trHeight w:val="288"/>
        </w:trPr>
        <w:tc>
          <w:tcPr>
            <w:tcW w:w="1586" w:type="dxa"/>
            <w:tcBorders>
              <w:top w:val="nil"/>
              <w:left w:val="nil"/>
              <w:bottom w:val="nil"/>
              <w:right w:val="nil"/>
            </w:tcBorders>
            <w:shd w:val="clear" w:color="auto" w:fill="auto"/>
            <w:noWrap/>
            <w:vAlign w:val="bottom"/>
            <w:hideMark/>
          </w:tcPr>
          <w:p w14:paraId="627939E1"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Granby</w:t>
            </w:r>
          </w:p>
        </w:tc>
        <w:tc>
          <w:tcPr>
            <w:tcW w:w="1261" w:type="dxa"/>
            <w:tcBorders>
              <w:top w:val="nil"/>
              <w:left w:val="nil"/>
              <w:bottom w:val="nil"/>
              <w:right w:val="nil"/>
            </w:tcBorders>
            <w:shd w:val="clear" w:color="auto" w:fill="auto"/>
            <w:noWrap/>
            <w:vAlign w:val="bottom"/>
          </w:tcPr>
          <w:p w14:paraId="5FAE46BA" w14:textId="45717F5E" w:rsidR="00015A86" w:rsidRPr="007239A6" w:rsidRDefault="00015A86" w:rsidP="004C356D">
            <w:pPr>
              <w:spacing w:after="0" w:line="240" w:lineRule="auto"/>
              <w:jc w:val="right"/>
              <w:rPr>
                <w:color w:val="000000"/>
                <w:sz w:val="22"/>
                <w:szCs w:val="22"/>
                <w:lang w:bidi="ar-SA"/>
              </w:rPr>
            </w:pPr>
            <w:r w:rsidRPr="007239A6">
              <w:rPr>
                <w:sz w:val="20"/>
                <w:szCs w:val="20"/>
              </w:rPr>
              <w:t>765.3</w:t>
            </w:r>
          </w:p>
        </w:tc>
        <w:tc>
          <w:tcPr>
            <w:tcW w:w="1293" w:type="dxa"/>
            <w:tcBorders>
              <w:top w:val="nil"/>
              <w:left w:val="nil"/>
              <w:bottom w:val="nil"/>
              <w:right w:val="nil"/>
            </w:tcBorders>
            <w:shd w:val="clear" w:color="auto" w:fill="auto"/>
            <w:noWrap/>
            <w:vAlign w:val="bottom"/>
          </w:tcPr>
          <w:p w14:paraId="3BDC2D2E" w14:textId="1612A5DF" w:rsidR="00015A86" w:rsidRPr="007239A6" w:rsidRDefault="00015A86" w:rsidP="004C356D">
            <w:pPr>
              <w:spacing w:after="0" w:line="240" w:lineRule="auto"/>
              <w:jc w:val="right"/>
              <w:rPr>
                <w:color w:val="000000"/>
                <w:sz w:val="22"/>
                <w:szCs w:val="22"/>
                <w:lang w:bidi="ar-SA"/>
              </w:rPr>
            </w:pPr>
            <w:r w:rsidRPr="007239A6">
              <w:rPr>
                <w:sz w:val="20"/>
                <w:szCs w:val="20"/>
              </w:rPr>
              <w:t xml:space="preserve">68 </w:t>
            </w:r>
          </w:p>
        </w:tc>
        <w:tc>
          <w:tcPr>
            <w:tcW w:w="1650" w:type="dxa"/>
            <w:tcBorders>
              <w:top w:val="nil"/>
              <w:left w:val="nil"/>
              <w:bottom w:val="nil"/>
              <w:right w:val="nil"/>
            </w:tcBorders>
            <w:shd w:val="clear" w:color="auto" w:fill="auto"/>
            <w:noWrap/>
            <w:vAlign w:val="bottom"/>
          </w:tcPr>
          <w:p w14:paraId="08BE0EDD" w14:textId="681A555A" w:rsidR="00015A86" w:rsidRPr="007239A6" w:rsidRDefault="00015A86" w:rsidP="004C356D">
            <w:pPr>
              <w:spacing w:after="0" w:line="240" w:lineRule="auto"/>
              <w:jc w:val="right"/>
              <w:rPr>
                <w:color w:val="000000"/>
                <w:sz w:val="22"/>
                <w:szCs w:val="22"/>
                <w:lang w:bidi="ar-SA"/>
              </w:rPr>
            </w:pPr>
            <w:r w:rsidRPr="007239A6">
              <w:rPr>
                <w:sz w:val="20"/>
                <w:szCs w:val="20"/>
              </w:rPr>
              <w:t>1112.0</w:t>
            </w:r>
          </w:p>
        </w:tc>
        <w:tc>
          <w:tcPr>
            <w:tcW w:w="1289" w:type="dxa"/>
            <w:tcBorders>
              <w:top w:val="nil"/>
              <w:left w:val="nil"/>
              <w:bottom w:val="nil"/>
              <w:right w:val="nil"/>
            </w:tcBorders>
            <w:shd w:val="clear" w:color="auto" w:fill="auto"/>
            <w:noWrap/>
            <w:vAlign w:val="bottom"/>
          </w:tcPr>
          <w:p w14:paraId="7E4CDCE5" w14:textId="3D964144" w:rsidR="00015A86" w:rsidRPr="007239A6" w:rsidRDefault="00015A86" w:rsidP="004C356D">
            <w:pPr>
              <w:spacing w:after="0" w:line="240" w:lineRule="auto"/>
              <w:jc w:val="right"/>
              <w:rPr>
                <w:color w:val="000000"/>
                <w:sz w:val="22"/>
                <w:szCs w:val="22"/>
                <w:lang w:bidi="ar-SA"/>
              </w:rPr>
            </w:pPr>
            <w:r w:rsidRPr="007239A6">
              <w:rPr>
                <w:sz w:val="20"/>
                <w:szCs w:val="20"/>
              </w:rPr>
              <w:t xml:space="preserve">99 </w:t>
            </w:r>
          </w:p>
        </w:tc>
        <w:tc>
          <w:tcPr>
            <w:tcW w:w="1769" w:type="dxa"/>
            <w:tcBorders>
              <w:top w:val="nil"/>
              <w:left w:val="nil"/>
              <w:bottom w:val="nil"/>
              <w:right w:val="nil"/>
            </w:tcBorders>
            <w:vAlign w:val="bottom"/>
          </w:tcPr>
          <w:p w14:paraId="2B518D08" w14:textId="5F235BCC" w:rsidR="00015A86" w:rsidRPr="00A54231" w:rsidRDefault="00015A86" w:rsidP="004C356D">
            <w:pPr>
              <w:spacing w:after="0" w:line="240" w:lineRule="auto"/>
              <w:jc w:val="right"/>
              <w:rPr>
                <w:sz w:val="20"/>
                <w:szCs w:val="20"/>
              </w:rPr>
            </w:pPr>
            <w:r w:rsidRPr="00A54231">
              <w:rPr>
                <w:color w:val="000000"/>
                <w:sz w:val="20"/>
                <w:szCs w:val="20"/>
              </w:rPr>
              <w:t>-26.11</w:t>
            </w:r>
          </w:p>
        </w:tc>
      </w:tr>
      <w:tr w:rsidR="00015A86" w:rsidRPr="007239A6" w14:paraId="569335E0" w14:textId="729C3FC0" w:rsidTr="00181ACD">
        <w:trPr>
          <w:trHeight w:val="288"/>
        </w:trPr>
        <w:tc>
          <w:tcPr>
            <w:tcW w:w="1586" w:type="dxa"/>
            <w:tcBorders>
              <w:top w:val="nil"/>
              <w:left w:val="nil"/>
              <w:bottom w:val="nil"/>
              <w:right w:val="nil"/>
            </w:tcBorders>
            <w:shd w:val="clear" w:color="auto" w:fill="auto"/>
            <w:noWrap/>
            <w:vAlign w:val="bottom"/>
            <w:hideMark/>
          </w:tcPr>
          <w:p w14:paraId="7AC3794F"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Greenwich</w:t>
            </w:r>
          </w:p>
        </w:tc>
        <w:tc>
          <w:tcPr>
            <w:tcW w:w="1261" w:type="dxa"/>
            <w:tcBorders>
              <w:top w:val="nil"/>
              <w:left w:val="nil"/>
              <w:bottom w:val="nil"/>
              <w:right w:val="nil"/>
            </w:tcBorders>
            <w:shd w:val="clear" w:color="auto" w:fill="auto"/>
            <w:noWrap/>
            <w:vAlign w:val="bottom"/>
          </w:tcPr>
          <w:p w14:paraId="3811C349" w14:textId="2E3011CA" w:rsidR="00015A86" w:rsidRPr="007239A6" w:rsidRDefault="00015A86" w:rsidP="004C356D">
            <w:pPr>
              <w:spacing w:after="0" w:line="240" w:lineRule="auto"/>
              <w:jc w:val="right"/>
              <w:rPr>
                <w:color w:val="000000"/>
                <w:sz w:val="22"/>
                <w:szCs w:val="22"/>
                <w:lang w:bidi="ar-SA"/>
              </w:rPr>
            </w:pPr>
            <w:r w:rsidRPr="007239A6">
              <w:rPr>
                <w:sz w:val="20"/>
                <w:szCs w:val="20"/>
              </w:rPr>
              <w:t>12,264.5</w:t>
            </w:r>
          </w:p>
        </w:tc>
        <w:tc>
          <w:tcPr>
            <w:tcW w:w="1293" w:type="dxa"/>
            <w:tcBorders>
              <w:top w:val="nil"/>
              <w:left w:val="nil"/>
              <w:bottom w:val="nil"/>
              <w:right w:val="nil"/>
            </w:tcBorders>
            <w:shd w:val="clear" w:color="auto" w:fill="auto"/>
            <w:noWrap/>
            <w:vAlign w:val="bottom"/>
          </w:tcPr>
          <w:p w14:paraId="1C7D9D77" w14:textId="6472261D" w:rsidR="00015A86" w:rsidRPr="007239A6" w:rsidRDefault="00015A86" w:rsidP="004C356D">
            <w:pPr>
              <w:spacing w:after="0" w:line="240" w:lineRule="auto"/>
              <w:jc w:val="right"/>
              <w:rPr>
                <w:color w:val="000000"/>
                <w:sz w:val="22"/>
                <w:szCs w:val="22"/>
                <w:lang w:bidi="ar-SA"/>
              </w:rPr>
            </w:pPr>
            <w:r w:rsidRPr="007239A6">
              <w:rPr>
                <w:sz w:val="20"/>
                <w:szCs w:val="20"/>
              </w:rPr>
              <w:t xml:space="preserve">199 </w:t>
            </w:r>
          </w:p>
        </w:tc>
        <w:tc>
          <w:tcPr>
            <w:tcW w:w="1650" w:type="dxa"/>
            <w:tcBorders>
              <w:top w:val="nil"/>
              <w:left w:val="nil"/>
              <w:bottom w:val="nil"/>
              <w:right w:val="nil"/>
            </w:tcBorders>
            <w:shd w:val="clear" w:color="auto" w:fill="auto"/>
            <w:noWrap/>
            <w:vAlign w:val="bottom"/>
          </w:tcPr>
          <w:p w14:paraId="1A0E9ED2" w14:textId="55493D27" w:rsidR="00015A86" w:rsidRPr="007239A6" w:rsidRDefault="00015A86" w:rsidP="004C356D">
            <w:pPr>
              <w:spacing w:after="0" w:line="240" w:lineRule="auto"/>
              <w:jc w:val="right"/>
              <w:rPr>
                <w:color w:val="000000"/>
                <w:sz w:val="22"/>
                <w:szCs w:val="22"/>
                <w:lang w:bidi="ar-SA"/>
              </w:rPr>
            </w:pPr>
            <w:r w:rsidRPr="007239A6">
              <w:rPr>
                <w:sz w:val="20"/>
                <w:szCs w:val="20"/>
              </w:rPr>
              <w:t>11641.9</w:t>
            </w:r>
          </w:p>
        </w:tc>
        <w:tc>
          <w:tcPr>
            <w:tcW w:w="1289" w:type="dxa"/>
            <w:tcBorders>
              <w:top w:val="nil"/>
              <w:left w:val="nil"/>
              <w:bottom w:val="nil"/>
              <w:right w:val="nil"/>
            </w:tcBorders>
            <w:shd w:val="clear" w:color="auto" w:fill="auto"/>
            <w:noWrap/>
            <w:vAlign w:val="bottom"/>
          </w:tcPr>
          <w:p w14:paraId="3DEFA7CB" w14:textId="4852B4BB" w:rsidR="00015A86" w:rsidRPr="007239A6" w:rsidRDefault="00015A86" w:rsidP="004C356D">
            <w:pPr>
              <w:spacing w:after="0" w:line="240" w:lineRule="auto"/>
              <w:jc w:val="right"/>
              <w:rPr>
                <w:color w:val="000000"/>
                <w:sz w:val="22"/>
                <w:szCs w:val="22"/>
                <w:lang w:bidi="ar-SA"/>
              </w:rPr>
            </w:pPr>
            <w:r w:rsidRPr="007239A6">
              <w:rPr>
                <w:sz w:val="20"/>
                <w:szCs w:val="20"/>
              </w:rPr>
              <w:t xml:space="preserve">189 </w:t>
            </w:r>
          </w:p>
        </w:tc>
        <w:tc>
          <w:tcPr>
            <w:tcW w:w="1769" w:type="dxa"/>
            <w:tcBorders>
              <w:top w:val="nil"/>
              <w:left w:val="nil"/>
              <w:bottom w:val="nil"/>
              <w:right w:val="nil"/>
            </w:tcBorders>
            <w:vAlign w:val="bottom"/>
          </w:tcPr>
          <w:p w14:paraId="00853BBD" w14:textId="221A5C4A" w:rsidR="00015A86" w:rsidRPr="00A54231" w:rsidRDefault="00015A86" w:rsidP="004C356D">
            <w:pPr>
              <w:spacing w:after="0" w:line="240" w:lineRule="auto"/>
              <w:jc w:val="right"/>
              <w:rPr>
                <w:sz w:val="20"/>
                <w:szCs w:val="20"/>
              </w:rPr>
            </w:pPr>
            <w:r w:rsidRPr="00A54231">
              <w:rPr>
                <w:color w:val="000000"/>
                <w:sz w:val="20"/>
                <w:szCs w:val="20"/>
              </w:rPr>
              <w:t>-5325.65</w:t>
            </w:r>
          </w:p>
        </w:tc>
      </w:tr>
      <w:tr w:rsidR="00015A86" w:rsidRPr="007239A6" w14:paraId="64138B65" w14:textId="12517FEE" w:rsidTr="00181ACD">
        <w:trPr>
          <w:trHeight w:val="288"/>
        </w:trPr>
        <w:tc>
          <w:tcPr>
            <w:tcW w:w="1586" w:type="dxa"/>
            <w:tcBorders>
              <w:top w:val="nil"/>
              <w:left w:val="nil"/>
              <w:bottom w:val="nil"/>
              <w:right w:val="nil"/>
            </w:tcBorders>
            <w:shd w:val="clear" w:color="auto" w:fill="auto"/>
            <w:noWrap/>
            <w:vAlign w:val="bottom"/>
            <w:hideMark/>
          </w:tcPr>
          <w:p w14:paraId="6886B940"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Griswold</w:t>
            </w:r>
          </w:p>
        </w:tc>
        <w:tc>
          <w:tcPr>
            <w:tcW w:w="1261" w:type="dxa"/>
            <w:tcBorders>
              <w:top w:val="nil"/>
              <w:left w:val="nil"/>
              <w:bottom w:val="nil"/>
              <w:right w:val="nil"/>
            </w:tcBorders>
            <w:shd w:val="clear" w:color="auto" w:fill="auto"/>
            <w:noWrap/>
            <w:vAlign w:val="bottom"/>
          </w:tcPr>
          <w:p w14:paraId="137DB527" w14:textId="052747A8" w:rsidR="00015A86" w:rsidRPr="007239A6" w:rsidRDefault="00015A86" w:rsidP="004C356D">
            <w:pPr>
              <w:spacing w:after="0" w:line="240" w:lineRule="auto"/>
              <w:jc w:val="right"/>
              <w:rPr>
                <w:color w:val="000000"/>
                <w:sz w:val="22"/>
                <w:szCs w:val="22"/>
                <w:lang w:bidi="ar-SA"/>
              </w:rPr>
            </w:pPr>
            <w:r w:rsidRPr="007239A6">
              <w:rPr>
                <w:sz w:val="20"/>
                <w:szCs w:val="20"/>
              </w:rPr>
              <w:t>386.3</w:t>
            </w:r>
          </w:p>
        </w:tc>
        <w:tc>
          <w:tcPr>
            <w:tcW w:w="1293" w:type="dxa"/>
            <w:tcBorders>
              <w:top w:val="nil"/>
              <w:left w:val="nil"/>
              <w:bottom w:val="nil"/>
              <w:right w:val="nil"/>
            </w:tcBorders>
            <w:shd w:val="clear" w:color="auto" w:fill="auto"/>
            <w:noWrap/>
            <w:vAlign w:val="bottom"/>
          </w:tcPr>
          <w:p w14:paraId="589B5808" w14:textId="0A2D1907" w:rsidR="00015A86" w:rsidRPr="007239A6" w:rsidRDefault="00015A86" w:rsidP="004C356D">
            <w:pPr>
              <w:spacing w:after="0" w:line="240" w:lineRule="auto"/>
              <w:jc w:val="right"/>
              <w:rPr>
                <w:color w:val="000000"/>
                <w:sz w:val="22"/>
                <w:szCs w:val="22"/>
                <w:lang w:bidi="ar-SA"/>
              </w:rPr>
            </w:pPr>
            <w:r w:rsidRPr="007239A6">
              <w:rPr>
                <w:sz w:val="20"/>
                <w:szCs w:val="20"/>
              </w:rPr>
              <w:t xml:space="preserve">32 </w:t>
            </w:r>
          </w:p>
        </w:tc>
        <w:tc>
          <w:tcPr>
            <w:tcW w:w="1650" w:type="dxa"/>
            <w:tcBorders>
              <w:top w:val="nil"/>
              <w:left w:val="nil"/>
              <w:bottom w:val="nil"/>
              <w:right w:val="nil"/>
            </w:tcBorders>
            <w:shd w:val="clear" w:color="auto" w:fill="auto"/>
            <w:noWrap/>
            <w:vAlign w:val="bottom"/>
          </w:tcPr>
          <w:p w14:paraId="5A8D13F4" w14:textId="75BBEABD" w:rsidR="00015A86" w:rsidRPr="007239A6" w:rsidRDefault="00015A86" w:rsidP="004C356D">
            <w:pPr>
              <w:spacing w:after="0" w:line="240" w:lineRule="auto"/>
              <w:jc w:val="right"/>
              <w:rPr>
                <w:color w:val="000000"/>
                <w:sz w:val="22"/>
                <w:szCs w:val="22"/>
                <w:lang w:bidi="ar-SA"/>
              </w:rPr>
            </w:pPr>
            <w:r w:rsidRPr="007239A6">
              <w:rPr>
                <w:sz w:val="20"/>
                <w:szCs w:val="20"/>
              </w:rPr>
              <w:t>891.8</w:t>
            </w:r>
          </w:p>
        </w:tc>
        <w:tc>
          <w:tcPr>
            <w:tcW w:w="1289" w:type="dxa"/>
            <w:tcBorders>
              <w:top w:val="nil"/>
              <w:left w:val="nil"/>
              <w:bottom w:val="nil"/>
              <w:right w:val="nil"/>
            </w:tcBorders>
            <w:shd w:val="clear" w:color="auto" w:fill="auto"/>
            <w:noWrap/>
            <w:vAlign w:val="bottom"/>
          </w:tcPr>
          <w:p w14:paraId="71436ACD" w14:textId="27EC3A69" w:rsidR="00015A86" w:rsidRPr="007239A6" w:rsidRDefault="00015A86" w:rsidP="004C356D">
            <w:pPr>
              <w:spacing w:after="0" w:line="240" w:lineRule="auto"/>
              <w:jc w:val="right"/>
              <w:rPr>
                <w:color w:val="000000"/>
                <w:sz w:val="22"/>
                <w:szCs w:val="22"/>
                <w:lang w:bidi="ar-SA"/>
              </w:rPr>
            </w:pPr>
            <w:r w:rsidRPr="007239A6">
              <w:rPr>
                <w:sz w:val="20"/>
                <w:szCs w:val="20"/>
              </w:rPr>
              <w:t xml:space="preserve">75 </w:t>
            </w:r>
          </w:p>
        </w:tc>
        <w:tc>
          <w:tcPr>
            <w:tcW w:w="1769" w:type="dxa"/>
            <w:tcBorders>
              <w:top w:val="nil"/>
              <w:left w:val="nil"/>
              <w:bottom w:val="nil"/>
              <w:right w:val="nil"/>
            </w:tcBorders>
            <w:vAlign w:val="bottom"/>
          </w:tcPr>
          <w:p w14:paraId="76FCF81C" w14:textId="5F97C835" w:rsidR="00015A86" w:rsidRPr="00A54231" w:rsidRDefault="00015A86" w:rsidP="004C356D">
            <w:pPr>
              <w:spacing w:after="0" w:line="240" w:lineRule="auto"/>
              <w:jc w:val="right"/>
              <w:rPr>
                <w:sz w:val="20"/>
                <w:szCs w:val="20"/>
              </w:rPr>
            </w:pPr>
            <w:r w:rsidRPr="00A54231">
              <w:rPr>
                <w:color w:val="000000"/>
                <w:sz w:val="20"/>
                <w:szCs w:val="20"/>
              </w:rPr>
              <w:t>360.87</w:t>
            </w:r>
          </w:p>
        </w:tc>
      </w:tr>
      <w:tr w:rsidR="00015A86" w:rsidRPr="007239A6" w14:paraId="7BDB3325" w14:textId="61C736AB" w:rsidTr="00181ACD">
        <w:trPr>
          <w:trHeight w:val="288"/>
        </w:trPr>
        <w:tc>
          <w:tcPr>
            <w:tcW w:w="1586" w:type="dxa"/>
            <w:tcBorders>
              <w:top w:val="nil"/>
              <w:left w:val="nil"/>
              <w:bottom w:val="nil"/>
              <w:right w:val="nil"/>
            </w:tcBorders>
            <w:shd w:val="clear" w:color="auto" w:fill="auto"/>
            <w:noWrap/>
            <w:vAlign w:val="bottom"/>
            <w:hideMark/>
          </w:tcPr>
          <w:p w14:paraId="5CD782A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Groton</w:t>
            </w:r>
          </w:p>
        </w:tc>
        <w:tc>
          <w:tcPr>
            <w:tcW w:w="1261" w:type="dxa"/>
            <w:tcBorders>
              <w:top w:val="nil"/>
              <w:left w:val="nil"/>
              <w:bottom w:val="nil"/>
              <w:right w:val="nil"/>
            </w:tcBorders>
            <w:shd w:val="clear" w:color="auto" w:fill="auto"/>
            <w:noWrap/>
            <w:vAlign w:val="bottom"/>
          </w:tcPr>
          <w:p w14:paraId="52BBF5CB" w14:textId="4EF4A044" w:rsidR="00015A86" w:rsidRPr="007239A6" w:rsidRDefault="00015A86" w:rsidP="004C356D">
            <w:pPr>
              <w:spacing w:after="0" w:line="240" w:lineRule="auto"/>
              <w:jc w:val="right"/>
              <w:rPr>
                <w:color w:val="000000"/>
                <w:sz w:val="22"/>
                <w:szCs w:val="22"/>
                <w:lang w:bidi="ar-SA"/>
              </w:rPr>
            </w:pPr>
            <w:r w:rsidRPr="007239A6">
              <w:rPr>
                <w:sz w:val="20"/>
                <w:szCs w:val="20"/>
              </w:rPr>
              <w:t>3,674.5</w:t>
            </w:r>
          </w:p>
        </w:tc>
        <w:tc>
          <w:tcPr>
            <w:tcW w:w="1293" w:type="dxa"/>
            <w:tcBorders>
              <w:top w:val="nil"/>
              <w:left w:val="nil"/>
              <w:bottom w:val="nil"/>
              <w:right w:val="nil"/>
            </w:tcBorders>
            <w:shd w:val="clear" w:color="auto" w:fill="auto"/>
            <w:noWrap/>
            <w:vAlign w:val="bottom"/>
          </w:tcPr>
          <w:p w14:paraId="0FD13E45" w14:textId="7F25E9FF" w:rsidR="00015A86" w:rsidRPr="007239A6" w:rsidRDefault="00015A86" w:rsidP="004C356D">
            <w:pPr>
              <w:spacing w:after="0" w:line="240" w:lineRule="auto"/>
              <w:jc w:val="right"/>
              <w:rPr>
                <w:color w:val="000000"/>
                <w:sz w:val="22"/>
                <w:szCs w:val="22"/>
                <w:lang w:bidi="ar-SA"/>
              </w:rPr>
            </w:pPr>
            <w:r w:rsidRPr="007239A6">
              <w:rPr>
                <w:sz w:val="20"/>
                <w:szCs w:val="20"/>
              </w:rPr>
              <w:t xml:space="preserve">92 </w:t>
            </w:r>
          </w:p>
        </w:tc>
        <w:tc>
          <w:tcPr>
            <w:tcW w:w="1650" w:type="dxa"/>
            <w:tcBorders>
              <w:top w:val="nil"/>
              <w:left w:val="nil"/>
              <w:bottom w:val="nil"/>
              <w:right w:val="nil"/>
            </w:tcBorders>
            <w:shd w:val="clear" w:color="auto" w:fill="auto"/>
            <w:noWrap/>
            <w:vAlign w:val="bottom"/>
          </w:tcPr>
          <w:p w14:paraId="694EA884" w14:textId="4529523D" w:rsidR="00015A86" w:rsidRPr="007239A6" w:rsidRDefault="00015A86" w:rsidP="004C356D">
            <w:pPr>
              <w:spacing w:after="0" w:line="240" w:lineRule="auto"/>
              <w:jc w:val="right"/>
              <w:rPr>
                <w:color w:val="000000"/>
                <w:sz w:val="22"/>
                <w:szCs w:val="22"/>
                <w:lang w:bidi="ar-SA"/>
              </w:rPr>
            </w:pPr>
            <w:r w:rsidRPr="007239A6">
              <w:rPr>
                <w:sz w:val="20"/>
                <w:szCs w:val="20"/>
              </w:rPr>
              <w:t>5817.7</w:t>
            </w:r>
          </w:p>
        </w:tc>
        <w:tc>
          <w:tcPr>
            <w:tcW w:w="1289" w:type="dxa"/>
            <w:tcBorders>
              <w:top w:val="nil"/>
              <w:left w:val="nil"/>
              <w:bottom w:val="nil"/>
              <w:right w:val="nil"/>
            </w:tcBorders>
            <w:shd w:val="clear" w:color="auto" w:fill="auto"/>
            <w:noWrap/>
            <w:vAlign w:val="bottom"/>
          </w:tcPr>
          <w:p w14:paraId="09A3CCCA" w14:textId="2C8984C5" w:rsidR="00015A86" w:rsidRPr="007239A6" w:rsidRDefault="00015A86" w:rsidP="004C356D">
            <w:pPr>
              <w:spacing w:after="0" w:line="240" w:lineRule="auto"/>
              <w:jc w:val="right"/>
              <w:rPr>
                <w:color w:val="000000"/>
                <w:sz w:val="22"/>
                <w:szCs w:val="22"/>
                <w:lang w:bidi="ar-SA"/>
              </w:rPr>
            </w:pPr>
            <w:r w:rsidRPr="007239A6">
              <w:rPr>
                <w:sz w:val="20"/>
                <w:szCs w:val="20"/>
              </w:rPr>
              <w:t xml:space="preserve">145 </w:t>
            </w:r>
          </w:p>
        </w:tc>
        <w:tc>
          <w:tcPr>
            <w:tcW w:w="1769" w:type="dxa"/>
            <w:tcBorders>
              <w:top w:val="nil"/>
              <w:left w:val="nil"/>
              <w:bottom w:val="nil"/>
              <w:right w:val="nil"/>
            </w:tcBorders>
            <w:vAlign w:val="bottom"/>
          </w:tcPr>
          <w:p w14:paraId="50800901" w14:textId="5EC7980B" w:rsidR="00015A86" w:rsidRPr="00A54231" w:rsidRDefault="00015A86" w:rsidP="004C356D">
            <w:pPr>
              <w:spacing w:after="0" w:line="240" w:lineRule="auto"/>
              <w:jc w:val="right"/>
              <w:rPr>
                <w:sz w:val="20"/>
                <w:szCs w:val="20"/>
              </w:rPr>
            </w:pPr>
            <w:r w:rsidRPr="00A54231">
              <w:rPr>
                <w:color w:val="000000"/>
                <w:sz w:val="20"/>
                <w:szCs w:val="20"/>
              </w:rPr>
              <w:t>81.35</w:t>
            </w:r>
          </w:p>
        </w:tc>
      </w:tr>
      <w:tr w:rsidR="00015A86" w:rsidRPr="007239A6" w14:paraId="07D8BA84" w14:textId="5AE64A25" w:rsidTr="00181ACD">
        <w:trPr>
          <w:trHeight w:val="288"/>
        </w:trPr>
        <w:tc>
          <w:tcPr>
            <w:tcW w:w="1586" w:type="dxa"/>
            <w:tcBorders>
              <w:top w:val="nil"/>
              <w:left w:val="nil"/>
              <w:bottom w:val="nil"/>
              <w:right w:val="nil"/>
            </w:tcBorders>
            <w:shd w:val="clear" w:color="auto" w:fill="auto"/>
            <w:noWrap/>
            <w:vAlign w:val="bottom"/>
            <w:hideMark/>
          </w:tcPr>
          <w:p w14:paraId="2346165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Guilford</w:t>
            </w:r>
          </w:p>
        </w:tc>
        <w:tc>
          <w:tcPr>
            <w:tcW w:w="1261" w:type="dxa"/>
            <w:tcBorders>
              <w:top w:val="nil"/>
              <w:left w:val="nil"/>
              <w:bottom w:val="nil"/>
              <w:right w:val="nil"/>
            </w:tcBorders>
            <w:shd w:val="clear" w:color="auto" w:fill="auto"/>
            <w:noWrap/>
            <w:vAlign w:val="bottom"/>
          </w:tcPr>
          <w:p w14:paraId="52D3A74D" w14:textId="19B53F4D" w:rsidR="00015A86" w:rsidRPr="007239A6" w:rsidRDefault="00015A86" w:rsidP="004C356D">
            <w:pPr>
              <w:spacing w:after="0" w:line="240" w:lineRule="auto"/>
              <w:jc w:val="right"/>
              <w:rPr>
                <w:color w:val="000000"/>
                <w:sz w:val="22"/>
                <w:szCs w:val="22"/>
                <w:lang w:bidi="ar-SA"/>
              </w:rPr>
            </w:pPr>
            <w:r w:rsidRPr="007239A6">
              <w:rPr>
                <w:sz w:val="20"/>
                <w:szCs w:val="20"/>
              </w:rPr>
              <w:t>1,749.5</w:t>
            </w:r>
          </w:p>
        </w:tc>
        <w:tc>
          <w:tcPr>
            <w:tcW w:w="1293" w:type="dxa"/>
            <w:tcBorders>
              <w:top w:val="nil"/>
              <w:left w:val="nil"/>
              <w:bottom w:val="nil"/>
              <w:right w:val="nil"/>
            </w:tcBorders>
            <w:shd w:val="clear" w:color="auto" w:fill="auto"/>
            <w:noWrap/>
            <w:vAlign w:val="bottom"/>
          </w:tcPr>
          <w:p w14:paraId="1CC60872" w14:textId="6C8ECE46" w:rsidR="00015A86" w:rsidRPr="007239A6" w:rsidRDefault="00015A86" w:rsidP="004C356D">
            <w:pPr>
              <w:spacing w:after="0" w:line="240" w:lineRule="auto"/>
              <w:jc w:val="right"/>
              <w:rPr>
                <w:color w:val="000000"/>
                <w:sz w:val="22"/>
                <w:szCs w:val="22"/>
                <w:lang w:bidi="ar-SA"/>
              </w:rPr>
            </w:pPr>
            <w:r w:rsidRPr="007239A6">
              <w:rPr>
                <w:sz w:val="20"/>
                <w:szCs w:val="20"/>
              </w:rPr>
              <w:t xml:space="preserve">78 </w:t>
            </w:r>
          </w:p>
        </w:tc>
        <w:tc>
          <w:tcPr>
            <w:tcW w:w="1650" w:type="dxa"/>
            <w:tcBorders>
              <w:top w:val="nil"/>
              <w:left w:val="nil"/>
              <w:bottom w:val="nil"/>
              <w:right w:val="nil"/>
            </w:tcBorders>
            <w:shd w:val="clear" w:color="auto" w:fill="auto"/>
            <w:noWrap/>
            <w:vAlign w:val="bottom"/>
          </w:tcPr>
          <w:p w14:paraId="743EBE39" w14:textId="5D44D87B" w:rsidR="00015A86" w:rsidRPr="007239A6" w:rsidRDefault="00015A86" w:rsidP="004C356D">
            <w:pPr>
              <w:spacing w:after="0" w:line="240" w:lineRule="auto"/>
              <w:jc w:val="right"/>
              <w:rPr>
                <w:color w:val="000000"/>
                <w:sz w:val="22"/>
                <w:szCs w:val="22"/>
                <w:lang w:bidi="ar-SA"/>
              </w:rPr>
            </w:pPr>
            <w:r w:rsidRPr="007239A6">
              <w:rPr>
                <w:sz w:val="20"/>
                <w:szCs w:val="20"/>
              </w:rPr>
              <w:t>2778.6</w:t>
            </w:r>
          </w:p>
        </w:tc>
        <w:tc>
          <w:tcPr>
            <w:tcW w:w="1289" w:type="dxa"/>
            <w:tcBorders>
              <w:top w:val="nil"/>
              <w:left w:val="nil"/>
              <w:bottom w:val="nil"/>
              <w:right w:val="nil"/>
            </w:tcBorders>
            <w:shd w:val="clear" w:color="auto" w:fill="auto"/>
            <w:noWrap/>
            <w:vAlign w:val="bottom"/>
          </w:tcPr>
          <w:p w14:paraId="2614957B" w14:textId="32B73D01" w:rsidR="00015A86" w:rsidRPr="007239A6" w:rsidRDefault="00015A86" w:rsidP="004C356D">
            <w:pPr>
              <w:spacing w:after="0" w:line="240" w:lineRule="auto"/>
              <w:jc w:val="right"/>
              <w:rPr>
                <w:color w:val="000000"/>
                <w:sz w:val="22"/>
                <w:szCs w:val="22"/>
                <w:lang w:bidi="ar-SA"/>
              </w:rPr>
            </w:pPr>
            <w:r w:rsidRPr="007239A6">
              <w:rPr>
                <w:sz w:val="20"/>
                <w:szCs w:val="20"/>
              </w:rPr>
              <w:t xml:space="preserve">124 </w:t>
            </w:r>
          </w:p>
        </w:tc>
        <w:tc>
          <w:tcPr>
            <w:tcW w:w="1769" w:type="dxa"/>
            <w:tcBorders>
              <w:top w:val="nil"/>
              <w:left w:val="nil"/>
              <w:bottom w:val="nil"/>
              <w:right w:val="nil"/>
            </w:tcBorders>
            <w:vAlign w:val="bottom"/>
          </w:tcPr>
          <w:p w14:paraId="49AB937C" w14:textId="43D7A2D0" w:rsidR="00015A86" w:rsidRPr="00A54231" w:rsidRDefault="00015A86" w:rsidP="004C356D">
            <w:pPr>
              <w:spacing w:after="0" w:line="240" w:lineRule="auto"/>
              <w:jc w:val="right"/>
              <w:rPr>
                <w:sz w:val="20"/>
                <w:szCs w:val="20"/>
              </w:rPr>
            </w:pPr>
            <w:r w:rsidRPr="00A54231">
              <w:rPr>
                <w:color w:val="000000"/>
                <w:sz w:val="20"/>
                <w:szCs w:val="20"/>
              </w:rPr>
              <w:t>-650.87</w:t>
            </w:r>
          </w:p>
        </w:tc>
      </w:tr>
      <w:tr w:rsidR="00015A86" w:rsidRPr="007239A6" w14:paraId="2F7F0EFD" w14:textId="5645E2FF" w:rsidTr="00181ACD">
        <w:trPr>
          <w:trHeight w:val="288"/>
        </w:trPr>
        <w:tc>
          <w:tcPr>
            <w:tcW w:w="1586" w:type="dxa"/>
            <w:tcBorders>
              <w:top w:val="nil"/>
              <w:left w:val="nil"/>
              <w:bottom w:val="nil"/>
              <w:right w:val="nil"/>
            </w:tcBorders>
            <w:shd w:val="clear" w:color="auto" w:fill="auto"/>
            <w:noWrap/>
            <w:vAlign w:val="bottom"/>
            <w:hideMark/>
          </w:tcPr>
          <w:p w14:paraId="20781034"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Haddam</w:t>
            </w:r>
          </w:p>
        </w:tc>
        <w:tc>
          <w:tcPr>
            <w:tcW w:w="1261" w:type="dxa"/>
            <w:tcBorders>
              <w:top w:val="nil"/>
              <w:left w:val="nil"/>
              <w:bottom w:val="nil"/>
              <w:right w:val="nil"/>
            </w:tcBorders>
            <w:shd w:val="clear" w:color="auto" w:fill="auto"/>
            <w:noWrap/>
            <w:vAlign w:val="bottom"/>
          </w:tcPr>
          <w:p w14:paraId="391261D9" w14:textId="594A2458" w:rsidR="00015A86" w:rsidRPr="007239A6" w:rsidRDefault="00015A86" w:rsidP="004C356D">
            <w:pPr>
              <w:spacing w:after="0" w:line="240" w:lineRule="auto"/>
              <w:jc w:val="right"/>
              <w:rPr>
                <w:color w:val="000000"/>
                <w:sz w:val="22"/>
                <w:szCs w:val="22"/>
                <w:lang w:bidi="ar-SA"/>
              </w:rPr>
            </w:pPr>
            <w:r w:rsidRPr="007239A6">
              <w:rPr>
                <w:sz w:val="20"/>
                <w:szCs w:val="20"/>
              </w:rPr>
              <w:t>353.7</w:t>
            </w:r>
          </w:p>
        </w:tc>
        <w:tc>
          <w:tcPr>
            <w:tcW w:w="1293" w:type="dxa"/>
            <w:tcBorders>
              <w:top w:val="nil"/>
              <w:left w:val="nil"/>
              <w:bottom w:val="nil"/>
              <w:right w:val="nil"/>
            </w:tcBorders>
            <w:shd w:val="clear" w:color="auto" w:fill="auto"/>
            <w:noWrap/>
            <w:vAlign w:val="bottom"/>
          </w:tcPr>
          <w:p w14:paraId="11409C33" w14:textId="3D8C5056" w:rsidR="00015A86" w:rsidRPr="007239A6" w:rsidRDefault="00015A86" w:rsidP="004C356D">
            <w:pPr>
              <w:spacing w:after="0" w:line="240" w:lineRule="auto"/>
              <w:jc w:val="right"/>
              <w:rPr>
                <w:color w:val="000000"/>
                <w:sz w:val="22"/>
                <w:szCs w:val="22"/>
                <w:lang w:bidi="ar-SA"/>
              </w:rPr>
            </w:pPr>
            <w:r w:rsidRPr="007239A6">
              <w:rPr>
                <w:sz w:val="20"/>
                <w:szCs w:val="20"/>
              </w:rPr>
              <w:t xml:space="preserve">42 </w:t>
            </w:r>
          </w:p>
        </w:tc>
        <w:tc>
          <w:tcPr>
            <w:tcW w:w="1650" w:type="dxa"/>
            <w:tcBorders>
              <w:top w:val="nil"/>
              <w:left w:val="nil"/>
              <w:bottom w:val="nil"/>
              <w:right w:val="nil"/>
            </w:tcBorders>
            <w:shd w:val="clear" w:color="auto" w:fill="auto"/>
            <w:noWrap/>
            <w:vAlign w:val="bottom"/>
          </w:tcPr>
          <w:p w14:paraId="76B5063F" w14:textId="3531DD39" w:rsidR="00015A86" w:rsidRPr="007239A6" w:rsidRDefault="00015A86" w:rsidP="004C356D">
            <w:pPr>
              <w:spacing w:after="0" w:line="240" w:lineRule="auto"/>
              <w:jc w:val="right"/>
              <w:rPr>
                <w:color w:val="000000"/>
                <w:sz w:val="22"/>
                <w:szCs w:val="22"/>
                <w:lang w:bidi="ar-SA"/>
              </w:rPr>
            </w:pPr>
            <w:r w:rsidRPr="007239A6">
              <w:rPr>
                <w:sz w:val="20"/>
                <w:szCs w:val="20"/>
              </w:rPr>
              <w:t>641.9</w:t>
            </w:r>
          </w:p>
        </w:tc>
        <w:tc>
          <w:tcPr>
            <w:tcW w:w="1289" w:type="dxa"/>
            <w:tcBorders>
              <w:top w:val="nil"/>
              <w:left w:val="nil"/>
              <w:bottom w:val="nil"/>
              <w:right w:val="nil"/>
            </w:tcBorders>
            <w:shd w:val="clear" w:color="auto" w:fill="auto"/>
            <w:noWrap/>
            <w:vAlign w:val="bottom"/>
          </w:tcPr>
          <w:p w14:paraId="19BDA828" w14:textId="3AAC151F" w:rsidR="00015A86" w:rsidRPr="007239A6" w:rsidRDefault="00015A86" w:rsidP="004C356D">
            <w:pPr>
              <w:spacing w:after="0" w:line="240" w:lineRule="auto"/>
              <w:jc w:val="right"/>
              <w:rPr>
                <w:color w:val="000000"/>
                <w:sz w:val="22"/>
                <w:szCs w:val="22"/>
                <w:lang w:bidi="ar-SA"/>
              </w:rPr>
            </w:pPr>
            <w:r w:rsidRPr="007239A6">
              <w:rPr>
                <w:sz w:val="20"/>
                <w:szCs w:val="20"/>
              </w:rPr>
              <w:t xml:space="preserve">77 </w:t>
            </w:r>
          </w:p>
        </w:tc>
        <w:tc>
          <w:tcPr>
            <w:tcW w:w="1769" w:type="dxa"/>
            <w:tcBorders>
              <w:top w:val="nil"/>
              <w:left w:val="nil"/>
              <w:bottom w:val="nil"/>
              <w:right w:val="nil"/>
            </w:tcBorders>
            <w:vAlign w:val="bottom"/>
          </w:tcPr>
          <w:p w14:paraId="071175F9" w14:textId="55AF5BE3" w:rsidR="00015A86" w:rsidRPr="00A54231" w:rsidRDefault="00015A86" w:rsidP="004C356D">
            <w:pPr>
              <w:spacing w:after="0" w:line="240" w:lineRule="auto"/>
              <w:jc w:val="right"/>
              <w:rPr>
                <w:sz w:val="20"/>
                <w:szCs w:val="20"/>
              </w:rPr>
            </w:pPr>
            <w:r w:rsidRPr="00A54231">
              <w:rPr>
                <w:color w:val="000000"/>
                <w:sz w:val="20"/>
                <w:szCs w:val="20"/>
              </w:rPr>
              <w:t>-180.10</w:t>
            </w:r>
          </w:p>
        </w:tc>
      </w:tr>
      <w:tr w:rsidR="00015A86" w:rsidRPr="007239A6" w14:paraId="7EDEE8C6" w14:textId="43E79485" w:rsidTr="00181ACD">
        <w:trPr>
          <w:trHeight w:val="288"/>
        </w:trPr>
        <w:tc>
          <w:tcPr>
            <w:tcW w:w="1586" w:type="dxa"/>
            <w:tcBorders>
              <w:top w:val="nil"/>
              <w:left w:val="nil"/>
              <w:bottom w:val="nil"/>
              <w:right w:val="nil"/>
            </w:tcBorders>
            <w:shd w:val="clear" w:color="auto" w:fill="auto"/>
            <w:noWrap/>
            <w:vAlign w:val="bottom"/>
            <w:hideMark/>
          </w:tcPr>
          <w:p w14:paraId="386ED76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Hamden</w:t>
            </w:r>
          </w:p>
        </w:tc>
        <w:tc>
          <w:tcPr>
            <w:tcW w:w="1261" w:type="dxa"/>
            <w:tcBorders>
              <w:top w:val="nil"/>
              <w:left w:val="nil"/>
              <w:bottom w:val="nil"/>
              <w:right w:val="nil"/>
            </w:tcBorders>
            <w:shd w:val="clear" w:color="auto" w:fill="auto"/>
            <w:noWrap/>
            <w:vAlign w:val="bottom"/>
          </w:tcPr>
          <w:p w14:paraId="0F4B506F" w14:textId="0C6126BA" w:rsidR="00015A86" w:rsidRPr="007239A6" w:rsidRDefault="00015A86" w:rsidP="004C356D">
            <w:pPr>
              <w:spacing w:after="0" w:line="240" w:lineRule="auto"/>
              <w:jc w:val="right"/>
              <w:rPr>
                <w:color w:val="000000"/>
                <w:sz w:val="22"/>
                <w:szCs w:val="22"/>
                <w:lang w:bidi="ar-SA"/>
              </w:rPr>
            </w:pPr>
            <w:r w:rsidRPr="007239A6">
              <w:rPr>
                <w:sz w:val="20"/>
                <w:szCs w:val="20"/>
              </w:rPr>
              <w:t>5,544.5</w:t>
            </w:r>
          </w:p>
        </w:tc>
        <w:tc>
          <w:tcPr>
            <w:tcW w:w="1293" w:type="dxa"/>
            <w:tcBorders>
              <w:top w:val="nil"/>
              <w:left w:val="nil"/>
              <w:bottom w:val="nil"/>
              <w:right w:val="nil"/>
            </w:tcBorders>
            <w:shd w:val="clear" w:color="auto" w:fill="auto"/>
            <w:noWrap/>
            <w:vAlign w:val="bottom"/>
          </w:tcPr>
          <w:p w14:paraId="57597203" w14:textId="4AF2C54A" w:rsidR="00015A86" w:rsidRPr="007239A6" w:rsidRDefault="00015A86" w:rsidP="004C356D">
            <w:pPr>
              <w:spacing w:after="0" w:line="240" w:lineRule="auto"/>
              <w:jc w:val="right"/>
              <w:rPr>
                <w:color w:val="000000"/>
                <w:sz w:val="22"/>
                <w:szCs w:val="22"/>
                <w:lang w:bidi="ar-SA"/>
              </w:rPr>
            </w:pPr>
            <w:r w:rsidRPr="007239A6">
              <w:rPr>
                <w:sz w:val="20"/>
                <w:szCs w:val="20"/>
              </w:rPr>
              <w:t xml:space="preserve">90 </w:t>
            </w:r>
          </w:p>
        </w:tc>
        <w:tc>
          <w:tcPr>
            <w:tcW w:w="1650" w:type="dxa"/>
            <w:tcBorders>
              <w:top w:val="nil"/>
              <w:left w:val="nil"/>
              <w:bottom w:val="nil"/>
              <w:right w:val="nil"/>
            </w:tcBorders>
            <w:shd w:val="clear" w:color="auto" w:fill="auto"/>
            <w:noWrap/>
            <w:vAlign w:val="bottom"/>
          </w:tcPr>
          <w:p w14:paraId="1D77C611" w14:textId="550094D2" w:rsidR="00015A86" w:rsidRPr="007239A6" w:rsidRDefault="00015A86" w:rsidP="004C356D">
            <w:pPr>
              <w:spacing w:after="0" w:line="240" w:lineRule="auto"/>
              <w:jc w:val="right"/>
              <w:rPr>
                <w:color w:val="000000"/>
                <w:sz w:val="22"/>
                <w:szCs w:val="22"/>
                <w:lang w:bidi="ar-SA"/>
              </w:rPr>
            </w:pPr>
            <w:r w:rsidRPr="007239A6">
              <w:rPr>
                <w:sz w:val="20"/>
                <w:szCs w:val="20"/>
              </w:rPr>
              <w:t>7708.0</w:t>
            </w:r>
          </w:p>
        </w:tc>
        <w:tc>
          <w:tcPr>
            <w:tcW w:w="1289" w:type="dxa"/>
            <w:tcBorders>
              <w:top w:val="nil"/>
              <w:left w:val="nil"/>
              <w:bottom w:val="nil"/>
              <w:right w:val="nil"/>
            </w:tcBorders>
            <w:shd w:val="clear" w:color="auto" w:fill="auto"/>
            <w:noWrap/>
            <w:vAlign w:val="bottom"/>
          </w:tcPr>
          <w:p w14:paraId="16F64003" w14:textId="76B32438" w:rsidR="00015A86" w:rsidRPr="007239A6" w:rsidRDefault="00015A86" w:rsidP="004C356D">
            <w:pPr>
              <w:spacing w:after="0" w:line="240" w:lineRule="auto"/>
              <w:jc w:val="right"/>
              <w:rPr>
                <w:color w:val="000000"/>
                <w:sz w:val="22"/>
                <w:szCs w:val="22"/>
                <w:lang w:bidi="ar-SA"/>
              </w:rPr>
            </w:pPr>
            <w:r w:rsidRPr="007239A6">
              <w:rPr>
                <w:sz w:val="20"/>
                <w:szCs w:val="20"/>
              </w:rPr>
              <w:t xml:space="preserve">125 </w:t>
            </w:r>
          </w:p>
        </w:tc>
        <w:tc>
          <w:tcPr>
            <w:tcW w:w="1769" w:type="dxa"/>
            <w:tcBorders>
              <w:top w:val="nil"/>
              <w:left w:val="nil"/>
              <w:bottom w:val="nil"/>
              <w:right w:val="nil"/>
            </w:tcBorders>
            <w:vAlign w:val="bottom"/>
          </w:tcPr>
          <w:p w14:paraId="064768CA" w14:textId="10866B4E" w:rsidR="00015A86" w:rsidRPr="00A54231" w:rsidRDefault="00015A86" w:rsidP="004C356D">
            <w:pPr>
              <w:spacing w:after="0" w:line="240" w:lineRule="auto"/>
              <w:jc w:val="right"/>
              <w:rPr>
                <w:sz w:val="20"/>
                <w:szCs w:val="20"/>
              </w:rPr>
            </w:pPr>
            <w:r w:rsidRPr="00A54231">
              <w:rPr>
                <w:color w:val="000000"/>
                <w:sz w:val="20"/>
                <w:szCs w:val="20"/>
              </w:rPr>
              <w:t>347.29</w:t>
            </w:r>
          </w:p>
        </w:tc>
      </w:tr>
      <w:tr w:rsidR="00015A86" w:rsidRPr="007239A6" w14:paraId="08A11BAC" w14:textId="7C8BB671" w:rsidTr="00181ACD">
        <w:trPr>
          <w:trHeight w:val="288"/>
        </w:trPr>
        <w:tc>
          <w:tcPr>
            <w:tcW w:w="1586" w:type="dxa"/>
            <w:tcBorders>
              <w:top w:val="nil"/>
              <w:left w:val="nil"/>
              <w:bottom w:val="nil"/>
              <w:right w:val="nil"/>
            </w:tcBorders>
            <w:shd w:val="clear" w:color="auto" w:fill="auto"/>
            <w:noWrap/>
            <w:vAlign w:val="bottom"/>
            <w:hideMark/>
          </w:tcPr>
          <w:p w14:paraId="4894F22F"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Hampton</w:t>
            </w:r>
          </w:p>
        </w:tc>
        <w:tc>
          <w:tcPr>
            <w:tcW w:w="1261" w:type="dxa"/>
            <w:tcBorders>
              <w:top w:val="nil"/>
              <w:left w:val="nil"/>
              <w:bottom w:val="nil"/>
              <w:right w:val="nil"/>
            </w:tcBorders>
            <w:shd w:val="clear" w:color="auto" w:fill="auto"/>
            <w:noWrap/>
            <w:vAlign w:val="bottom"/>
          </w:tcPr>
          <w:p w14:paraId="151BD177" w14:textId="0617707C" w:rsidR="00015A86" w:rsidRPr="007239A6" w:rsidRDefault="00015A86" w:rsidP="004C356D">
            <w:pPr>
              <w:spacing w:after="0" w:line="240" w:lineRule="auto"/>
              <w:jc w:val="right"/>
              <w:rPr>
                <w:color w:val="000000"/>
                <w:sz w:val="22"/>
                <w:szCs w:val="22"/>
                <w:lang w:bidi="ar-SA"/>
              </w:rPr>
            </w:pPr>
            <w:r w:rsidRPr="007239A6">
              <w:rPr>
                <w:sz w:val="20"/>
                <w:szCs w:val="20"/>
              </w:rPr>
              <w:t>24.0</w:t>
            </w:r>
          </w:p>
        </w:tc>
        <w:tc>
          <w:tcPr>
            <w:tcW w:w="1293" w:type="dxa"/>
            <w:tcBorders>
              <w:top w:val="nil"/>
              <w:left w:val="nil"/>
              <w:bottom w:val="nil"/>
              <w:right w:val="nil"/>
            </w:tcBorders>
            <w:shd w:val="clear" w:color="auto" w:fill="auto"/>
            <w:noWrap/>
            <w:vAlign w:val="bottom"/>
          </w:tcPr>
          <w:p w14:paraId="673F7448" w14:textId="5E877DC0" w:rsidR="00015A86" w:rsidRPr="007239A6" w:rsidRDefault="00015A86" w:rsidP="004C356D">
            <w:pPr>
              <w:spacing w:after="0" w:line="240" w:lineRule="auto"/>
              <w:jc w:val="right"/>
              <w:rPr>
                <w:color w:val="000000"/>
                <w:sz w:val="22"/>
                <w:szCs w:val="22"/>
                <w:lang w:bidi="ar-SA"/>
              </w:rPr>
            </w:pPr>
            <w:r w:rsidRPr="007239A6">
              <w:rPr>
                <w:sz w:val="20"/>
                <w:szCs w:val="20"/>
              </w:rPr>
              <w:t xml:space="preserve">13 </w:t>
            </w:r>
          </w:p>
        </w:tc>
        <w:tc>
          <w:tcPr>
            <w:tcW w:w="1650" w:type="dxa"/>
            <w:tcBorders>
              <w:top w:val="nil"/>
              <w:left w:val="nil"/>
              <w:bottom w:val="nil"/>
              <w:right w:val="nil"/>
            </w:tcBorders>
            <w:shd w:val="clear" w:color="auto" w:fill="auto"/>
            <w:noWrap/>
            <w:vAlign w:val="bottom"/>
          </w:tcPr>
          <w:p w14:paraId="085CD4E3" w14:textId="125A1036" w:rsidR="00015A86" w:rsidRPr="007239A6" w:rsidRDefault="00015A86" w:rsidP="004C356D">
            <w:pPr>
              <w:spacing w:after="0" w:line="240" w:lineRule="auto"/>
              <w:jc w:val="right"/>
              <w:rPr>
                <w:color w:val="000000"/>
                <w:sz w:val="22"/>
                <w:szCs w:val="22"/>
                <w:lang w:bidi="ar-SA"/>
              </w:rPr>
            </w:pPr>
            <w:r w:rsidRPr="007239A6">
              <w:rPr>
                <w:sz w:val="20"/>
                <w:szCs w:val="20"/>
              </w:rPr>
              <w:t>77.5</w:t>
            </w:r>
          </w:p>
        </w:tc>
        <w:tc>
          <w:tcPr>
            <w:tcW w:w="1289" w:type="dxa"/>
            <w:tcBorders>
              <w:top w:val="nil"/>
              <w:left w:val="nil"/>
              <w:bottom w:val="nil"/>
              <w:right w:val="nil"/>
            </w:tcBorders>
            <w:shd w:val="clear" w:color="auto" w:fill="auto"/>
            <w:noWrap/>
            <w:vAlign w:val="bottom"/>
          </w:tcPr>
          <w:p w14:paraId="6C5FBD10" w14:textId="51817001" w:rsidR="00015A86" w:rsidRPr="007239A6" w:rsidRDefault="00015A86" w:rsidP="004C356D">
            <w:pPr>
              <w:spacing w:after="0" w:line="240" w:lineRule="auto"/>
              <w:jc w:val="right"/>
              <w:rPr>
                <w:color w:val="000000"/>
                <w:sz w:val="22"/>
                <w:szCs w:val="22"/>
                <w:lang w:bidi="ar-SA"/>
              </w:rPr>
            </w:pPr>
            <w:r w:rsidRPr="007239A6">
              <w:rPr>
                <w:sz w:val="20"/>
                <w:szCs w:val="20"/>
              </w:rPr>
              <w:t xml:space="preserve">43 </w:t>
            </w:r>
          </w:p>
        </w:tc>
        <w:tc>
          <w:tcPr>
            <w:tcW w:w="1769" w:type="dxa"/>
            <w:tcBorders>
              <w:top w:val="nil"/>
              <w:left w:val="nil"/>
              <w:bottom w:val="nil"/>
              <w:right w:val="nil"/>
            </w:tcBorders>
            <w:vAlign w:val="bottom"/>
          </w:tcPr>
          <w:p w14:paraId="1CD9E6E2" w14:textId="20455494" w:rsidR="00015A86" w:rsidRPr="00A54231" w:rsidRDefault="00015A86" w:rsidP="004C356D">
            <w:pPr>
              <w:spacing w:after="0" w:line="240" w:lineRule="auto"/>
              <w:jc w:val="right"/>
              <w:rPr>
                <w:sz w:val="20"/>
                <w:szCs w:val="20"/>
              </w:rPr>
            </w:pPr>
            <w:r w:rsidRPr="00A54231">
              <w:rPr>
                <w:color w:val="000000"/>
                <w:sz w:val="20"/>
                <w:szCs w:val="20"/>
              </w:rPr>
              <w:t>141.53</w:t>
            </w:r>
          </w:p>
        </w:tc>
      </w:tr>
      <w:tr w:rsidR="00015A86" w:rsidRPr="007239A6" w14:paraId="2C531722" w14:textId="6E7B3395" w:rsidTr="00181ACD">
        <w:trPr>
          <w:trHeight w:val="288"/>
        </w:trPr>
        <w:tc>
          <w:tcPr>
            <w:tcW w:w="1586" w:type="dxa"/>
            <w:tcBorders>
              <w:top w:val="nil"/>
              <w:left w:val="nil"/>
              <w:bottom w:val="nil"/>
              <w:right w:val="nil"/>
            </w:tcBorders>
            <w:shd w:val="clear" w:color="auto" w:fill="auto"/>
            <w:noWrap/>
            <w:vAlign w:val="bottom"/>
            <w:hideMark/>
          </w:tcPr>
          <w:p w14:paraId="27AF5A0C"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Hartford</w:t>
            </w:r>
          </w:p>
        </w:tc>
        <w:tc>
          <w:tcPr>
            <w:tcW w:w="1261" w:type="dxa"/>
            <w:tcBorders>
              <w:top w:val="nil"/>
              <w:left w:val="nil"/>
              <w:bottom w:val="nil"/>
              <w:right w:val="nil"/>
            </w:tcBorders>
            <w:shd w:val="clear" w:color="auto" w:fill="auto"/>
            <w:noWrap/>
            <w:vAlign w:val="bottom"/>
          </w:tcPr>
          <w:p w14:paraId="0D1E398E" w14:textId="4C430064" w:rsidR="00015A86" w:rsidRPr="007239A6" w:rsidRDefault="00015A86" w:rsidP="004C356D">
            <w:pPr>
              <w:spacing w:after="0" w:line="240" w:lineRule="auto"/>
              <w:jc w:val="right"/>
              <w:rPr>
                <w:color w:val="000000"/>
                <w:sz w:val="22"/>
                <w:szCs w:val="22"/>
                <w:lang w:bidi="ar-SA"/>
              </w:rPr>
            </w:pPr>
            <w:r w:rsidRPr="007239A6">
              <w:rPr>
                <w:sz w:val="20"/>
                <w:szCs w:val="20"/>
              </w:rPr>
              <w:t>21,528.1</w:t>
            </w:r>
          </w:p>
        </w:tc>
        <w:tc>
          <w:tcPr>
            <w:tcW w:w="1293" w:type="dxa"/>
            <w:tcBorders>
              <w:top w:val="nil"/>
              <w:left w:val="nil"/>
              <w:bottom w:val="nil"/>
              <w:right w:val="nil"/>
            </w:tcBorders>
            <w:shd w:val="clear" w:color="auto" w:fill="auto"/>
            <w:noWrap/>
            <w:vAlign w:val="bottom"/>
          </w:tcPr>
          <w:p w14:paraId="5B92C318" w14:textId="0EF00EBD" w:rsidR="00015A86" w:rsidRPr="007239A6" w:rsidRDefault="00015A86" w:rsidP="004C356D">
            <w:pPr>
              <w:spacing w:after="0" w:line="240" w:lineRule="auto"/>
              <w:jc w:val="right"/>
              <w:rPr>
                <w:color w:val="000000"/>
                <w:sz w:val="22"/>
                <w:szCs w:val="22"/>
                <w:lang w:bidi="ar-SA"/>
              </w:rPr>
            </w:pPr>
            <w:r w:rsidRPr="007239A6">
              <w:rPr>
                <w:sz w:val="20"/>
                <w:szCs w:val="20"/>
              </w:rPr>
              <w:t xml:space="preserve">172 </w:t>
            </w:r>
          </w:p>
        </w:tc>
        <w:tc>
          <w:tcPr>
            <w:tcW w:w="1650" w:type="dxa"/>
            <w:tcBorders>
              <w:top w:val="nil"/>
              <w:left w:val="nil"/>
              <w:bottom w:val="nil"/>
              <w:right w:val="nil"/>
            </w:tcBorders>
            <w:shd w:val="clear" w:color="auto" w:fill="auto"/>
            <w:noWrap/>
            <w:vAlign w:val="bottom"/>
          </w:tcPr>
          <w:p w14:paraId="285346A3" w14:textId="242CABE1" w:rsidR="00015A86" w:rsidRPr="007239A6" w:rsidRDefault="00015A86" w:rsidP="004C356D">
            <w:pPr>
              <w:spacing w:after="0" w:line="240" w:lineRule="auto"/>
              <w:jc w:val="right"/>
              <w:rPr>
                <w:color w:val="000000"/>
                <w:sz w:val="22"/>
                <w:szCs w:val="22"/>
                <w:lang w:bidi="ar-SA"/>
              </w:rPr>
            </w:pPr>
            <w:r w:rsidRPr="007239A6">
              <w:rPr>
                <w:sz w:val="20"/>
                <w:szCs w:val="20"/>
              </w:rPr>
              <w:t>23650.1</w:t>
            </w:r>
          </w:p>
        </w:tc>
        <w:tc>
          <w:tcPr>
            <w:tcW w:w="1289" w:type="dxa"/>
            <w:tcBorders>
              <w:top w:val="nil"/>
              <w:left w:val="nil"/>
              <w:bottom w:val="nil"/>
              <w:right w:val="nil"/>
            </w:tcBorders>
            <w:shd w:val="clear" w:color="auto" w:fill="auto"/>
            <w:noWrap/>
            <w:vAlign w:val="bottom"/>
          </w:tcPr>
          <w:p w14:paraId="1DC9A9AB" w14:textId="6DB2B359" w:rsidR="00015A86" w:rsidRPr="007239A6" w:rsidRDefault="00015A86" w:rsidP="004C356D">
            <w:pPr>
              <w:spacing w:after="0" w:line="240" w:lineRule="auto"/>
              <w:jc w:val="right"/>
              <w:rPr>
                <w:color w:val="000000"/>
                <w:sz w:val="22"/>
                <w:szCs w:val="22"/>
                <w:lang w:bidi="ar-SA"/>
              </w:rPr>
            </w:pPr>
            <w:r w:rsidRPr="007239A6">
              <w:rPr>
                <w:sz w:val="20"/>
                <w:szCs w:val="20"/>
              </w:rPr>
              <w:t xml:space="preserve">189 </w:t>
            </w:r>
          </w:p>
        </w:tc>
        <w:tc>
          <w:tcPr>
            <w:tcW w:w="1769" w:type="dxa"/>
            <w:tcBorders>
              <w:top w:val="nil"/>
              <w:left w:val="nil"/>
              <w:bottom w:val="nil"/>
              <w:right w:val="nil"/>
            </w:tcBorders>
            <w:vAlign w:val="bottom"/>
          </w:tcPr>
          <w:p w14:paraId="71AD0CF5" w14:textId="56C00001" w:rsidR="00015A86" w:rsidRPr="00A54231" w:rsidRDefault="00015A86" w:rsidP="004C356D">
            <w:pPr>
              <w:spacing w:after="0" w:line="240" w:lineRule="auto"/>
              <w:jc w:val="right"/>
              <w:rPr>
                <w:sz w:val="20"/>
                <w:szCs w:val="20"/>
              </w:rPr>
            </w:pPr>
            <w:r w:rsidRPr="00A54231">
              <w:rPr>
                <w:color w:val="000000"/>
                <w:sz w:val="20"/>
                <w:szCs w:val="20"/>
              </w:rPr>
              <w:t>1364.01</w:t>
            </w:r>
          </w:p>
        </w:tc>
      </w:tr>
      <w:tr w:rsidR="00015A86" w:rsidRPr="007239A6" w14:paraId="471F9E65" w14:textId="16D6FF81" w:rsidTr="00181ACD">
        <w:trPr>
          <w:trHeight w:val="288"/>
        </w:trPr>
        <w:tc>
          <w:tcPr>
            <w:tcW w:w="1586" w:type="dxa"/>
            <w:tcBorders>
              <w:top w:val="nil"/>
              <w:left w:val="nil"/>
              <w:bottom w:val="nil"/>
              <w:right w:val="nil"/>
            </w:tcBorders>
            <w:shd w:val="clear" w:color="auto" w:fill="auto"/>
            <w:noWrap/>
            <w:vAlign w:val="bottom"/>
            <w:hideMark/>
          </w:tcPr>
          <w:p w14:paraId="0AAB512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Hartland</w:t>
            </w:r>
          </w:p>
        </w:tc>
        <w:tc>
          <w:tcPr>
            <w:tcW w:w="1261" w:type="dxa"/>
            <w:tcBorders>
              <w:top w:val="nil"/>
              <w:left w:val="nil"/>
              <w:bottom w:val="nil"/>
              <w:right w:val="nil"/>
            </w:tcBorders>
            <w:shd w:val="clear" w:color="auto" w:fill="auto"/>
            <w:noWrap/>
            <w:vAlign w:val="bottom"/>
          </w:tcPr>
          <w:p w14:paraId="69557B9E" w14:textId="4172D0C6" w:rsidR="00015A86" w:rsidRPr="007239A6" w:rsidRDefault="00015A86" w:rsidP="004C356D">
            <w:pPr>
              <w:spacing w:after="0" w:line="240" w:lineRule="auto"/>
              <w:jc w:val="right"/>
              <w:rPr>
                <w:color w:val="000000"/>
                <w:sz w:val="22"/>
                <w:szCs w:val="22"/>
                <w:lang w:bidi="ar-SA"/>
              </w:rPr>
            </w:pPr>
            <w:r w:rsidRPr="007239A6">
              <w:rPr>
                <w:sz w:val="20"/>
                <w:szCs w:val="20"/>
              </w:rPr>
              <w:t>27.3</w:t>
            </w:r>
          </w:p>
        </w:tc>
        <w:tc>
          <w:tcPr>
            <w:tcW w:w="1293" w:type="dxa"/>
            <w:tcBorders>
              <w:top w:val="nil"/>
              <w:left w:val="nil"/>
              <w:bottom w:val="nil"/>
              <w:right w:val="nil"/>
            </w:tcBorders>
            <w:shd w:val="clear" w:color="auto" w:fill="auto"/>
            <w:noWrap/>
            <w:vAlign w:val="bottom"/>
          </w:tcPr>
          <w:p w14:paraId="0F74418E" w14:textId="2A720FED" w:rsidR="00015A86" w:rsidRPr="007239A6" w:rsidRDefault="00015A86" w:rsidP="004C356D">
            <w:pPr>
              <w:spacing w:after="0" w:line="240" w:lineRule="auto"/>
              <w:jc w:val="right"/>
              <w:rPr>
                <w:color w:val="000000"/>
                <w:sz w:val="22"/>
                <w:szCs w:val="22"/>
                <w:lang w:bidi="ar-SA"/>
              </w:rPr>
            </w:pPr>
            <w:r w:rsidRPr="007239A6">
              <w:rPr>
                <w:sz w:val="20"/>
                <w:szCs w:val="20"/>
              </w:rPr>
              <w:t xml:space="preserve">12 </w:t>
            </w:r>
          </w:p>
        </w:tc>
        <w:tc>
          <w:tcPr>
            <w:tcW w:w="1650" w:type="dxa"/>
            <w:tcBorders>
              <w:top w:val="nil"/>
              <w:left w:val="nil"/>
              <w:bottom w:val="nil"/>
              <w:right w:val="nil"/>
            </w:tcBorders>
            <w:shd w:val="clear" w:color="auto" w:fill="auto"/>
            <w:noWrap/>
            <w:vAlign w:val="bottom"/>
          </w:tcPr>
          <w:p w14:paraId="7A03A04D" w14:textId="60CA9C6B" w:rsidR="00015A86" w:rsidRPr="007239A6" w:rsidRDefault="00015A86" w:rsidP="004C356D">
            <w:pPr>
              <w:spacing w:after="0" w:line="240" w:lineRule="auto"/>
              <w:jc w:val="right"/>
              <w:rPr>
                <w:color w:val="000000"/>
                <w:sz w:val="22"/>
                <w:szCs w:val="22"/>
                <w:lang w:bidi="ar-SA"/>
              </w:rPr>
            </w:pPr>
            <w:r w:rsidRPr="007239A6">
              <w:rPr>
                <w:sz w:val="20"/>
                <w:szCs w:val="20"/>
              </w:rPr>
              <w:t>168.8</w:t>
            </w:r>
          </w:p>
        </w:tc>
        <w:tc>
          <w:tcPr>
            <w:tcW w:w="1289" w:type="dxa"/>
            <w:tcBorders>
              <w:top w:val="nil"/>
              <w:left w:val="nil"/>
              <w:bottom w:val="nil"/>
              <w:right w:val="nil"/>
            </w:tcBorders>
            <w:shd w:val="clear" w:color="auto" w:fill="auto"/>
            <w:noWrap/>
            <w:vAlign w:val="bottom"/>
          </w:tcPr>
          <w:p w14:paraId="7829A141" w14:textId="7B974721" w:rsidR="00015A86" w:rsidRPr="007239A6" w:rsidRDefault="00015A86" w:rsidP="004C356D">
            <w:pPr>
              <w:spacing w:after="0" w:line="240" w:lineRule="auto"/>
              <w:jc w:val="right"/>
              <w:rPr>
                <w:color w:val="000000"/>
                <w:sz w:val="22"/>
                <w:szCs w:val="22"/>
                <w:lang w:bidi="ar-SA"/>
              </w:rPr>
            </w:pPr>
            <w:r w:rsidRPr="007239A6">
              <w:rPr>
                <w:sz w:val="20"/>
                <w:szCs w:val="20"/>
              </w:rPr>
              <w:t xml:space="preserve">75 </w:t>
            </w:r>
          </w:p>
        </w:tc>
        <w:tc>
          <w:tcPr>
            <w:tcW w:w="1769" w:type="dxa"/>
            <w:tcBorders>
              <w:top w:val="nil"/>
              <w:left w:val="nil"/>
              <w:bottom w:val="nil"/>
              <w:right w:val="nil"/>
            </w:tcBorders>
            <w:vAlign w:val="bottom"/>
          </w:tcPr>
          <w:p w14:paraId="2114F93F" w14:textId="39BB9A7E" w:rsidR="00015A86" w:rsidRPr="00A54231" w:rsidRDefault="00015A86" w:rsidP="004C356D">
            <w:pPr>
              <w:spacing w:after="0" w:line="240" w:lineRule="auto"/>
              <w:jc w:val="right"/>
              <w:rPr>
                <w:sz w:val="20"/>
                <w:szCs w:val="20"/>
              </w:rPr>
            </w:pPr>
            <w:r w:rsidRPr="00A54231">
              <w:rPr>
                <w:color w:val="000000"/>
                <w:sz w:val="20"/>
                <w:szCs w:val="20"/>
              </w:rPr>
              <w:t>32.28</w:t>
            </w:r>
          </w:p>
        </w:tc>
      </w:tr>
      <w:tr w:rsidR="00015A86" w:rsidRPr="007239A6" w14:paraId="2EF9650F" w14:textId="3CAA9E4F" w:rsidTr="00181ACD">
        <w:trPr>
          <w:trHeight w:val="288"/>
        </w:trPr>
        <w:tc>
          <w:tcPr>
            <w:tcW w:w="1586" w:type="dxa"/>
            <w:tcBorders>
              <w:top w:val="nil"/>
              <w:left w:val="nil"/>
              <w:bottom w:val="nil"/>
              <w:right w:val="nil"/>
            </w:tcBorders>
            <w:shd w:val="clear" w:color="auto" w:fill="auto"/>
            <w:noWrap/>
            <w:vAlign w:val="bottom"/>
            <w:hideMark/>
          </w:tcPr>
          <w:p w14:paraId="230C5DB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Harwinton</w:t>
            </w:r>
          </w:p>
        </w:tc>
        <w:tc>
          <w:tcPr>
            <w:tcW w:w="1261" w:type="dxa"/>
            <w:tcBorders>
              <w:top w:val="nil"/>
              <w:left w:val="nil"/>
              <w:bottom w:val="nil"/>
              <w:right w:val="nil"/>
            </w:tcBorders>
            <w:shd w:val="clear" w:color="auto" w:fill="auto"/>
            <w:noWrap/>
            <w:vAlign w:val="bottom"/>
          </w:tcPr>
          <w:p w14:paraId="2C74D55B" w14:textId="6CC00A9A" w:rsidR="00015A86" w:rsidRPr="007239A6" w:rsidRDefault="00015A86" w:rsidP="004C356D">
            <w:pPr>
              <w:spacing w:after="0" w:line="240" w:lineRule="auto"/>
              <w:jc w:val="right"/>
              <w:rPr>
                <w:color w:val="000000"/>
                <w:sz w:val="22"/>
                <w:szCs w:val="22"/>
                <w:lang w:bidi="ar-SA"/>
              </w:rPr>
            </w:pPr>
            <w:r w:rsidRPr="007239A6">
              <w:rPr>
                <w:sz w:val="20"/>
                <w:szCs w:val="20"/>
              </w:rPr>
              <w:t>188.2</w:t>
            </w:r>
          </w:p>
        </w:tc>
        <w:tc>
          <w:tcPr>
            <w:tcW w:w="1293" w:type="dxa"/>
            <w:tcBorders>
              <w:top w:val="nil"/>
              <w:left w:val="nil"/>
              <w:bottom w:val="nil"/>
              <w:right w:val="nil"/>
            </w:tcBorders>
            <w:shd w:val="clear" w:color="auto" w:fill="auto"/>
            <w:noWrap/>
            <w:vAlign w:val="bottom"/>
          </w:tcPr>
          <w:p w14:paraId="1929D8A8" w14:textId="74D9B177" w:rsidR="00015A86" w:rsidRPr="007239A6" w:rsidRDefault="00015A86" w:rsidP="004C356D">
            <w:pPr>
              <w:spacing w:after="0" w:line="240" w:lineRule="auto"/>
              <w:jc w:val="right"/>
              <w:rPr>
                <w:color w:val="000000"/>
                <w:sz w:val="22"/>
                <w:szCs w:val="22"/>
                <w:lang w:bidi="ar-SA"/>
              </w:rPr>
            </w:pPr>
            <w:r w:rsidRPr="007239A6">
              <w:rPr>
                <w:sz w:val="20"/>
                <w:szCs w:val="20"/>
              </w:rPr>
              <w:t xml:space="preserve">33 </w:t>
            </w:r>
          </w:p>
        </w:tc>
        <w:tc>
          <w:tcPr>
            <w:tcW w:w="1650" w:type="dxa"/>
            <w:tcBorders>
              <w:top w:val="nil"/>
              <w:left w:val="nil"/>
              <w:bottom w:val="nil"/>
              <w:right w:val="nil"/>
            </w:tcBorders>
            <w:shd w:val="clear" w:color="auto" w:fill="auto"/>
            <w:noWrap/>
            <w:vAlign w:val="bottom"/>
          </w:tcPr>
          <w:p w14:paraId="75695B47" w14:textId="57DFB23A" w:rsidR="00015A86" w:rsidRPr="007239A6" w:rsidRDefault="00015A86" w:rsidP="004C356D">
            <w:pPr>
              <w:spacing w:after="0" w:line="240" w:lineRule="auto"/>
              <w:jc w:val="right"/>
              <w:rPr>
                <w:color w:val="000000"/>
                <w:sz w:val="22"/>
                <w:szCs w:val="22"/>
                <w:lang w:bidi="ar-SA"/>
              </w:rPr>
            </w:pPr>
            <w:r w:rsidRPr="007239A6">
              <w:rPr>
                <w:sz w:val="20"/>
                <w:szCs w:val="20"/>
              </w:rPr>
              <w:t>480.8</w:t>
            </w:r>
          </w:p>
        </w:tc>
        <w:tc>
          <w:tcPr>
            <w:tcW w:w="1289" w:type="dxa"/>
            <w:tcBorders>
              <w:top w:val="nil"/>
              <w:left w:val="nil"/>
              <w:bottom w:val="nil"/>
              <w:right w:val="nil"/>
            </w:tcBorders>
            <w:shd w:val="clear" w:color="auto" w:fill="auto"/>
            <w:noWrap/>
            <w:vAlign w:val="bottom"/>
          </w:tcPr>
          <w:p w14:paraId="65DFA01D" w14:textId="7590A91B" w:rsidR="00015A86" w:rsidRPr="007239A6" w:rsidRDefault="00015A86" w:rsidP="004C356D">
            <w:pPr>
              <w:spacing w:after="0" w:line="240" w:lineRule="auto"/>
              <w:jc w:val="right"/>
              <w:rPr>
                <w:color w:val="000000"/>
                <w:sz w:val="22"/>
                <w:szCs w:val="22"/>
                <w:lang w:bidi="ar-SA"/>
              </w:rPr>
            </w:pPr>
            <w:r w:rsidRPr="007239A6">
              <w:rPr>
                <w:sz w:val="20"/>
                <w:szCs w:val="20"/>
              </w:rPr>
              <w:t xml:space="preserve">85 </w:t>
            </w:r>
          </w:p>
        </w:tc>
        <w:tc>
          <w:tcPr>
            <w:tcW w:w="1769" w:type="dxa"/>
            <w:tcBorders>
              <w:top w:val="nil"/>
              <w:left w:val="nil"/>
              <w:bottom w:val="nil"/>
              <w:right w:val="nil"/>
            </w:tcBorders>
            <w:vAlign w:val="bottom"/>
          </w:tcPr>
          <w:p w14:paraId="168AECAE" w14:textId="67F7DFDC" w:rsidR="00015A86" w:rsidRPr="00A54231" w:rsidRDefault="00015A86" w:rsidP="004C356D">
            <w:pPr>
              <w:spacing w:after="0" w:line="240" w:lineRule="auto"/>
              <w:jc w:val="right"/>
              <w:rPr>
                <w:sz w:val="20"/>
                <w:szCs w:val="20"/>
              </w:rPr>
            </w:pPr>
            <w:r w:rsidRPr="00A54231">
              <w:rPr>
                <w:color w:val="000000"/>
                <w:sz w:val="20"/>
                <w:szCs w:val="20"/>
              </w:rPr>
              <w:t>-82.76</w:t>
            </w:r>
          </w:p>
        </w:tc>
      </w:tr>
      <w:tr w:rsidR="00015A86" w:rsidRPr="007239A6" w14:paraId="3DC41010" w14:textId="6AA68FDF" w:rsidTr="00181ACD">
        <w:trPr>
          <w:trHeight w:val="288"/>
        </w:trPr>
        <w:tc>
          <w:tcPr>
            <w:tcW w:w="1586" w:type="dxa"/>
            <w:tcBorders>
              <w:top w:val="nil"/>
              <w:left w:val="nil"/>
              <w:bottom w:val="nil"/>
              <w:right w:val="nil"/>
            </w:tcBorders>
            <w:shd w:val="clear" w:color="auto" w:fill="auto"/>
            <w:noWrap/>
            <w:vAlign w:val="bottom"/>
            <w:hideMark/>
          </w:tcPr>
          <w:p w14:paraId="30A6CE09"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Hebron</w:t>
            </w:r>
          </w:p>
        </w:tc>
        <w:tc>
          <w:tcPr>
            <w:tcW w:w="1261" w:type="dxa"/>
            <w:tcBorders>
              <w:top w:val="nil"/>
              <w:left w:val="nil"/>
              <w:bottom w:val="nil"/>
              <w:right w:val="nil"/>
            </w:tcBorders>
            <w:shd w:val="clear" w:color="auto" w:fill="auto"/>
            <w:noWrap/>
            <w:vAlign w:val="bottom"/>
          </w:tcPr>
          <w:p w14:paraId="0A3B0418" w14:textId="1E63AB83" w:rsidR="00015A86" w:rsidRPr="007239A6" w:rsidRDefault="00015A86" w:rsidP="004C356D">
            <w:pPr>
              <w:spacing w:after="0" w:line="240" w:lineRule="auto"/>
              <w:jc w:val="right"/>
              <w:rPr>
                <w:color w:val="000000"/>
                <w:sz w:val="22"/>
                <w:szCs w:val="22"/>
                <w:lang w:bidi="ar-SA"/>
              </w:rPr>
            </w:pPr>
            <w:r w:rsidRPr="007239A6">
              <w:rPr>
                <w:sz w:val="20"/>
                <w:szCs w:val="20"/>
              </w:rPr>
              <w:t>272.0</w:t>
            </w:r>
          </w:p>
        </w:tc>
        <w:tc>
          <w:tcPr>
            <w:tcW w:w="1293" w:type="dxa"/>
            <w:tcBorders>
              <w:top w:val="nil"/>
              <w:left w:val="nil"/>
              <w:bottom w:val="nil"/>
              <w:right w:val="nil"/>
            </w:tcBorders>
            <w:shd w:val="clear" w:color="auto" w:fill="auto"/>
            <w:noWrap/>
            <w:vAlign w:val="bottom"/>
          </w:tcPr>
          <w:p w14:paraId="1518B183" w14:textId="5E7A0F2D" w:rsidR="00015A86" w:rsidRPr="007239A6" w:rsidRDefault="00015A86" w:rsidP="004C356D">
            <w:pPr>
              <w:spacing w:after="0" w:line="240" w:lineRule="auto"/>
              <w:jc w:val="right"/>
              <w:rPr>
                <w:color w:val="000000"/>
                <w:sz w:val="22"/>
                <w:szCs w:val="22"/>
                <w:lang w:bidi="ar-SA"/>
              </w:rPr>
            </w:pPr>
            <w:r w:rsidRPr="007239A6">
              <w:rPr>
                <w:sz w:val="20"/>
                <w:szCs w:val="20"/>
              </w:rPr>
              <w:t xml:space="preserve">28 </w:t>
            </w:r>
          </w:p>
        </w:tc>
        <w:tc>
          <w:tcPr>
            <w:tcW w:w="1650" w:type="dxa"/>
            <w:tcBorders>
              <w:top w:val="nil"/>
              <w:left w:val="nil"/>
              <w:bottom w:val="nil"/>
              <w:right w:val="nil"/>
            </w:tcBorders>
            <w:shd w:val="clear" w:color="auto" w:fill="auto"/>
            <w:noWrap/>
            <w:vAlign w:val="bottom"/>
          </w:tcPr>
          <w:p w14:paraId="6F5EA92E" w14:textId="3BC5307D" w:rsidR="00015A86" w:rsidRPr="007239A6" w:rsidRDefault="00015A86" w:rsidP="004C356D">
            <w:pPr>
              <w:spacing w:after="0" w:line="240" w:lineRule="auto"/>
              <w:jc w:val="right"/>
              <w:rPr>
                <w:color w:val="000000"/>
                <w:sz w:val="22"/>
                <w:szCs w:val="22"/>
                <w:lang w:bidi="ar-SA"/>
              </w:rPr>
            </w:pPr>
            <w:r w:rsidRPr="007239A6">
              <w:rPr>
                <w:sz w:val="20"/>
                <w:szCs w:val="20"/>
              </w:rPr>
              <w:t>924.3</w:t>
            </w:r>
          </w:p>
        </w:tc>
        <w:tc>
          <w:tcPr>
            <w:tcW w:w="1289" w:type="dxa"/>
            <w:tcBorders>
              <w:top w:val="nil"/>
              <w:left w:val="nil"/>
              <w:bottom w:val="nil"/>
              <w:right w:val="nil"/>
            </w:tcBorders>
            <w:shd w:val="clear" w:color="auto" w:fill="auto"/>
            <w:noWrap/>
            <w:vAlign w:val="bottom"/>
          </w:tcPr>
          <w:p w14:paraId="1D8D4B90" w14:textId="49B47535" w:rsidR="00015A86" w:rsidRPr="007239A6" w:rsidRDefault="00015A86" w:rsidP="004C356D">
            <w:pPr>
              <w:spacing w:after="0" w:line="240" w:lineRule="auto"/>
              <w:jc w:val="right"/>
              <w:rPr>
                <w:color w:val="000000"/>
                <w:sz w:val="22"/>
                <w:szCs w:val="22"/>
                <w:lang w:bidi="ar-SA"/>
              </w:rPr>
            </w:pPr>
            <w:r w:rsidRPr="007239A6">
              <w:rPr>
                <w:sz w:val="20"/>
                <w:szCs w:val="20"/>
              </w:rPr>
              <w:t xml:space="preserve">96 </w:t>
            </w:r>
          </w:p>
        </w:tc>
        <w:tc>
          <w:tcPr>
            <w:tcW w:w="1769" w:type="dxa"/>
            <w:tcBorders>
              <w:top w:val="nil"/>
              <w:left w:val="nil"/>
              <w:bottom w:val="nil"/>
              <w:right w:val="nil"/>
            </w:tcBorders>
            <w:vAlign w:val="bottom"/>
          </w:tcPr>
          <w:p w14:paraId="42C5E5D1" w14:textId="4B0783A6" w:rsidR="00015A86" w:rsidRPr="00A54231" w:rsidRDefault="00015A86" w:rsidP="004C356D">
            <w:pPr>
              <w:spacing w:after="0" w:line="240" w:lineRule="auto"/>
              <w:jc w:val="right"/>
              <w:rPr>
                <w:sz w:val="20"/>
                <w:szCs w:val="20"/>
              </w:rPr>
            </w:pPr>
            <w:r w:rsidRPr="00A54231">
              <w:rPr>
                <w:color w:val="000000"/>
                <w:sz w:val="20"/>
                <w:szCs w:val="20"/>
              </w:rPr>
              <w:t>97.52</w:t>
            </w:r>
          </w:p>
        </w:tc>
      </w:tr>
      <w:tr w:rsidR="00015A86" w:rsidRPr="007239A6" w14:paraId="0F89EA30" w14:textId="3D0E6CBA" w:rsidTr="00181ACD">
        <w:trPr>
          <w:trHeight w:val="288"/>
        </w:trPr>
        <w:tc>
          <w:tcPr>
            <w:tcW w:w="1586" w:type="dxa"/>
            <w:tcBorders>
              <w:top w:val="nil"/>
              <w:left w:val="nil"/>
              <w:bottom w:val="nil"/>
              <w:right w:val="nil"/>
            </w:tcBorders>
            <w:shd w:val="clear" w:color="auto" w:fill="auto"/>
            <w:noWrap/>
            <w:vAlign w:val="bottom"/>
            <w:hideMark/>
          </w:tcPr>
          <w:p w14:paraId="25A91D11"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Kent</w:t>
            </w:r>
          </w:p>
        </w:tc>
        <w:tc>
          <w:tcPr>
            <w:tcW w:w="1261" w:type="dxa"/>
            <w:tcBorders>
              <w:top w:val="nil"/>
              <w:left w:val="nil"/>
              <w:bottom w:val="nil"/>
              <w:right w:val="nil"/>
            </w:tcBorders>
            <w:shd w:val="clear" w:color="auto" w:fill="auto"/>
            <w:noWrap/>
            <w:vAlign w:val="bottom"/>
          </w:tcPr>
          <w:p w14:paraId="63CCD430" w14:textId="70B773EA" w:rsidR="00015A86" w:rsidRPr="007239A6" w:rsidRDefault="00015A86" w:rsidP="004C356D">
            <w:pPr>
              <w:spacing w:after="0" w:line="240" w:lineRule="auto"/>
              <w:jc w:val="right"/>
              <w:rPr>
                <w:color w:val="000000"/>
                <w:sz w:val="22"/>
                <w:szCs w:val="22"/>
                <w:lang w:bidi="ar-SA"/>
              </w:rPr>
            </w:pPr>
            <w:r w:rsidRPr="007239A6">
              <w:rPr>
                <w:sz w:val="20"/>
                <w:szCs w:val="20"/>
              </w:rPr>
              <w:t>256.0</w:t>
            </w:r>
          </w:p>
        </w:tc>
        <w:tc>
          <w:tcPr>
            <w:tcW w:w="1293" w:type="dxa"/>
            <w:tcBorders>
              <w:top w:val="nil"/>
              <w:left w:val="nil"/>
              <w:bottom w:val="nil"/>
              <w:right w:val="nil"/>
            </w:tcBorders>
            <w:shd w:val="clear" w:color="auto" w:fill="auto"/>
            <w:noWrap/>
            <w:vAlign w:val="bottom"/>
          </w:tcPr>
          <w:p w14:paraId="43F52C6C" w14:textId="0BA50F63" w:rsidR="00015A86" w:rsidRPr="007239A6" w:rsidRDefault="00015A86" w:rsidP="004C356D">
            <w:pPr>
              <w:spacing w:after="0" w:line="240" w:lineRule="auto"/>
              <w:jc w:val="right"/>
              <w:rPr>
                <w:color w:val="000000"/>
                <w:sz w:val="22"/>
                <w:szCs w:val="22"/>
                <w:lang w:bidi="ar-SA"/>
              </w:rPr>
            </w:pPr>
            <w:r w:rsidRPr="007239A6">
              <w:rPr>
                <w:sz w:val="20"/>
                <w:szCs w:val="20"/>
              </w:rPr>
              <w:t xml:space="preserve">86 </w:t>
            </w:r>
          </w:p>
        </w:tc>
        <w:tc>
          <w:tcPr>
            <w:tcW w:w="1650" w:type="dxa"/>
            <w:tcBorders>
              <w:top w:val="nil"/>
              <w:left w:val="nil"/>
              <w:bottom w:val="nil"/>
              <w:right w:val="nil"/>
            </w:tcBorders>
            <w:shd w:val="clear" w:color="auto" w:fill="auto"/>
            <w:noWrap/>
            <w:vAlign w:val="bottom"/>
          </w:tcPr>
          <w:p w14:paraId="2FB61629" w14:textId="16E207F3" w:rsidR="00015A86" w:rsidRPr="007239A6" w:rsidRDefault="00015A86" w:rsidP="004C356D">
            <w:pPr>
              <w:spacing w:after="0" w:line="240" w:lineRule="auto"/>
              <w:jc w:val="right"/>
              <w:rPr>
                <w:color w:val="000000"/>
                <w:sz w:val="22"/>
                <w:szCs w:val="22"/>
                <w:lang w:bidi="ar-SA"/>
              </w:rPr>
            </w:pPr>
            <w:r w:rsidRPr="007239A6">
              <w:rPr>
                <w:sz w:val="20"/>
                <w:szCs w:val="20"/>
              </w:rPr>
              <w:t>446.5</w:t>
            </w:r>
          </w:p>
        </w:tc>
        <w:tc>
          <w:tcPr>
            <w:tcW w:w="1289" w:type="dxa"/>
            <w:tcBorders>
              <w:top w:val="nil"/>
              <w:left w:val="nil"/>
              <w:bottom w:val="nil"/>
              <w:right w:val="nil"/>
            </w:tcBorders>
            <w:shd w:val="clear" w:color="auto" w:fill="auto"/>
            <w:noWrap/>
            <w:vAlign w:val="bottom"/>
          </w:tcPr>
          <w:p w14:paraId="777CDE16" w14:textId="2B014A99" w:rsidR="00015A86" w:rsidRPr="007239A6" w:rsidRDefault="00015A86" w:rsidP="004C356D">
            <w:pPr>
              <w:spacing w:after="0" w:line="240" w:lineRule="auto"/>
              <w:jc w:val="right"/>
              <w:rPr>
                <w:color w:val="000000"/>
                <w:sz w:val="22"/>
                <w:szCs w:val="22"/>
                <w:lang w:bidi="ar-SA"/>
              </w:rPr>
            </w:pPr>
            <w:r w:rsidRPr="007239A6">
              <w:rPr>
                <w:sz w:val="20"/>
                <w:szCs w:val="20"/>
              </w:rPr>
              <w:t xml:space="preserve">151 </w:t>
            </w:r>
          </w:p>
        </w:tc>
        <w:tc>
          <w:tcPr>
            <w:tcW w:w="1769" w:type="dxa"/>
            <w:tcBorders>
              <w:top w:val="nil"/>
              <w:left w:val="nil"/>
              <w:bottom w:val="nil"/>
              <w:right w:val="nil"/>
            </w:tcBorders>
            <w:vAlign w:val="bottom"/>
          </w:tcPr>
          <w:p w14:paraId="2B6A317A" w14:textId="42CC0C71" w:rsidR="00015A86" w:rsidRPr="00A54231" w:rsidRDefault="00015A86" w:rsidP="004C356D">
            <w:pPr>
              <w:spacing w:after="0" w:line="240" w:lineRule="auto"/>
              <w:jc w:val="right"/>
              <w:rPr>
                <w:sz w:val="20"/>
                <w:szCs w:val="20"/>
              </w:rPr>
            </w:pPr>
            <w:r w:rsidRPr="00A54231">
              <w:rPr>
                <w:color w:val="000000"/>
                <w:sz w:val="20"/>
                <w:szCs w:val="20"/>
              </w:rPr>
              <w:t>-1520.59</w:t>
            </w:r>
          </w:p>
        </w:tc>
      </w:tr>
      <w:tr w:rsidR="00015A86" w:rsidRPr="007239A6" w14:paraId="01F55ACB" w14:textId="23F8E6C5" w:rsidTr="00181ACD">
        <w:trPr>
          <w:trHeight w:val="288"/>
        </w:trPr>
        <w:tc>
          <w:tcPr>
            <w:tcW w:w="1586" w:type="dxa"/>
            <w:tcBorders>
              <w:top w:val="nil"/>
              <w:left w:val="nil"/>
              <w:bottom w:val="nil"/>
              <w:right w:val="nil"/>
            </w:tcBorders>
            <w:shd w:val="clear" w:color="auto" w:fill="auto"/>
            <w:noWrap/>
            <w:vAlign w:val="bottom"/>
            <w:hideMark/>
          </w:tcPr>
          <w:p w14:paraId="38E9F380"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Killingly</w:t>
            </w:r>
          </w:p>
        </w:tc>
        <w:tc>
          <w:tcPr>
            <w:tcW w:w="1261" w:type="dxa"/>
            <w:tcBorders>
              <w:top w:val="nil"/>
              <w:left w:val="nil"/>
              <w:bottom w:val="nil"/>
              <w:right w:val="nil"/>
            </w:tcBorders>
            <w:shd w:val="clear" w:color="auto" w:fill="auto"/>
            <w:noWrap/>
            <w:vAlign w:val="bottom"/>
          </w:tcPr>
          <w:p w14:paraId="022F5AF5" w14:textId="48E6C21B" w:rsidR="00015A86" w:rsidRPr="007239A6" w:rsidRDefault="00015A86" w:rsidP="004C356D">
            <w:pPr>
              <w:spacing w:after="0" w:line="240" w:lineRule="auto"/>
              <w:jc w:val="right"/>
              <w:rPr>
                <w:color w:val="000000"/>
                <w:sz w:val="22"/>
                <w:szCs w:val="22"/>
                <w:lang w:bidi="ar-SA"/>
              </w:rPr>
            </w:pPr>
            <w:r w:rsidRPr="007239A6">
              <w:rPr>
                <w:sz w:val="20"/>
                <w:szCs w:val="20"/>
              </w:rPr>
              <w:t>1,702.2</w:t>
            </w:r>
          </w:p>
        </w:tc>
        <w:tc>
          <w:tcPr>
            <w:tcW w:w="1293" w:type="dxa"/>
            <w:tcBorders>
              <w:top w:val="nil"/>
              <w:left w:val="nil"/>
              <w:bottom w:val="nil"/>
              <w:right w:val="nil"/>
            </w:tcBorders>
            <w:shd w:val="clear" w:color="auto" w:fill="auto"/>
            <w:noWrap/>
            <w:vAlign w:val="bottom"/>
          </w:tcPr>
          <w:p w14:paraId="6DC11A3B" w14:textId="564BFADE" w:rsidR="00015A86" w:rsidRPr="007239A6" w:rsidRDefault="00015A86" w:rsidP="004C356D">
            <w:pPr>
              <w:spacing w:after="0" w:line="240" w:lineRule="auto"/>
              <w:jc w:val="right"/>
              <w:rPr>
                <w:color w:val="000000"/>
                <w:sz w:val="22"/>
                <w:szCs w:val="22"/>
                <w:lang w:bidi="ar-SA"/>
              </w:rPr>
            </w:pPr>
            <w:r w:rsidRPr="007239A6">
              <w:rPr>
                <w:sz w:val="20"/>
                <w:szCs w:val="20"/>
              </w:rPr>
              <w:t xml:space="preserve">98 </w:t>
            </w:r>
          </w:p>
        </w:tc>
        <w:tc>
          <w:tcPr>
            <w:tcW w:w="1650" w:type="dxa"/>
            <w:tcBorders>
              <w:top w:val="nil"/>
              <w:left w:val="nil"/>
              <w:bottom w:val="nil"/>
              <w:right w:val="nil"/>
            </w:tcBorders>
            <w:shd w:val="clear" w:color="auto" w:fill="auto"/>
            <w:noWrap/>
            <w:vAlign w:val="bottom"/>
          </w:tcPr>
          <w:p w14:paraId="2418303D" w14:textId="7857B543" w:rsidR="00015A86" w:rsidRPr="007239A6" w:rsidRDefault="00015A86" w:rsidP="004C356D">
            <w:pPr>
              <w:spacing w:after="0" w:line="240" w:lineRule="auto"/>
              <w:jc w:val="right"/>
              <w:rPr>
                <w:color w:val="000000"/>
                <w:sz w:val="22"/>
                <w:szCs w:val="22"/>
                <w:lang w:bidi="ar-SA"/>
              </w:rPr>
            </w:pPr>
            <w:r w:rsidRPr="007239A6">
              <w:rPr>
                <w:sz w:val="20"/>
                <w:szCs w:val="20"/>
              </w:rPr>
              <w:t>1546.1</w:t>
            </w:r>
          </w:p>
        </w:tc>
        <w:tc>
          <w:tcPr>
            <w:tcW w:w="1289" w:type="dxa"/>
            <w:tcBorders>
              <w:top w:val="nil"/>
              <w:left w:val="nil"/>
              <w:bottom w:val="nil"/>
              <w:right w:val="nil"/>
            </w:tcBorders>
            <w:shd w:val="clear" w:color="auto" w:fill="auto"/>
            <w:noWrap/>
            <w:vAlign w:val="bottom"/>
          </w:tcPr>
          <w:p w14:paraId="4EFF66CE" w14:textId="6B9788FA" w:rsidR="00015A86" w:rsidRPr="007239A6" w:rsidRDefault="00015A86" w:rsidP="004C356D">
            <w:pPr>
              <w:spacing w:after="0" w:line="240" w:lineRule="auto"/>
              <w:jc w:val="right"/>
              <w:rPr>
                <w:color w:val="000000"/>
                <w:sz w:val="22"/>
                <w:szCs w:val="22"/>
                <w:lang w:bidi="ar-SA"/>
              </w:rPr>
            </w:pPr>
            <w:r w:rsidRPr="007239A6">
              <w:rPr>
                <w:sz w:val="20"/>
                <w:szCs w:val="20"/>
              </w:rPr>
              <w:t xml:space="preserve">89 </w:t>
            </w:r>
          </w:p>
        </w:tc>
        <w:tc>
          <w:tcPr>
            <w:tcW w:w="1769" w:type="dxa"/>
            <w:tcBorders>
              <w:top w:val="nil"/>
              <w:left w:val="nil"/>
              <w:bottom w:val="nil"/>
              <w:right w:val="nil"/>
            </w:tcBorders>
            <w:vAlign w:val="bottom"/>
          </w:tcPr>
          <w:p w14:paraId="5AA2454F" w14:textId="6B4F15AC" w:rsidR="00015A86" w:rsidRPr="00A54231" w:rsidRDefault="00015A86" w:rsidP="004C356D">
            <w:pPr>
              <w:spacing w:after="0" w:line="240" w:lineRule="auto"/>
              <w:jc w:val="right"/>
              <w:rPr>
                <w:sz w:val="20"/>
                <w:szCs w:val="20"/>
              </w:rPr>
            </w:pPr>
            <w:r w:rsidRPr="00A54231">
              <w:rPr>
                <w:color w:val="000000"/>
                <w:sz w:val="20"/>
                <w:szCs w:val="20"/>
              </w:rPr>
              <w:t>390.74</w:t>
            </w:r>
          </w:p>
        </w:tc>
      </w:tr>
      <w:tr w:rsidR="00015A86" w:rsidRPr="007239A6" w14:paraId="01AB561E" w14:textId="1E49D8B2" w:rsidTr="00181ACD">
        <w:trPr>
          <w:trHeight w:val="288"/>
        </w:trPr>
        <w:tc>
          <w:tcPr>
            <w:tcW w:w="1586" w:type="dxa"/>
            <w:tcBorders>
              <w:top w:val="nil"/>
              <w:left w:val="nil"/>
              <w:bottom w:val="nil"/>
              <w:right w:val="nil"/>
            </w:tcBorders>
            <w:shd w:val="clear" w:color="auto" w:fill="auto"/>
            <w:noWrap/>
            <w:vAlign w:val="bottom"/>
            <w:hideMark/>
          </w:tcPr>
          <w:p w14:paraId="3CA8C5D5"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Killingworth</w:t>
            </w:r>
          </w:p>
        </w:tc>
        <w:tc>
          <w:tcPr>
            <w:tcW w:w="1261" w:type="dxa"/>
            <w:tcBorders>
              <w:top w:val="nil"/>
              <w:left w:val="nil"/>
              <w:bottom w:val="nil"/>
              <w:right w:val="nil"/>
            </w:tcBorders>
            <w:shd w:val="clear" w:color="auto" w:fill="auto"/>
            <w:noWrap/>
            <w:vAlign w:val="bottom"/>
          </w:tcPr>
          <w:p w14:paraId="31BA5D0A" w14:textId="57B16770" w:rsidR="00015A86" w:rsidRPr="007239A6" w:rsidRDefault="00015A86" w:rsidP="004C356D">
            <w:pPr>
              <w:spacing w:after="0" w:line="240" w:lineRule="auto"/>
              <w:jc w:val="right"/>
              <w:rPr>
                <w:color w:val="000000"/>
                <w:sz w:val="22"/>
                <w:szCs w:val="22"/>
                <w:lang w:bidi="ar-SA"/>
              </w:rPr>
            </w:pPr>
            <w:r w:rsidRPr="007239A6">
              <w:rPr>
                <w:sz w:val="20"/>
                <w:szCs w:val="20"/>
              </w:rPr>
              <w:t>241.0</w:t>
            </w:r>
          </w:p>
        </w:tc>
        <w:tc>
          <w:tcPr>
            <w:tcW w:w="1293" w:type="dxa"/>
            <w:tcBorders>
              <w:top w:val="nil"/>
              <w:left w:val="nil"/>
              <w:bottom w:val="nil"/>
              <w:right w:val="nil"/>
            </w:tcBorders>
            <w:shd w:val="clear" w:color="auto" w:fill="auto"/>
            <w:noWrap/>
            <w:vAlign w:val="bottom"/>
          </w:tcPr>
          <w:p w14:paraId="55901F40" w14:textId="3BE3EF70" w:rsidR="00015A86" w:rsidRPr="007239A6" w:rsidRDefault="00015A86" w:rsidP="004C356D">
            <w:pPr>
              <w:spacing w:after="0" w:line="240" w:lineRule="auto"/>
              <w:jc w:val="right"/>
              <w:rPr>
                <w:color w:val="000000"/>
                <w:sz w:val="22"/>
                <w:szCs w:val="22"/>
                <w:lang w:bidi="ar-SA"/>
              </w:rPr>
            </w:pPr>
            <w:r w:rsidRPr="007239A6">
              <w:rPr>
                <w:sz w:val="20"/>
                <w:szCs w:val="20"/>
              </w:rPr>
              <w:t xml:space="preserve">37 </w:t>
            </w:r>
          </w:p>
        </w:tc>
        <w:tc>
          <w:tcPr>
            <w:tcW w:w="1650" w:type="dxa"/>
            <w:tcBorders>
              <w:top w:val="nil"/>
              <w:left w:val="nil"/>
              <w:bottom w:val="nil"/>
              <w:right w:val="nil"/>
            </w:tcBorders>
            <w:shd w:val="clear" w:color="auto" w:fill="auto"/>
            <w:noWrap/>
            <w:vAlign w:val="bottom"/>
          </w:tcPr>
          <w:p w14:paraId="150BB331" w14:textId="57D1D030" w:rsidR="00015A86" w:rsidRPr="007239A6" w:rsidRDefault="00015A86" w:rsidP="004C356D">
            <w:pPr>
              <w:spacing w:after="0" w:line="240" w:lineRule="auto"/>
              <w:jc w:val="right"/>
              <w:rPr>
                <w:color w:val="000000"/>
                <w:sz w:val="22"/>
                <w:szCs w:val="22"/>
                <w:lang w:bidi="ar-SA"/>
              </w:rPr>
            </w:pPr>
            <w:r w:rsidRPr="007239A6">
              <w:rPr>
                <w:sz w:val="20"/>
                <w:szCs w:val="20"/>
              </w:rPr>
              <w:t>449.9</w:t>
            </w:r>
          </w:p>
        </w:tc>
        <w:tc>
          <w:tcPr>
            <w:tcW w:w="1289" w:type="dxa"/>
            <w:tcBorders>
              <w:top w:val="nil"/>
              <w:left w:val="nil"/>
              <w:bottom w:val="nil"/>
              <w:right w:val="nil"/>
            </w:tcBorders>
            <w:shd w:val="clear" w:color="auto" w:fill="auto"/>
            <w:noWrap/>
            <w:vAlign w:val="bottom"/>
          </w:tcPr>
          <w:p w14:paraId="7CE62993" w14:textId="2F6EBDE8" w:rsidR="00015A86" w:rsidRPr="007239A6" w:rsidRDefault="00015A86" w:rsidP="004C356D">
            <w:pPr>
              <w:spacing w:after="0" w:line="240" w:lineRule="auto"/>
              <w:jc w:val="right"/>
              <w:rPr>
                <w:color w:val="000000"/>
                <w:sz w:val="22"/>
                <w:szCs w:val="22"/>
                <w:lang w:bidi="ar-SA"/>
              </w:rPr>
            </w:pPr>
            <w:r w:rsidRPr="007239A6">
              <w:rPr>
                <w:sz w:val="20"/>
                <w:szCs w:val="20"/>
              </w:rPr>
              <w:t xml:space="preserve">69 </w:t>
            </w:r>
          </w:p>
        </w:tc>
        <w:tc>
          <w:tcPr>
            <w:tcW w:w="1769" w:type="dxa"/>
            <w:tcBorders>
              <w:top w:val="nil"/>
              <w:left w:val="nil"/>
              <w:bottom w:val="nil"/>
              <w:right w:val="nil"/>
            </w:tcBorders>
            <w:vAlign w:val="bottom"/>
          </w:tcPr>
          <w:p w14:paraId="44943471" w14:textId="041D8C06" w:rsidR="00015A86" w:rsidRPr="00A54231" w:rsidRDefault="00015A86" w:rsidP="004C356D">
            <w:pPr>
              <w:spacing w:after="0" w:line="240" w:lineRule="auto"/>
              <w:jc w:val="right"/>
              <w:rPr>
                <w:sz w:val="20"/>
                <w:szCs w:val="20"/>
              </w:rPr>
            </w:pPr>
            <w:r w:rsidRPr="00A54231">
              <w:rPr>
                <w:color w:val="000000"/>
                <w:sz w:val="20"/>
                <w:szCs w:val="20"/>
              </w:rPr>
              <w:t>-336.82</w:t>
            </w:r>
          </w:p>
        </w:tc>
      </w:tr>
      <w:tr w:rsidR="00015A86" w:rsidRPr="007239A6" w14:paraId="0473B7BC" w14:textId="04ACA1F4" w:rsidTr="00181ACD">
        <w:trPr>
          <w:trHeight w:val="288"/>
        </w:trPr>
        <w:tc>
          <w:tcPr>
            <w:tcW w:w="1586" w:type="dxa"/>
            <w:tcBorders>
              <w:top w:val="nil"/>
              <w:left w:val="nil"/>
              <w:bottom w:val="nil"/>
              <w:right w:val="nil"/>
            </w:tcBorders>
            <w:shd w:val="clear" w:color="auto" w:fill="auto"/>
            <w:noWrap/>
            <w:vAlign w:val="bottom"/>
            <w:hideMark/>
          </w:tcPr>
          <w:p w14:paraId="251366A3"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Lebanon</w:t>
            </w:r>
          </w:p>
        </w:tc>
        <w:tc>
          <w:tcPr>
            <w:tcW w:w="1261" w:type="dxa"/>
            <w:tcBorders>
              <w:top w:val="nil"/>
              <w:left w:val="nil"/>
              <w:bottom w:val="nil"/>
              <w:right w:val="nil"/>
            </w:tcBorders>
            <w:shd w:val="clear" w:color="auto" w:fill="auto"/>
            <w:noWrap/>
            <w:vAlign w:val="bottom"/>
          </w:tcPr>
          <w:p w14:paraId="7455355C" w14:textId="4BDA2787" w:rsidR="00015A86" w:rsidRPr="007239A6" w:rsidRDefault="00015A86" w:rsidP="004C356D">
            <w:pPr>
              <w:spacing w:after="0" w:line="240" w:lineRule="auto"/>
              <w:jc w:val="right"/>
              <w:rPr>
                <w:color w:val="000000"/>
                <w:sz w:val="22"/>
                <w:szCs w:val="22"/>
                <w:lang w:bidi="ar-SA"/>
              </w:rPr>
            </w:pPr>
            <w:r w:rsidRPr="007239A6">
              <w:rPr>
                <w:sz w:val="20"/>
                <w:szCs w:val="20"/>
              </w:rPr>
              <w:t>101.1</w:t>
            </w:r>
          </w:p>
        </w:tc>
        <w:tc>
          <w:tcPr>
            <w:tcW w:w="1293" w:type="dxa"/>
            <w:tcBorders>
              <w:top w:val="nil"/>
              <w:left w:val="nil"/>
              <w:bottom w:val="nil"/>
              <w:right w:val="nil"/>
            </w:tcBorders>
            <w:shd w:val="clear" w:color="auto" w:fill="auto"/>
            <w:noWrap/>
            <w:vAlign w:val="bottom"/>
          </w:tcPr>
          <w:p w14:paraId="03ECF978" w14:textId="32657EE5" w:rsidR="00015A86" w:rsidRPr="007239A6" w:rsidRDefault="00015A86" w:rsidP="004C356D">
            <w:pPr>
              <w:spacing w:after="0" w:line="240" w:lineRule="auto"/>
              <w:jc w:val="right"/>
              <w:rPr>
                <w:color w:val="000000"/>
                <w:sz w:val="22"/>
                <w:szCs w:val="22"/>
                <w:lang w:bidi="ar-SA"/>
              </w:rPr>
            </w:pPr>
            <w:r w:rsidRPr="007239A6">
              <w:rPr>
                <w:sz w:val="20"/>
                <w:szCs w:val="20"/>
              </w:rPr>
              <w:t xml:space="preserve">14 </w:t>
            </w:r>
          </w:p>
        </w:tc>
        <w:tc>
          <w:tcPr>
            <w:tcW w:w="1650" w:type="dxa"/>
            <w:tcBorders>
              <w:top w:val="nil"/>
              <w:left w:val="nil"/>
              <w:bottom w:val="nil"/>
              <w:right w:val="nil"/>
            </w:tcBorders>
            <w:shd w:val="clear" w:color="auto" w:fill="auto"/>
            <w:noWrap/>
            <w:vAlign w:val="bottom"/>
          </w:tcPr>
          <w:p w14:paraId="352B2B90" w14:textId="272C9D3A" w:rsidR="00015A86" w:rsidRPr="007239A6" w:rsidRDefault="00015A86" w:rsidP="004C356D">
            <w:pPr>
              <w:spacing w:after="0" w:line="240" w:lineRule="auto"/>
              <w:jc w:val="right"/>
              <w:rPr>
                <w:color w:val="000000"/>
                <w:sz w:val="22"/>
                <w:szCs w:val="22"/>
                <w:lang w:bidi="ar-SA"/>
              </w:rPr>
            </w:pPr>
            <w:r w:rsidRPr="007239A6">
              <w:rPr>
                <w:sz w:val="20"/>
                <w:szCs w:val="20"/>
              </w:rPr>
              <w:t>617.2</w:t>
            </w:r>
          </w:p>
        </w:tc>
        <w:tc>
          <w:tcPr>
            <w:tcW w:w="1289" w:type="dxa"/>
            <w:tcBorders>
              <w:top w:val="nil"/>
              <w:left w:val="nil"/>
              <w:bottom w:val="nil"/>
              <w:right w:val="nil"/>
            </w:tcBorders>
            <w:shd w:val="clear" w:color="auto" w:fill="auto"/>
            <w:noWrap/>
            <w:vAlign w:val="bottom"/>
          </w:tcPr>
          <w:p w14:paraId="54330B47" w14:textId="46783417" w:rsidR="00015A86" w:rsidRPr="007239A6" w:rsidRDefault="00015A86" w:rsidP="004C356D">
            <w:pPr>
              <w:spacing w:after="0" w:line="240" w:lineRule="auto"/>
              <w:jc w:val="right"/>
              <w:rPr>
                <w:color w:val="000000"/>
                <w:sz w:val="22"/>
                <w:szCs w:val="22"/>
                <w:lang w:bidi="ar-SA"/>
              </w:rPr>
            </w:pPr>
            <w:r w:rsidRPr="007239A6">
              <w:rPr>
                <w:sz w:val="20"/>
                <w:szCs w:val="20"/>
              </w:rPr>
              <w:t xml:space="preserve">84 </w:t>
            </w:r>
          </w:p>
        </w:tc>
        <w:tc>
          <w:tcPr>
            <w:tcW w:w="1769" w:type="dxa"/>
            <w:tcBorders>
              <w:top w:val="nil"/>
              <w:left w:val="nil"/>
              <w:bottom w:val="nil"/>
              <w:right w:val="nil"/>
            </w:tcBorders>
            <w:vAlign w:val="bottom"/>
          </w:tcPr>
          <w:p w14:paraId="0B003BDB" w14:textId="706781B7" w:rsidR="00015A86" w:rsidRPr="00A54231" w:rsidRDefault="00015A86" w:rsidP="004C356D">
            <w:pPr>
              <w:spacing w:after="0" w:line="240" w:lineRule="auto"/>
              <w:jc w:val="right"/>
              <w:rPr>
                <w:sz w:val="20"/>
                <w:szCs w:val="20"/>
              </w:rPr>
            </w:pPr>
            <w:r w:rsidRPr="00A54231">
              <w:rPr>
                <w:color w:val="000000"/>
                <w:sz w:val="20"/>
                <w:szCs w:val="20"/>
              </w:rPr>
              <w:t>94.77</w:t>
            </w:r>
          </w:p>
        </w:tc>
      </w:tr>
      <w:tr w:rsidR="00015A86" w:rsidRPr="007239A6" w14:paraId="5E3B0DFB" w14:textId="2304FE87" w:rsidTr="00181ACD">
        <w:trPr>
          <w:trHeight w:val="288"/>
        </w:trPr>
        <w:tc>
          <w:tcPr>
            <w:tcW w:w="1586" w:type="dxa"/>
            <w:tcBorders>
              <w:top w:val="nil"/>
              <w:left w:val="nil"/>
              <w:bottom w:val="nil"/>
              <w:right w:val="nil"/>
            </w:tcBorders>
            <w:shd w:val="clear" w:color="auto" w:fill="auto"/>
            <w:noWrap/>
            <w:vAlign w:val="bottom"/>
            <w:hideMark/>
          </w:tcPr>
          <w:p w14:paraId="665C585F"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Ledyard</w:t>
            </w:r>
          </w:p>
        </w:tc>
        <w:tc>
          <w:tcPr>
            <w:tcW w:w="1261" w:type="dxa"/>
            <w:tcBorders>
              <w:top w:val="nil"/>
              <w:left w:val="nil"/>
              <w:bottom w:val="nil"/>
              <w:right w:val="nil"/>
            </w:tcBorders>
            <w:shd w:val="clear" w:color="auto" w:fill="auto"/>
            <w:noWrap/>
            <w:vAlign w:val="bottom"/>
          </w:tcPr>
          <w:p w14:paraId="7FB733BD" w14:textId="0B2B38D8" w:rsidR="00015A86" w:rsidRPr="007239A6" w:rsidRDefault="00015A86" w:rsidP="004C356D">
            <w:pPr>
              <w:spacing w:after="0" w:line="240" w:lineRule="auto"/>
              <w:jc w:val="right"/>
              <w:rPr>
                <w:color w:val="000000"/>
                <w:sz w:val="22"/>
                <w:szCs w:val="22"/>
                <w:lang w:bidi="ar-SA"/>
              </w:rPr>
            </w:pPr>
            <w:r w:rsidRPr="007239A6">
              <w:rPr>
                <w:sz w:val="20"/>
                <w:szCs w:val="20"/>
              </w:rPr>
              <w:t>734.7</w:t>
            </w:r>
          </w:p>
        </w:tc>
        <w:tc>
          <w:tcPr>
            <w:tcW w:w="1293" w:type="dxa"/>
            <w:tcBorders>
              <w:top w:val="nil"/>
              <w:left w:val="nil"/>
              <w:bottom w:val="nil"/>
              <w:right w:val="nil"/>
            </w:tcBorders>
            <w:shd w:val="clear" w:color="auto" w:fill="auto"/>
            <w:noWrap/>
            <w:vAlign w:val="bottom"/>
          </w:tcPr>
          <w:p w14:paraId="3248C3D6" w14:textId="7AC1DD8C" w:rsidR="00015A86" w:rsidRPr="007239A6" w:rsidRDefault="00015A86" w:rsidP="004C356D">
            <w:pPr>
              <w:spacing w:after="0" w:line="240" w:lineRule="auto"/>
              <w:jc w:val="right"/>
              <w:rPr>
                <w:color w:val="000000"/>
                <w:sz w:val="22"/>
                <w:szCs w:val="22"/>
                <w:lang w:bidi="ar-SA"/>
              </w:rPr>
            </w:pPr>
            <w:r w:rsidRPr="007239A6">
              <w:rPr>
                <w:sz w:val="20"/>
                <w:szCs w:val="20"/>
              </w:rPr>
              <w:t xml:space="preserve">49 </w:t>
            </w:r>
          </w:p>
        </w:tc>
        <w:tc>
          <w:tcPr>
            <w:tcW w:w="1650" w:type="dxa"/>
            <w:tcBorders>
              <w:top w:val="nil"/>
              <w:left w:val="nil"/>
              <w:bottom w:val="nil"/>
              <w:right w:val="nil"/>
            </w:tcBorders>
            <w:shd w:val="clear" w:color="auto" w:fill="auto"/>
            <w:noWrap/>
            <w:vAlign w:val="bottom"/>
          </w:tcPr>
          <w:p w14:paraId="2C8DAB0E" w14:textId="75988119" w:rsidR="00015A86" w:rsidRPr="007239A6" w:rsidRDefault="00015A86" w:rsidP="004C356D">
            <w:pPr>
              <w:spacing w:after="0" w:line="240" w:lineRule="auto"/>
              <w:jc w:val="right"/>
              <w:rPr>
                <w:color w:val="000000"/>
                <w:sz w:val="22"/>
                <w:szCs w:val="22"/>
                <w:lang w:bidi="ar-SA"/>
              </w:rPr>
            </w:pPr>
            <w:r w:rsidRPr="007239A6">
              <w:rPr>
                <w:sz w:val="20"/>
                <w:szCs w:val="20"/>
              </w:rPr>
              <w:t>2303.4</w:t>
            </w:r>
          </w:p>
        </w:tc>
        <w:tc>
          <w:tcPr>
            <w:tcW w:w="1289" w:type="dxa"/>
            <w:tcBorders>
              <w:top w:val="nil"/>
              <w:left w:val="nil"/>
              <w:bottom w:val="nil"/>
              <w:right w:val="nil"/>
            </w:tcBorders>
            <w:shd w:val="clear" w:color="auto" w:fill="auto"/>
            <w:noWrap/>
            <w:vAlign w:val="bottom"/>
          </w:tcPr>
          <w:p w14:paraId="51E80869" w14:textId="0C7322C9" w:rsidR="00015A86" w:rsidRPr="007239A6" w:rsidRDefault="00015A86" w:rsidP="004C356D">
            <w:pPr>
              <w:spacing w:after="0" w:line="240" w:lineRule="auto"/>
              <w:jc w:val="right"/>
              <w:rPr>
                <w:color w:val="000000"/>
                <w:sz w:val="22"/>
                <w:szCs w:val="22"/>
                <w:lang w:bidi="ar-SA"/>
              </w:rPr>
            </w:pPr>
            <w:r w:rsidRPr="007239A6">
              <w:rPr>
                <w:sz w:val="20"/>
                <w:szCs w:val="20"/>
              </w:rPr>
              <w:t xml:space="preserve">153 </w:t>
            </w:r>
          </w:p>
        </w:tc>
        <w:tc>
          <w:tcPr>
            <w:tcW w:w="1769" w:type="dxa"/>
            <w:tcBorders>
              <w:top w:val="nil"/>
              <w:left w:val="nil"/>
              <w:bottom w:val="nil"/>
              <w:right w:val="nil"/>
            </w:tcBorders>
            <w:vAlign w:val="bottom"/>
          </w:tcPr>
          <w:p w14:paraId="0B1BB5A3" w14:textId="5F04427F" w:rsidR="00015A86" w:rsidRPr="00A54231" w:rsidRDefault="00015A86" w:rsidP="004C356D">
            <w:pPr>
              <w:spacing w:after="0" w:line="240" w:lineRule="auto"/>
              <w:jc w:val="right"/>
              <w:rPr>
                <w:sz w:val="20"/>
                <w:szCs w:val="20"/>
              </w:rPr>
            </w:pPr>
            <w:r w:rsidRPr="00A54231">
              <w:rPr>
                <w:color w:val="000000"/>
                <w:sz w:val="20"/>
                <w:szCs w:val="20"/>
              </w:rPr>
              <w:t>323.93</w:t>
            </w:r>
          </w:p>
        </w:tc>
      </w:tr>
      <w:tr w:rsidR="00015A86" w:rsidRPr="007239A6" w14:paraId="66A88639" w14:textId="4113E42A" w:rsidTr="00181ACD">
        <w:trPr>
          <w:trHeight w:val="288"/>
        </w:trPr>
        <w:tc>
          <w:tcPr>
            <w:tcW w:w="1586" w:type="dxa"/>
            <w:tcBorders>
              <w:top w:val="nil"/>
              <w:left w:val="nil"/>
              <w:bottom w:val="nil"/>
              <w:right w:val="nil"/>
            </w:tcBorders>
            <w:shd w:val="clear" w:color="auto" w:fill="auto"/>
            <w:noWrap/>
            <w:vAlign w:val="bottom"/>
            <w:hideMark/>
          </w:tcPr>
          <w:p w14:paraId="1A943160"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Lisbon</w:t>
            </w:r>
          </w:p>
        </w:tc>
        <w:tc>
          <w:tcPr>
            <w:tcW w:w="1261" w:type="dxa"/>
            <w:tcBorders>
              <w:top w:val="nil"/>
              <w:left w:val="nil"/>
              <w:bottom w:val="nil"/>
              <w:right w:val="nil"/>
            </w:tcBorders>
            <w:shd w:val="clear" w:color="auto" w:fill="auto"/>
            <w:noWrap/>
            <w:vAlign w:val="bottom"/>
          </w:tcPr>
          <w:p w14:paraId="4236E586" w14:textId="14305EEF" w:rsidR="00015A86" w:rsidRPr="007239A6" w:rsidRDefault="00015A86" w:rsidP="004C356D">
            <w:pPr>
              <w:spacing w:after="0" w:line="240" w:lineRule="auto"/>
              <w:jc w:val="right"/>
              <w:rPr>
                <w:color w:val="000000"/>
                <w:sz w:val="22"/>
                <w:szCs w:val="22"/>
                <w:lang w:bidi="ar-SA"/>
              </w:rPr>
            </w:pPr>
            <w:r w:rsidRPr="007239A6">
              <w:rPr>
                <w:sz w:val="20"/>
                <w:szCs w:val="20"/>
              </w:rPr>
              <w:t>1,305.2</w:t>
            </w:r>
          </w:p>
        </w:tc>
        <w:tc>
          <w:tcPr>
            <w:tcW w:w="1293" w:type="dxa"/>
            <w:tcBorders>
              <w:top w:val="nil"/>
              <w:left w:val="nil"/>
              <w:bottom w:val="nil"/>
              <w:right w:val="nil"/>
            </w:tcBorders>
            <w:shd w:val="clear" w:color="auto" w:fill="auto"/>
            <w:noWrap/>
            <w:vAlign w:val="bottom"/>
          </w:tcPr>
          <w:p w14:paraId="4F10219E" w14:textId="7A5D3333" w:rsidR="00015A86" w:rsidRPr="007239A6" w:rsidRDefault="00015A86" w:rsidP="004C356D">
            <w:pPr>
              <w:spacing w:after="0" w:line="240" w:lineRule="auto"/>
              <w:jc w:val="right"/>
              <w:rPr>
                <w:color w:val="000000"/>
                <w:sz w:val="22"/>
                <w:szCs w:val="22"/>
                <w:lang w:bidi="ar-SA"/>
              </w:rPr>
            </w:pPr>
            <w:r w:rsidRPr="007239A6">
              <w:rPr>
                <w:sz w:val="20"/>
                <w:szCs w:val="20"/>
              </w:rPr>
              <w:t xml:space="preserve">301 </w:t>
            </w:r>
          </w:p>
        </w:tc>
        <w:tc>
          <w:tcPr>
            <w:tcW w:w="1650" w:type="dxa"/>
            <w:tcBorders>
              <w:top w:val="nil"/>
              <w:left w:val="nil"/>
              <w:bottom w:val="nil"/>
              <w:right w:val="nil"/>
            </w:tcBorders>
            <w:shd w:val="clear" w:color="auto" w:fill="auto"/>
            <w:noWrap/>
            <w:vAlign w:val="bottom"/>
          </w:tcPr>
          <w:p w14:paraId="38E67F5E" w14:textId="769DA3C6" w:rsidR="00015A86" w:rsidRPr="007239A6" w:rsidRDefault="00015A86" w:rsidP="004C356D">
            <w:pPr>
              <w:spacing w:after="0" w:line="240" w:lineRule="auto"/>
              <w:jc w:val="right"/>
              <w:rPr>
                <w:color w:val="000000"/>
                <w:sz w:val="22"/>
                <w:szCs w:val="22"/>
                <w:lang w:bidi="ar-SA"/>
              </w:rPr>
            </w:pPr>
            <w:r w:rsidRPr="007239A6">
              <w:rPr>
                <w:sz w:val="20"/>
                <w:szCs w:val="20"/>
              </w:rPr>
              <w:t>491.6</w:t>
            </w:r>
          </w:p>
        </w:tc>
        <w:tc>
          <w:tcPr>
            <w:tcW w:w="1289" w:type="dxa"/>
            <w:tcBorders>
              <w:top w:val="nil"/>
              <w:left w:val="nil"/>
              <w:bottom w:val="nil"/>
              <w:right w:val="nil"/>
            </w:tcBorders>
            <w:shd w:val="clear" w:color="auto" w:fill="auto"/>
            <w:noWrap/>
            <w:vAlign w:val="bottom"/>
          </w:tcPr>
          <w:p w14:paraId="7DB1123C" w14:textId="380A36FC" w:rsidR="00015A86" w:rsidRPr="007239A6" w:rsidRDefault="00015A86" w:rsidP="004C356D">
            <w:pPr>
              <w:spacing w:after="0" w:line="240" w:lineRule="auto"/>
              <w:jc w:val="right"/>
              <w:rPr>
                <w:color w:val="000000"/>
                <w:sz w:val="22"/>
                <w:szCs w:val="22"/>
                <w:lang w:bidi="ar-SA"/>
              </w:rPr>
            </w:pPr>
            <w:r w:rsidRPr="007239A6">
              <w:rPr>
                <w:sz w:val="20"/>
                <w:szCs w:val="20"/>
              </w:rPr>
              <w:t xml:space="preserve">113 </w:t>
            </w:r>
          </w:p>
        </w:tc>
        <w:tc>
          <w:tcPr>
            <w:tcW w:w="1769" w:type="dxa"/>
            <w:tcBorders>
              <w:top w:val="nil"/>
              <w:left w:val="nil"/>
              <w:bottom w:val="nil"/>
              <w:right w:val="nil"/>
            </w:tcBorders>
            <w:vAlign w:val="bottom"/>
          </w:tcPr>
          <w:p w14:paraId="2B33143D" w14:textId="33213F3D" w:rsidR="00015A86" w:rsidRPr="00A54231" w:rsidRDefault="00015A86" w:rsidP="004C356D">
            <w:pPr>
              <w:spacing w:after="0" w:line="240" w:lineRule="auto"/>
              <w:jc w:val="right"/>
              <w:rPr>
                <w:sz w:val="20"/>
                <w:szCs w:val="20"/>
              </w:rPr>
            </w:pPr>
            <w:r w:rsidRPr="00A54231">
              <w:rPr>
                <w:color w:val="000000"/>
                <w:sz w:val="20"/>
                <w:szCs w:val="20"/>
              </w:rPr>
              <w:t>55.40</w:t>
            </w:r>
          </w:p>
        </w:tc>
      </w:tr>
      <w:tr w:rsidR="00015A86" w:rsidRPr="007239A6" w14:paraId="1A7FC68A" w14:textId="619C42BF" w:rsidTr="00181ACD">
        <w:trPr>
          <w:trHeight w:val="288"/>
        </w:trPr>
        <w:tc>
          <w:tcPr>
            <w:tcW w:w="1586" w:type="dxa"/>
            <w:tcBorders>
              <w:top w:val="nil"/>
              <w:left w:val="nil"/>
              <w:bottom w:val="nil"/>
              <w:right w:val="nil"/>
            </w:tcBorders>
            <w:shd w:val="clear" w:color="auto" w:fill="auto"/>
            <w:noWrap/>
            <w:vAlign w:val="bottom"/>
            <w:hideMark/>
          </w:tcPr>
          <w:p w14:paraId="6A323011"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Litchfield</w:t>
            </w:r>
          </w:p>
        </w:tc>
        <w:tc>
          <w:tcPr>
            <w:tcW w:w="1261" w:type="dxa"/>
            <w:tcBorders>
              <w:top w:val="nil"/>
              <w:left w:val="nil"/>
              <w:bottom w:val="nil"/>
              <w:right w:val="nil"/>
            </w:tcBorders>
            <w:shd w:val="clear" w:color="auto" w:fill="auto"/>
            <w:noWrap/>
            <w:vAlign w:val="bottom"/>
          </w:tcPr>
          <w:p w14:paraId="226AE394" w14:textId="1EB6AD99" w:rsidR="00015A86" w:rsidRPr="007239A6" w:rsidRDefault="00015A86" w:rsidP="004C356D">
            <w:pPr>
              <w:spacing w:after="0" w:line="240" w:lineRule="auto"/>
              <w:jc w:val="right"/>
              <w:rPr>
                <w:color w:val="000000"/>
                <w:sz w:val="22"/>
                <w:szCs w:val="22"/>
                <w:lang w:bidi="ar-SA"/>
              </w:rPr>
            </w:pPr>
            <w:r w:rsidRPr="007239A6">
              <w:rPr>
                <w:sz w:val="20"/>
                <w:szCs w:val="20"/>
              </w:rPr>
              <w:t>3,838.1</w:t>
            </w:r>
          </w:p>
        </w:tc>
        <w:tc>
          <w:tcPr>
            <w:tcW w:w="1293" w:type="dxa"/>
            <w:tcBorders>
              <w:top w:val="nil"/>
              <w:left w:val="nil"/>
              <w:bottom w:val="nil"/>
              <w:right w:val="nil"/>
            </w:tcBorders>
            <w:shd w:val="clear" w:color="auto" w:fill="auto"/>
            <w:noWrap/>
            <w:vAlign w:val="bottom"/>
          </w:tcPr>
          <w:p w14:paraId="79A971B7" w14:textId="648228BB" w:rsidR="00015A86" w:rsidRPr="007239A6" w:rsidRDefault="00015A86" w:rsidP="004C356D">
            <w:pPr>
              <w:spacing w:after="0" w:line="240" w:lineRule="auto"/>
              <w:jc w:val="right"/>
              <w:rPr>
                <w:color w:val="000000"/>
                <w:sz w:val="22"/>
                <w:szCs w:val="22"/>
                <w:lang w:bidi="ar-SA"/>
              </w:rPr>
            </w:pPr>
            <w:r w:rsidRPr="007239A6">
              <w:rPr>
                <w:sz w:val="20"/>
                <w:szCs w:val="20"/>
              </w:rPr>
              <w:t xml:space="preserve">457 </w:t>
            </w:r>
          </w:p>
        </w:tc>
        <w:tc>
          <w:tcPr>
            <w:tcW w:w="1650" w:type="dxa"/>
            <w:tcBorders>
              <w:top w:val="nil"/>
              <w:left w:val="nil"/>
              <w:bottom w:val="nil"/>
              <w:right w:val="nil"/>
            </w:tcBorders>
            <w:shd w:val="clear" w:color="auto" w:fill="auto"/>
            <w:noWrap/>
            <w:vAlign w:val="bottom"/>
          </w:tcPr>
          <w:p w14:paraId="747C6839" w14:textId="18A0E156" w:rsidR="00015A86" w:rsidRPr="007239A6" w:rsidRDefault="00015A86" w:rsidP="004C356D">
            <w:pPr>
              <w:spacing w:after="0" w:line="240" w:lineRule="auto"/>
              <w:jc w:val="right"/>
              <w:rPr>
                <w:color w:val="000000"/>
                <w:sz w:val="22"/>
                <w:szCs w:val="22"/>
                <w:lang w:bidi="ar-SA"/>
              </w:rPr>
            </w:pPr>
            <w:r w:rsidRPr="007239A6">
              <w:rPr>
                <w:sz w:val="20"/>
                <w:szCs w:val="20"/>
              </w:rPr>
              <w:t>1247.0</w:t>
            </w:r>
          </w:p>
        </w:tc>
        <w:tc>
          <w:tcPr>
            <w:tcW w:w="1289" w:type="dxa"/>
            <w:tcBorders>
              <w:top w:val="nil"/>
              <w:left w:val="nil"/>
              <w:bottom w:val="nil"/>
              <w:right w:val="nil"/>
            </w:tcBorders>
            <w:shd w:val="clear" w:color="auto" w:fill="auto"/>
            <w:noWrap/>
            <w:vAlign w:val="bottom"/>
          </w:tcPr>
          <w:p w14:paraId="63B73E87" w14:textId="7AEC43B3" w:rsidR="00015A86" w:rsidRPr="007239A6" w:rsidRDefault="00015A86" w:rsidP="004C356D">
            <w:pPr>
              <w:spacing w:after="0" w:line="240" w:lineRule="auto"/>
              <w:jc w:val="right"/>
              <w:rPr>
                <w:color w:val="000000"/>
                <w:sz w:val="22"/>
                <w:szCs w:val="22"/>
                <w:lang w:bidi="ar-SA"/>
              </w:rPr>
            </w:pPr>
            <w:r w:rsidRPr="007239A6">
              <w:rPr>
                <w:sz w:val="20"/>
                <w:szCs w:val="20"/>
              </w:rPr>
              <w:t xml:space="preserve">148 </w:t>
            </w:r>
          </w:p>
        </w:tc>
        <w:tc>
          <w:tcPr>
            <w:tcW w:w="1769" w:type="dxa"/>
            <w:tcBorders>
              <w:top w:val="nil"/>
              <w:left w:val="nil"/>
              <w:bottom w:val="nil"/>
              <w:right w:val="nil"/>
            </w:tcBorders>
            <w:vAlign w:val="bottom"/>
          </w:tcPr>
          <w:p w14:paraId="62FE81C7" w14:textId="631A1FAF" w:rsidR="00015A86" w:rsidRPr="00A54231" w:rsidRDefault="00015A86" w:rsidP="004C356D">
            <w:pPr>
              <w:spacing w:after="0" w:line="240" w:lineRule="auto"/>
              <w:jc w:val="right"/>
              <w:rPr>
                <w:sz w:val="20"/>
                <w:szCs w:val="20"/>
              </w:rPr>
            </w:pPr>
            <w:r w:rsidRPr="00A54231">
              <w:rPr>
                <w:color w:val="000000"/>
                <w:sz w:val="20"/>
                <w:szCs w:val="20"/>
              </w:rPr>
              <w:t>-510.28</w:t>
            </w:r>
          </w:p>
        </w:tc>
      </w:tr>
      <w:tr w:rsidR="00015A86" w:rsidRPr="007239A6" w14:paraId="40C8CA6C" w14:textId="58C5A7A0" w:rsidTr="00181ACD">
        <w:trPr>
          <w:trHeight w:val="288"/>
        </w:trPr>
        <w:tc>
          <w:tcPr>
            <w:tcW w:w="1586" w:type="dxa"/>
            <w:tcBorders>
              <w:top w:val="nil"/>
              <w:left w:val="nil"/>
              <w:bottom w:val="nil"/>
              <w:right w:val="nil"/>
            </w:tcBorders>
            <w:shd w:val="clear" w:color="auto" w:fill="auto"/>
            <w:noWrap/>
            <w:vAlign w:val="bottom"/>
            <w:hideMark/>
          </w:tcPr>
          <w:p w14:paraId="32F04EA3"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Lyme</w:t>
            </w:r>
          </w:p>
        </w:tc>
        <w:tc>
          <w:tcPr>
            <w:tcW w:w="1261" w:type="dxa"/>
            <w:tcBorders>
              <w:top w:val="nil"/>
              <w:left w:val="nil"/>
              <w:bottom w:val="nil"/>
              <w:right w:val="nil"/>
            </w:tcBorders>
            <w:shd w:val="clear" w:color="auto" w:fill="auto"/>
            <w:noWrap/>
            <w:vAlign w:val="bottom"/>
          </w:tcPr>
          <w:p w14:paraId="48058706" w14:textId="612E97F4" w:rsidR="00015A86" w:rsidRPr="007239A6" w:rsidRDefault="00015A86" w:rsidP="004C356D">
            <w:pPr>
              <w:spacing w:after="0" w:line="240" w:lineRule="auto"/>
              <w:jc w:val="right"/>
              <w:rPr>
                <w:color w:val="000000"/>
                <w:sz w:val="22"/>
                <w:szCs w:val="22"/>
                <w:lang w:bidi="ar-SA"/>
              </w:rPr>
            </w:pPr>
            <w:r w:rsidRPr="007239A6">
              <w:rPr>
                <w:sz w:val="20"/>
                <w:szCs w:val="20"/>
              </w:rPr>
              <w:t>25.9</w:t>
            </w:r>
          </w:p>
        </w:tc>
        <w:tc>
          <w:tcPr>
            <w:tcW w:w="1293" w:type="dxa"/>
            <w:tcBorders>
              <w:top w:val="nil"/>
              <w:left w:val="nil"/>
              <w:bottom w:val="nil"/>
              <w:right w:val="nil"/>
            </w:tcBorders>
            <w:shd w:val="clear" w:color="auto" w:fill="auto"/>
            <w:noWrap/>
            <w:vAlign w:val="bottom"/>
          </w:tcPr>
          <w:p w14:paraId="1719D9C8" w14:textId="70617BDA" w:rsidR="00015A86" w:rsidRPr="007239A6" w:rsidRDefault="00015A86" w:rsidP="004C356D">
            <w:pPr>
              <w:spacing w:after="0" w:line="240" w:lineRule="auto"/>
              <w:jc w:val="right"/>
              <w:rPr>
                <w:color w:val="000000"/>
                <w:sz w:val="22"/>
                <w:szCs w:val="22"/>
                <w:lang w:bidi="ar-SA"/>
              </w:rPr>
            </w:pPr>
            <w:r w:rsidRPr="007239A6">
              <w:rPr>
                <w:sz w:val="20"/>
                <w:szCs w:val="20"/>
              </w:rPr>
              <w:t xml:space="preserve">11 </w:t>
            </w:r>
          </w:p>
        </w:tc>
        <w:tc>
          <w:tcPr>
            <w:tcW w:w="1650" w:type="dxa"/>
            <w:tcBorders>
              <w:top w:val="nil"/>
              <w:left w:val="nil"/>
              <w:bottom w:val="nil"/>
              <w:right w:val="nil"/>
            </w:tcBorders>
            <w:shd w:val="clear" w:color="auto" w:fill="auto"/>
            <w:noWrap/>
            <w:vAlign w:val="bottom"/>
          </w:tcPr>
          <w:p w14:paraId="55C49703" w14:textId="6EF16433" w:rsidR="00015A86" w:rsidRPr="007239A6" w:rsidRDefault="00015A86" w:rsidP="004C356D">
            <w:pPr>
              <w:spacing w:after="0" w:line="240" w:lineRule="auto"/>
              <w:jc w:val="right"/>
              <w:rPr>
                <w:color w:val="000000"/>
                <w:sz w:val="22"/>
                <w:szCs w:val="22"/>
                <w:lang w:bidi="ar-SA"/>
              </w:rPr>
            </w:pPr>
            <w:r w:rsidRPr="007239A6">
              <w:rPr>
                <w:sz w:val="20"/>
                <w:szCs w:val="20"/>
              </w:rPr>
              <w:t>160.9</w:t>
            </w:r>
          </w:p>
        </w:tc>
        <w:tc>
          <w:tcPr>
            <w:tcW w:w="1289" w:type="dxa"/>
            <w:tcBorders>
              <w:top w:val="nil"/>
              <w:left w:val="nil"/>
              <w:bottom w:val="nil"/>
              <w:right w:val="nil"/>
            </w:tcBorders>
            <w:shd w:val="clear" w:color="auto" w:fill="auto"/>
            <w:noWrap/>
            <w:vAlign w:val="bottom"/>
          </w:tcPr>
          <w:p w14:paraId="71E22142" w14:textId="54EE2848" w:rsidR="00015A86" w:rsidRPr="007239A6" w:rsidRDefault="00015A86" w:rsidP="004C356D">
            <w:pPr>
              <w:spacing w:after="0" w:line="240" w:lineRule="auto"/>
              <w:jc w:val="right"/>
              <w:rPr>
                <w:color w:val="000000"/>
                <w:sz w:val="22"/>
                <w:szCs w:val="22"/>
                <w:lang w:bidi="ar-SA"/>
              </w:rPr>
            </w:pPr>
            <w:r w:rsidRPr="007239A6">
              <w:rPr>
                <w:sz w:val="20"/>
                <w:szCs w:val="20"/>
              </w:rPr>
              <w:t xml:space="preserve">67 </w:t>
            </w:r>
          </w:p>
        </w:tc>
        <w:tc>
          <w:tcPr>
            <w:tcW w:w="1769" w:type="dxa"/>
            <w:tcBorders>
              <w:top w:val="nil"/>
              <w:left w:val="nil"/>
              <w:bottom w:val="nil"/>
              <w:right w:val="nil"/>
            </w:tcBorders>
            <w:vAlign w:val="bottom"/>
          </w:tcPr>
          <w:p w14:paraId="2B7BAC12" w14:textId="028DE3C1" w:rsidR="00015A86" w:rsidRPr="00A54231" w:rsidRDefault="00015A86" w:rsidP="004C356D">
            <w:pPr>
              <w:spacing w:after="0" w:line="240" w:lineRule="auto"/>
              <w:jc w:val="right"/>
              <w:rPr>
                <w:sz w:val="20"/>
                <w:szCs w:val="20"/>
              </w:rPr>
            </w:pPr>
            <w:r w:rsidRPr="00A54231">
              <w:rPr>
                <w:color w:val="000000"/>
                <w:sz w:val="20"/>
                <w:szCs w:val="20"/>
              </w:rPr>
              <w:t>-2056.59</w:t>
            </w:r>
          </w:p>
        </w:tc>
      </w:tr>
      <w:tr w:rsidR="00015A86" w:rsidRPr="007239A6" w14:paraId="037975A9" w14:textId="4284FBCA" w:rsidTr="00181ACD">
        <w:trPr>
          <w:trHeight w:val="288"/>
        </w:trPr>
        <w:tc>
          <w:tcPr>
            <w:tcW w:w="1586" w:type="dxa"/>
            <w:tcBorders>
              <w:top w:val="nil"/>
              <w:left w:val="nil"/>
              <w:bottom w:val="nil"/>
              <w:right w:val="nil"/>
            </w:tcBorders>
            <w:shd w:val="clear" w:color="auto" w:fill="auto"/>
            <w:noWrap/>
            <w:vAlign w:val="bottom"/>
            <w:hideMark/>
          </w:tcPr>
          <w:p w14:paraId="720A6108"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Madison</w:t>
            </w:r>
          </w:p>
        </w:tc>
        <w:tc>
          <w:tcPr>
            <w:tcW w:w="1261" w:type="dxa"/>
            <w:tcBorders>
              <w:top w:val="nil"/>
              <w:left w:val="nil"/>
              <w:bottom w:val="nil"/>
              <w:right w:val="nil"/>
            </w:tcBorders>
            <w:shd w:val="clear" w:color="auto" w:fill="auto"/>
            <w:noWrap/>
            <w:vAlign w:val="bottom"/>
          </w:tcPr>
          <w:p w14:paraId="13395AE8" w14:textId="53884F85" w:rsidR="00015A86" w:rsidRPr="007239A6" w:rsidRDefault="00015A86" w:rsidP="004C356D">
            <w:pPr>
              <w:spacing w:after="0" w:line="240" w:lineRule="auto"/>
              <w:jc w:val="right"/>
              <w:rPr>
                <w:color w:val="000000"/>
                <w:sz w:val="22"/>
                <w:szCs w:val="22"/>
                <w:lang w:bidi="ar-SA"/>
              </w:rPr>
            </w:pPr>
            <w:r w:rsidRPr="007239A6">
              <w:rPr>
                <w:sz w:val="20"/>
                <w:szCs w:val="20"/>
              </w:rPr>
              <w:t>1,503.1</w:t>
            </w:r>
          </w:p>
        </w:tc>
        <w:tc>
          <w:tcPr>
            <w:tcW w:w="1293" w:type="dxa"/>
            <w:tcBorders>
              <w:top w:val="nil"/>
              <w:left w:val="nil"/>
              <w:bottom w:val="nil"/>
              <w:right w:val="nil"/>
            </w:tcBorders>
            <w:shd w:val="clear" w:color="auto" w:fill="auto"/>
            <w:noWrap/>
            <w:vAlign w:val="bottom"/>
          </w:tcPr>
          <w:p w14:paraId="1A613872" w14:textId="66D945F1" w:rsidR="00015A86" w:rsidRPr="007239A6" w:rsidRDefault="00015A86" w:rsidP="004C356D">
            <w:pPr>
              <w:spacing w:after="0" w:line="240" w:lineRule="auto"/>
              <w:jc w:val="right"/>
              <w:rPr>
                <w:color w:val="000000"/>
                <w:sz w:val="22"/>
                <w:szCs w:val="22"/>
                <w:lang w:bidi="ar-SA"/>
              </w:rPr>
            </w:pPr>
            <w:r w:rsidRPr="007239A6">
              <w:rPr>
                <w:sz w:val="20"/>
                <w:szCs w:val="20"/>
              </w:rPr>
              <w:t xml:space="preserve">82 </w:t>
            </w:r>
          </w:p>
        </w:tc>
        <w:tc>
          <w:tcPr>
            <w:tcW w:w="1650" w:type="dxa"/>
            <w:tcBorders>
              <w:top w:val="nil"/>
              <w:left w:val="nil"/>
              <w:bottom w:val="nil"/>
              <w:right w:val="nil"/>
            </w:tcBorders>
            <w:shd w:val="clear" w:color="auto" w:fill="auto"/>
            <w:noWrap/>
            <w:vAlign w:val="bottom"/>
          </w:tcPr>
          <w:p w14:paraId="1EBF2FCE" w14:textId="3D9DEF10" w:rsidR="00015A86" w:rsidRPr="007239A6" w:rsidRDefault="00015A86" w:rsidP="004C356D">
            <w:pPr>
              <w:spacing w:after="0" w:line="240" w:lineRule="auto"/>
              <w:jc w:val="right"/>
              <w:rPr>
                <w:color w:val="000000"/>
                <w:sz w:val="22"/>
                <w:szCs w:val="22"/>
                <w:lang w:bidi="ar-SA"/>
              </w:rPr>
            </w:pPr>
            <w:r w:rsidRPr="007239A6">
              <w:rPr>
                <w:sz w:val="20"/>
                <w:szCs w:val="20"/>
              </w:rPr>
              <w:t>2093.0</w:t>
            </w:r>
          </w:p>
        </w:tc>
        <w:tc>
          <w:tcPr>
            <w:tcW w:w="1289" w:type="dxa"/>
            <w:tcBorders>
              <w:top w:val="nil"/>
              <w:left w:val="nil"/>
              <w:bottom w:val="nil"/>
              <w:right w:val="nil"/>
            </w:tcBorders>
            <w:shd w:val="clear" w:color="auto" w:fill="auto"/>
            <w:noWrap/>
            <w:vAlign w:val="bottom"/>
          </w:tcPr>
          <w:p w14:paraId="2799A2C4" w14:textId="4F8C2E8B" w:rsidR="00015A86" w:rsidRPr="007239A6" w:rsidRDefault="00015A86" w:rsidP="004C356D">
            <w:pPr>
              <w:spacing w:after="0" w:line="240" w:lineRule="auto"/>
              <w:jc w:val="right"/>
              <w:rPr>
                <w:color w:val="000000"/>
                <w:sz w:val="22"/>
                <w:szCs w:val="22"/>
                <w:lang w:bidi="ar-SA"/>
              </w:rPr>
            </w:pPr>
            <w:r w:rsidRPr="007239A6">
              <w:rPr>
                <w:sz w:val="20"/>
                <w:szCs w:val="20"/>
              </w:rPr>
              <w:t xml:space="preserve">114 </w:t>
            </w:r>
          </w:p>
        </w:tc>
        <w:tc>
          <w:tcPr>
            <w:tcW w:w="1769" w:type="dxa"/>
            <w:tcBorders>
              <w:top w:val="nil"/>
              <w:left w:val="nil"/>
              <w:bottom w:val="nil"/>
              <w:right w:val="nil"/>
            </w:tcBorders>
            <w:vAlign w:val="bottom"/>
          </w:tcPr>
          <w:p w14:paraId="0EA14068" w14:textId="484D1456" w:rsidR="00015A86" w:rsidRPr="00A54231" w:rsidRDefault="00015A86" w:rsidP="004C356D">
            <w:pPr>
              <w:spacing w:after="0" w:line="240" w:lineRule="auto"/>
              <w:jc w:val="right"/>
              <w:rPr>
                <w:sz w:val="20"/>
                <w:szCs w:val="20"/>
              </w:rPr>
            </w:pPr>
            <w:r w:rsidRPr="00A54231">
              <w:rPr>
                <w:color w:val="000000"/>
                <w:sz w:val="20"/>
                <w:szCs w:val="20"/>
              </w:rPr>
              <w:t>-1020.06</w:t>
            </w:r>
          </w:p>
        </w:tc>
      </w:tr>
      <w:tr w:rsidR="00015A86" w:rsidRPr="007239A6" w14:paraId="57402AC6" w14:textId="5B308B6E" w:rsidTr="00181ACD">
        <w:trPr>
          <w:trHeight w:val="288"/>
        </w:trPr>
        <w:tc>
          <w:tcPr>
            <w:tcW w:w="1586" w:type="dxa"/>
            <w:tcBorders>
              <w:top w:val="nil"/>
              <w:left w:val="nil"/>
              <w:bottom w:val="nil"/>
              <w:right w:val="nil"/>
            </w:tcBorders>
            <w:shd w:val="clear" w:color="auto" w:fill="auto"/>
            <w:noWrap/>
            <w:vAlign w:val="bottom"/>
            <w:hideMark/>
          </w:tcPr>
          <w:p w14:paraId="65A3967B"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Manchester</w:t>
            </w:r>
          </w:p>
        </w:tc>
        <w:tc>
          <w:tcPr>
            <w:tcW w:w="1261" w:type="dxa"/>
            <w:tcBorders>
              <w:top w:val="nil"/>
              <w:left w:val="nil"/>
              <w:bottom w:val="nil"/>
              <w:right w:val="nil"/>
            </w:tcBorders>
            <w:shd w:val="clear" w:color="auto" w:fill="auto"/>
            <w:noWrap/>
            <w:vAlign w:val="bottom"/>
          </w:tcPr>
          <w:p w14:paraId="4FD0CE77" w14:textId="2F5F8007" w:rsidR="00015A86" w:rsidRPr="007239A6" w:rsidRDefault="00015A86" w:rsidP="004C356D">
            <w:pPr>
              <w:spacing w:after="0" w:line="240" w:lineRule="auto"/>
              <w:jc w:val="right"/>
              <w:rPr>
                <w:color w:val="000000"/>
                <w:sz w:val="22"/>
                <w:szCs w:val="22"/>
                <w:lang w:bidi="ar-SA"/>
              </w:rPr>
            </w:pPr>
            <w:r w:rsidRPr="007239A6">
              <w:rPr>
                <w:sz w:val="20"/>
                <w:szCs w:val="20"/>
              </w:rPr>
              <w:t>14,005.8</w:t>
            </w:r>
          </w:p>
        </w:tc>
        <w:tc>
          <w:tcPr>
            <w:tcW w:w="1293" w:type="dxa"/>
            <w:tcBorders>
              <w:top w:val="nil"/>
              <w:left w:val="nil"/>
              <w:bottom w:val="nil"/>
              <w:right w:val="nil"/>
            </w:tcBorders>
            <w:shd w:val="clear" w:color="auto" w:fill="auto"/>
            <w:noWrap/>
            <w:vAlign w:val="bottom"/>
          </w:tcPr>
          <w:p w14:paraId="188D86A5" w14:textId="385D102F" w:rsidR="00015A86" w:rsidRPr="007239A6" w:rsidRDefault="00015A86" w:rsidP="004C356D">
            <w:pPr>
              <w:spacing w:after="0" w:line="240" w:lineRule="auto"/>
              <w:jc w:val="right"/>
              <w:rPr>
                <w:color w:val="000000"/>
                <w:sz w:val="22"/>
                <w:szCs w:val="22"/>
                <w:lang w:bidi="ar-SA"/>
              </w:rPr>
            </w:pPr>
            <w:r w:rsidRPr="007239A6">
              <w:rPr>
                <w:sz w:val="20"/>
                <w:szCs w:val="20"/>
              </w:rPr>
              <w:t xml:space="preserve">241 </w:t>
            </w:r>
          </w:p>
        </w:tc>
        <w:tc>
          <w:tcPr>
            <w:tcW w:w="1650" w:type="dxa"/>
            <w:tcBorders>
              <w:top w:val="nil"/>
              <w:left w:val="nil"/>
              <w:bottom w:val="nil"/>
              <w:right w:val="nil"/>
            </w:tcBorders>
            <w:shd w:val="clear" w:color="auto" w:fill="auto"/>
            <w:noWrap/>
            <w:vAlign w:val="bottom"/>
          </w:tcPr>
          <w:p w14:paraId="08733280" w14:textId="6EE92070" w:rsidR="00015A86" w:rsidRPr="007239A6" w:rsidRDefault="00015A86" w:rsidP="004C356D">
            <w:pPr>
              <w:spacing w:after="0" w:line="240" w:lineRule="auto"/>
              <w:jc w:val="right"/>
              <w:rPr>
                <w:color w:val="000000"/>
                <w:sz w:val="22"/>
                <w:szCs w:val="22"/>
                <w:lang w:bidi="ar-SA"/>
              </w:rPr>
            </w:pPr>
            <w:r w:rsidRPr="007239A6">
              <w:rPr>
                <w:sz w:val="20"/>
                <w:szCs w:val="20"/>
              </w:rPr>
              <w:t>7752.5</w:t>
            </w:r>
          </w:p>
        </w:tc>
        <w:tc>
          <w:tcPr>
            <w:tcW w:w="1289" w:type="dxa"/>
            <w:tcBorders>
              <w:top w:val="nil"/>
              <w:left w:val="nil"/>
              <w:bottom w:val="nil"/>
              <w:right w:val="nil"/>
            </w:tcBorders>
            <w:shd w:val="clear" w:color="auto" w:fill="auto"/>
            <w:noWrap/>
            <w:vAlign w:val="bottom"/>
          </w:tcPr>
          <w:p w14:paraId="466501B6" w14:textId="4FE262E9" w:rsidR="00015A86" w:rsidRPr="007239A6" w:rsidRDefault="00015A86" w:rsidP="004C356D">
            <w:pPr>
              <w:spacing w:after="0" w:line="240" w:lineRule="auto"/>
              <w:jc w:val="right"/>
              <w:rPr>
                <w:color w:val="000000"/>
                <w:sz w:val="22"/>
                <w:szCs w:val="22"/>
                <w:lang w:bidi="ar-SA"/>
              </w:rPr>
            </w:pPr>
            <w:r w:rsidRPr="007239A6">
              <w:rPr>
                <w:sz w:val="20"/>
                <w:szCs w:val="20"/>
              </w:rPr>
              <w:t xml:space="preserve">133 </w:t>
            </w:r>
          </w:p>
        </w:tc>
        <w:tc>
          <w:tcPr>
            <w:tcW w:w="1769" w:type="dxa"/>
            <w:tcBorders>
              <w:top w:val="nil"/>
              <w:left w:val="nil"/>
              <w:bottom w:val="nil"/>
              <w:right w:val="nil"/>
            </w:tcBorders>
            <w:vAlign w:val="bottom"/>
          </w:tcPr>
          <w:p w14:paraId="77F082D1" w14:textId="5EBA690C" w:rsidR="00015A86" w:rsidRPr="00A54231" w:rsidRDefault="00015A86" w:rsidP="004C356D">
            <w:pPr>
              <w:spacing w:after="0" w:line="240" w:lineRule="auto"/>
              <w:jc w:val="right"/>
              <w:rPr>
                <w:sz w:val="20"/>
                <w:szCs w:val="20"/>
              </w:rPr>
            </w:pPr>
            <w:r w:rsidRPr="00A54231">
              <w:rPr>
                <w:color w:val="000000"/>
                <w:sz w:val="20"/>
                <w:szCs w:val="20"/>
              </w:rPr>
              <w:t>443.63</w:t>
            </w:r>
          </w:p>
        </w:tc>
      </w:tr>
      <w:tr w:rsidR="00015A86" w:rsidRPr="007239A6" w14:paraId="3F210B19" w14:textId="60D78C47" w:rsidTr="00181ACD">
        <w:trPr>
          <w:trHeight w:val="288"/>
        </w:trPr>
        <w:tc>
          <w:tcPr>
            <w:tcW w:w="1586" w:type="dxa"/>
            <w:tcBorders>
              <w:top w:val="nil"/>
              <w:left w:val="nil"/>
              <w:bottom w:val="nil"/>
              <w:right w:val="nil"/>
            </w:tcBorders>
            <w:shd w:val="clear" w:color="auto" w:fill="auto"/>
            <w:noWrap/>
            <w:vAlign w:val="bottom"/>
            <w:hideMark/>
          </w:tcPr>
          <w:p w14:paraId="53B5C0C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Mansfield</w:t>
            </w:r>
          </w:p>
        </w:tc>
        <w:tc>
          <w:tcPr>
            <w:tcW w:w="1261" w:type="dxa"/>
            <w:tcBorders>
              <w:top w:val="nil"/>
              <w:left w:val="nil"/>
              <w:bottom w:val="nil"/>
              <w:right w:val="nil"/>
            </w:tcBorders>
            <w:shd w:val="clear" w:color="auto" w:fill="auto"/>
            <w:noWrap/>
            <w:vAlign w:val="bottom"/>
          </w:tcPr>
          <w:p w14:paraId="7EB24E43" w14:textId="7DBF56CB" w:rsidR="00015A86" w:rsidRPr="007239A6" w:rsidRDefault="00015A86" w:rsidP="004C356D">
            <w:pPr>
              <w:spacing w:after="0" w:line="240" w:lineRule="auto"/>
              <w:jc w:val="right"/>
              <w:rPr>
                <w:color w:val="000000"/>
                <w:sz w:val="22"/>
                <w:szCs w:val="22"/>
                <w:lang w:bidi="ar-SA"/>
              </w:rPr>
            </w:pPr>
            <w:r w:rsidRPr="007239A6">
              <w:rPr>
                <w:sz w:val="20"/>
                <w:szCs w:val="20"/>
              </w:rPr>
              <w:t>986.6</w:t>
            </w:r>
          </w:p>
        </w:tc>
        <w:tc>
          <w:tcPr>
            <w:tcW w:w="1293" w:type="dxa"/>
            <w:tcBorders>
              <w:top w:val="nil"/>
              <w:left w:val="nil"/>
              <w:bottom w:val="nil"/>
              <w:right w:val="nil"/>
            </w:tcBorders>
            <w:shd w:val="clear" w:color="auto" w:fill="auto"/>
            <w:noWrap/>
            <w:vAlign w:val="bottom"/>
          </w:tcPr>
          <w:p w14:paraId="19715FB8" w14:textId="6542A88C" w:rsidR="00015A86" w:rsidRPr="007239A6" w:rsidRDefault="00015A86" w:rsidP="004C356D">
            <w:pPr>
              <w:spacing w:after="0" w:line="240" w:lineRule="auto"/>
              <w:jc w:val="right"/>
              <w:rPr>
                <w:color w:val="000000"/>
                <w:sz w:val="22"/>
                <w:szCs w:val="22"/>
                <w:lang w:bidi="ar-SA"/>
              </w:rPr>
            </w:pPr>
            <w:r w:rsidRPr="007239A6">
              <w:rPr>
                <w:sz w:val="20"/>
                <w:szCs w:val="20"/>
              </w:rPr>
              <w:t xml:space="preserve">37 </w:t>
            </w:r>
          </w:p>
        </w:tc>
        <w:tc>
          <w:tcPr>
            <w:tcW w:w="1650" w:type="dxa"/>
            <w:tcBorders>
              <w:top w:val="nil"/>
              <w:left w:val="nil"/>
              <w:bottom w:val="nil"/>
              <w:right w:val="nil"/>
            </w:tcBorders>
            <w:shd w:val="clear" w:color="auto" w:fill="auto"/>
            <w:noWrap/>
            <w:vAlign w:val="bottom"/>
          </w:tcPr>
          <w:p w14:paraId="2D71E798" w14:textId="008E4A8C" w:rsidR="00015A86" w:rsidRPr="007239A6" w:rsidRDefault="00015A86" w:rsidP="004C356D">
            <w:pPr>
              <w:spacing w:after="0" w:line="240" w:lineRule="auto"/>
              <w:jc w:val="right"/>
              <w:rPr>
                <w:color w:val="000000"/>
                <w:sz w:val="22"/>
                <w:szCs w:val="22"/>
                <w:lang w:bidi="ar-SA"/>
              </w:rPr>
            </w:pPr>
            <w:r w:rsidRPr="007239A6">
              <w:rPr>
                <w:sz w:val="20"/>
                <w:szCs w:val="20"/>
              </w:rPr>
              <w:t>3374.6</w:t>
            </w:r>
          </w:p>
        </w:tc>
        <w:tc>
          <w:tcPr>
            <w:tcW w:w="1289" w:type="dxa"/>
            <w:tcBorders>
              <w:top w:val="nil"/>
              <w:left w:val="nil"/>
              <w:bottom w:val="nil"/>
              <w:right w:val="nil"/>
            </w:tcBorders>
            <w:shd w:val="clear" w:color="auto" w:fill="auto"/>
            <w:noWrap/>
            <w:vAlign w:val="bottom"/>
          </w:tcPr>
          <w:p w14:paraId="05CE6C38" w14:textId="3AF96B5F" w:rsidR="00015A86" w:rsidRPr="007239A6" w:rsidRDefault="00015A86" w:rsidP="004C356D">
            <w:pPr>
              <w:spacing w:after="0" w:line="240" w:lineRule="auto"/>
              <w:jc w:val="right"/>
              <w:rPr>
                <w:color w:val="000000"/>
                <w:sz w:val="22"/>
                <w:szCs w:val="22"/>
                <w:lang w:bidi="ar-SA"/>
              </w:rPr>
            </w:pPr>
            <w:r w:rsidRPr="007239A6">
              <w:rPr>
                <w:sz w:val="20"/>
                <w:szCs w:val="20"/>
              </w:rPr>
              <w:t xml:space="preserve">128 </w:t>
            </w:r>
          </w:p>
        </w:tc>
        <w:tc>
          <w:tcPr>
            <w:tcW w:w="1769" w:type="dxa"/>
            <w:tcBorders>
              <w:top w:val="nil"/>
              <w:left w:val="nil"/>
              <w:bottom w:val="nil"/>
              <w:right w:val="nil"/>
            </w:tcBorders>
            <w:vAlign w:val="bottom"/>
          </w:tcPr>
          <w:p w14:paraId="0FB4A370" w14:textId="769DEAA6" w:rsidR="00015A86" w:rsidRPr="00A54231" w:rsidRDefault="00015A86" w:rsidP="004C356D">
            <w:pPr>
              <w:spacing w:after="0" w:line="240" w:lineRule="auto"/>
              <w:jc w:val="right"/>
              <w:rPr>
                <w:sz w:val="20"/>
                <w:szCs w:val="20"/>
              </w:rPr>
            </w:pPr>
            <w:r w:rsidRPr="00A54231">
              <w:rPr>
                <w:color w:val="000000"/>
                <w:sz w:val="20"/>
                <w:szCs w:val="20"/>
              </w:rPr>
              <w:t>755.01</w:t>
            </w:r>
          </w:p>
        </w:tc>
      </w:tr>
      <w:tr w:rsidR="00015A86" w:rsidRPr="007239A6" w14:paraId="3DD4B967" w14:textId="1FEECA8B" w:rsidTr="00181ACD">
        <w:trPr>
          <w:trHeight w:val="288"/>
        </w:trPr>
        <w:tc>
          <w:tcPr>
            <w:tcW w:w="1586" w:type="dxa"/>
            <w:tcBorders>
              <w:top w:val="nil"/>
              <w:left w:val="nil"/>
              <w:bottom w:val="nil"/>
              <w:right w:val="nil"/>
            </w:tcBorders>
            <w:shd w:val="clear" w:color="auto" w:fill="auto"/>
            <w:noWrap/>
            <w:vAlign w:val="bottom"/>
            <w:hideMark/>
          </w:tcPr>
          <w:p w14:paraId="71B3A24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Marlborough</w:t>
            </w:r>
          </w:p>
        </w:tc>
        <w:tc>
          <w:tcPr>
            <w:tcW w:w="1261" w:type="dxa"/>
            <w:tcBorders>
              <w:top w:val="nil"/>
              <w:left w:val="nil"/>
              <w:bottom w:val="nil"/>
              <w:right w:val="nil"/>
            </w:tcBorders>
            <w:shd w:val="clear" w:color="auto" w:fill="auto"/>
            <w:noWrap/>
            <w:vAlign w:val="bottom"/>
          </w:tcPr>
          <w:p w14:paraId="1364B890" w14:textId="3071AA2D" w:rsidR="00015A86" w:rsidRPr="007239A6" w:rsidRDefault="00015A86" w:rsidP="004C356D">
            <w:pPr>
              <w:spacing w:after="0" w:line="240" w:lineRule="auto"/>
              <w:jc w:val="right"/>
              <w:rPr>
                <w:color w:val="000000"/>
                <w:sz w:val="22"/>
                <w:szCs w:val="22"/>
                <w:lang w:bidi="ar-SA"/>
              </w:rPr>
            </w:pPr>
            <w:r w:rsidRPr="007239A6">
              <w:rPr>
                <w:sz w:val="20"/>
                <w:szCs w:val="20"/>
              </w:rPr>
              <w:t>149.9</w:t>
            </w:r>
          </w:p>
        </w:tc>
        <w:tc>
          <w:tcPr>
            <w:tcW w:w="1293" w:type="dxa"/>
            <w:tcBorders>
              <w:top w:val="nil"/>
              <w:left w:val="nil"/>
              <w:bottom w:val="nil"/>
              <w:right w:val="nil"/>
            </w:tcBorders>
            <w:shd w:val="clear" w:color="auto" w:fill="auto"/>
            <w:noWrap/>
            <w:vAlign w:val="bottom"/>
          </w:tcPr>
          <w:p w14:paraId="1A092616" w14:textId="4948FC05" w:rsidR="00015A86" w:rsidRPr="007239A6" w:rsidRDefault="00015A86" w:rsidP="004C356D">
            <w:pPr>
              <w:spacing w:after="0" w:line="240" w:lineRule="auto"/>
              <w:jc w:val="right"/>
              <w:rPr>
                <w:color w:val="000000"/>
                <w:sz w:val="22"/>
                <w:szCs w:val="22"/>
                <w:lang w:bidi="ar-SA"/>
              </w:rPr>
            </w:pPr>
            <w:r w:rsidRPr="007239A6">
              <w:rPr>
                <w:sz w:val="20"/>
                <w:szCs w:val="20"/>
              </w:rPr>
              <w:t xml:space="preserve">23 </w:t>
            </w:r>
          </w:p>
        </w:tc>
        <w:tc>
          <w:tcPr>
            <w:tcW w:w="1650" w:type="dxa"/>
            <w:tcBorders>
              <w:top w:val="nil"/>
              <w:left w:val="nil"/>
              <w:bottom w:val="nil"/>
              <w:right w:val="nil"/>
            </w:tcBorders>
            <w:shd w:val="clear" w:color="auto" w:fill="auto"/>
            <w:noWrap/>
            <w:vAlign w:val="bottom"/>
          </w:tcPr>
          <w:p w14:paraId="6C06CF30" w14:textId="6DCE9906" w:rsidR="00015A86" w:rsidRPr="007239A6" w:rsidRDefault="00015A86" w:rsidP="004C356D">
            <w:pPr>
              <w:spacing w:after="0" w:line="240" w:lineRule="auto"/>
              <w:jc w:val="right"/>
              <w:rPr>
                <w:color w:val="000000"/>
                <w:sz w:val="22"/>
                <w:szCs w:val="22"/>
                <w:lang w:bidi="ar-SA"/>
              </w:rPr>
            </w:pPr>
            <w:r w:rsidRPr="007239A6">
              <w:rPr>
                <w:sz w:val="20"/>
                <w:szCs w:val="20"/>
              </w:rPr>
              <w:t>611.7</w:t>
            </w:r>
          </w:p>
        </w:tc>
        <w:tc>
          <w:tcPr>
            <w:tcW w:w="1289" w:type="dxa"/>
            <w:tcBorders>
              <w:top w:val="nil"/>
              <w:left w:val="nil"/>
              <w:bottom w:val="nil"/>
              <w:right w:val="nil"/>
            </w:tcBorders>
            <w:shd w:val="clear" w:color="auto" w:fill="auto"/>
            <w:noWrap/>
            <w:vAlign w:val="bottom"/>
          </w:tcPr>
          <w:p w14:paraId="5C47634A" w14:textId="0D98F67A" w:rsidR="00015A86" w:rsidRPr="007239A6" w:rsidRDefault="00015A86" w:rsidP="004C356D">
            <w:pPr>
              <w:spacing w:after="0" w:line="240" w:lineRule="auto"/>
              <w:jc w:val="right"/>
              <w:rPr>
                <w:color w:val="000000"/>
                <w:sz w:val="22"/>
                <w:szCs w:val="22"/>
                <w:lang w:bidi="ar-SA"/>
              </w:rPr>
            </w:pPr>
            <w:r w:rsidRPr="007239A6">
              <w:rPr>
                <w:sz w:val="20"/>
                <w:szCs w:val="20"/>
              </w:rPr>
              <w:t xml:space="preserve">96 </w:t>
            </w:r>
          </w:p>
        </w:tc>
        <w:tc>
          <w:tcPr>
            <w:tcW w:w="1769" w:type="dxa"/>
            <w:tcBorders>
              <w:top w:val="nil"/>
              <w:left w:val="nil"/>
              <w:bottom w:val="nil"/>
              <w:right w:val="nil"/>
            </w:tcBorders>
            <w:vAlign w:val="bottom"/>
          </w:tcPr>
          <w:p w14:paraId="06AC48BE" w14:textId="62D91E74" w:rsidR="00015A86" w:rsidRPr="00A54231" w:rsidRDefault="00015A86" w:rsidP="004C356D">
            <w:pPr>
              <w:spacing w:after="0" w:line="240" w:lineRule="auto"/>
              <w:jc w:val="right"/>
              <w:rPr>
                <w:sz w:val="20"/>
                <w:szCs w:val="20"/>
              </w:rPr>
            </w:pPr>
            <w:r w:rsidRPr="00A54231">
              <w:rPr>
                <w:color w:val="000000"/>
                <w:sz w:val="20"/>
                <w:szCs w:val="20"/>
              </w:rPr>
              <w:t>30.40</w:t>
            </w:r>
          </w:p>
        </w:tc>
      </w:tr>
      <w:tr w:rsidR="00015A86" w:rsidRPr="007239A6" w14:paraId="25EC96C0" w14:textId="1A6F4AB0" w:rsidTr="00181ACD">
        <w:trPr>
          <w:trHeight w:val="288"/>
        </w:trPr>
        <w:tc>
          <w:tcPr>
            <w:tcW w:w="1586" w:type="dxa"/>
            <w:tcBorders>
              <w:top w:val="nil"/>
              <w:left w:val="nil"/>
              <w:bottom w:val="nil"/>
              <w:right w:val="nil"/>
            </w:tcBorders>
            <w:shd w:val="clear" w:color="auto" w:fill="auto"/>
            <w:noWrap/>
            <w:vAlign w:val="bottom"/>
            <w:hideMark/>
          </w:tcPr>
          <w:p w14:paraId="24D96C6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Meriden</w:t>
            </w:r>
          </w:p>
        </w:tc>
        <w:tc>
          <w:tcPr>
            <w:tcW w:w="1261" w:type="dxa"/>
            <w:tcBorders>
              <w:top w:val="nil"/>
              <w:left w:val="nil"/>
              <w:bottom w:val="nil"/>
              <w:right w:val="nil"/>
            </w:tcBorders>
            <w:shd w:val="clear" w:color="auto" w:fill="auto"/>
            <w:noWrap/>
            <w:vAlign w:val="bottom"/>
          </w:tcPr>
          <w:p w14:paraId="44215A6E" w14:textId="139A40B7" w:rsidR="00015A86" w:rsidRPr="007239A6" w:rsidRDefault="00015A86" w:rsidP="004C356D">
            <w:pPr>
              <w:spacing w:after="0" w:line="240" w:lineRule="auto"/>
              <w:jc w:val="right"/>
              <w:rPr>
                <w:color w:val="000000"/>
                <w:sz w:val="22"/>
                <w:szCs w:val="22"/>
                <w:lang w:bidi="ar-SA"/>
              </w:rPr>
            </w:pPr>
            <w:r w:rsidRPr="007239A6">
              <w:rPr>
                <w:sz w:val="20"/>
                <w:szCs w:val="20"/>
              </w:rPr>
              <w:t>5,302.1</w:t>
            </w:r>
          </w:p>
        </w:tc>
        <w:tc>
          <w:tcPr>
            <w:tcW w:w="1293" w:type="dxa"/>
            <w:tcBorders>
              <w:top w:val="nil"/>
              <w:left w:val="nil"/>
              <w:bottom w:val="nil"/>
              <w:right w:val="nil"/>
            </w:tcBorders>
            <w:shd w:val="clear" w:color="auto" w:fill="auto"/>
            <w:noWrap/>
            <w:vAlign w:val="bottom"/>
          </w:tcPr>
          <w:p w14:paraId="4E96F6B7" w14:textId="0FF91AA5" w:rsidR="00015A86" w:rsidRPr="007239A6" w:rsidRDefault="00015A86" w:rsidP="004C356D">
            <w:pPr>
              <w:spacing w:after="0" w:line="240" w:lineRule="auto"/>
              <w:jc w:val="right"/>
              <w:rPr>
                <w:color w:val="000000"/>
                <w:sz w:val="22"/>
                <w:szCs w:val="22"/>
                <w:lang w:bidi="ar-SA"/>
              </w:rPr>
            </w:pPr>
            <w:r w:rsidRPr="007239A6">
              <w:rPr>
                <w:sz w:val="20"/>
                <w:szCs w:val="20"/>
              </w:rPr>
              <w:t xml:space="preserve">87 </w:t>
            </w:r>
          </w:p>
        </w:tc>
        <w:tc>
          <w:tcPr>
            <w:tcW w:w="1650" w:type="dxa"/>
            <w:tcBorders>
              <w:top w:val="nil"/>
              <w:left w:val="nil"/>
              <w:bottom w:val="nil"/>
              <w:right w:val="nil"/>
            </w:tcBorders>
            <w:shd w:val="clear" w:color="auto" w:fill="auto"/>
            <w:noWrap/>
            <w:vAlign w:val="bottom"/>
          </w:tcPr>
          <w:p w14:paraId="1083B2A2" w14:textId="29D175EA" w:rsidR="00015A86" w:rsidRPr="007239A6" w:rsidRDefault="00015A86" w:rsidP="004C356D">
            <w:pPr>
              <w:spacing w:after="0" w:line="240" w:lineRule="auto"/>
              <w:jc w:val="right"/>
              <w:rPr>
                <w:color w:val="000000"/>
                <w:sz w:val="22"/>
                <w:szCs w:val="22"/>
                <w:lang w:bidi="ar-SA"/>
              </w:rPr>
            </w:pPr>
            <w:r w:rsidRPr="007239A6">
              <w:rPr>
                <w:sz w:val="20"/>
                <w:szCs w:val="20"/>
              </w:rPr>
              <w:t>7839.7</w:t>
            </w:r>
          </w:p>
        </w:tc>
        <w:tc>
          <w:tcPr>
            <w:tcW w:w="1289" w:type="dxa"/>
            <w:tcBorders>
              <w:top w:val="nil"/>
              <w:left w:val="nil"/>
              <w:bottom w:val="nil"/>
              <w:right w:val="nil"/>
            </w:tcBorders>
            <w:shd w:val="clear" w:color="auto" w:fill="auto"/>
            <w:noWrap/>
            <w:vAlign w:val="bottom"/>
          </w:tcPr>
          <w:p w14:paraId="2768B6C3" w14:textId="40346D6D" w:rsidR="00015A86" w:rsidRPr="007239A6" w:rsidRDefault="00015A86" w:rsidP="004C356D">
            <w:pPr>
              <w:spacing w:after="0" w:line="240" w:lineRule="auto"/>
              <w:jc w:val="right"/>
              <w:rPr>
                <w:color w:val="000000"/>
                <w:sz w:val="22"/>
                <w:szCs w:val="22"/>
                <w:lang w:bidi="ar-SA"/>
              </w:rPr>
            </w:pPr>
            <w:r w:rsidRPr="007239A6">
              <w:rPr>
                <w:sz w:val="20"/>
                <w:szCs w:val="20"/>
              </w:rPr>
              <w:t xml:space="preserve">129 </w:t>
            </w:r>
          </w:p>
        </w:tc>
        <w:tc>
          <w:tcPr>
            <w:tcW w:w="1769" w:type="dxa"/>
            <w:tcBorders>
              <w:top w:val="nil"/>
              <w:left w:val="nil"/>
              <w:bottom w:val="nil"/>
              <w:right w:val="nil"/>
            </w:tcBorders>
            <w:vAlign w:val="bottom"/>
          </w:tcPr>
          <w:p w14:paraId="661835B2" w14:textId="40205738" w:rsidR="00015A86" w:rsidRPr="00A54231" w:rsidRDefault="00015A86" w:rsidP="004C356D">
            <w:pPr>
              <w:spacing w:after="0" w:line="240" w:lineRule="auto"/>
              <w:jc w:val="right"/>
              <w:rPr>
                <w:sz w:val="20"/>
                <w:szCs w:val="20"/>
              </w:rPr>
            </w:pPr>
            <w:r w:rsidRPr="00A54231">
              <w:rPr>
                <w:color w:val="000000"/>
                <w:sz w:val="20"/>
                <w:szCs w:val="20"/>
              </w:rPr>
              <w:t>618.85</w:t>
            </w:r>
          </w:p>
        </w:tc>
      </w:tr>
      <w:tr w:rsidR="00015A86" w:rsidRPr="007239A6" w14:paraId="7C5CC221" w14:textId="49D0D78A" w:rsidTr="00181ACD">
        <w:trPr>
          <w:trHeight w:val="288"/>
        </w:trPr>
        <w:tc>
          <w:tcPr>
            <w:tcW w:w="1586" w:type="dxa"/>
            <w:tcBorders>
              <w:top w:val="nil"/>
              <w:left w:val="nil"/>
              <w:bottom w:val="nil"/>
              <w:right w:val="nil"/>
            </w:tcBorders>
            <w:shd w:val="clear" w:color="auto" w:fill="auto"/>
            <w:noWrap/>
            <w:vAlign w:val="bottom"/>
            <w:hideMark/>
          </w:tcPr>
          <w:p w14:paraId="0060126E"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Middlebury</w:t>
            </w:r>
          </w:p>
        </w:tc>
        <w:tc>
          <w:tcPr>
            <w:tcW w:w="1261" w:type="dxa"/>
            <w:tcBorders>
              <w:top w:val="nil"/>
              <w:left w:val="nil"/>
              <w:bottom w:val="nil"/>
              <w:right w:val="nil"/>
            </w:tcBorders>
            <w:shd w:val="clear" w:color="auto" w:fill="auto"/>
            <w:noWrap/>
            <w:vAlign w:val="bottom"/>
          </w:tcPr>
          <w:p w14:paraId="00AFAECD" w14:textId="1FB16115" w:rsidR="00015A86" w:rsidRPr="007239A6" w:rsidRDefault="00015A86" w:rsidP="004C356D">
            <w:pPr>
              <w:spacing w:after="0" w:line="240" w:lineRule="auto"/>
              <w:jc w:val="right"/>
              <w:rPr>
                <w:color w:val="000000"/>
                <w:sz w:val="22"/>
                <w:szCs w:val="22"/>
                <w:lang w:bidi="ar-SA"/>
              </w:rPr>
            </w:pPr>
            <w:r w:rsidRPr="007239A6">
              <w:rPr>
                <w:sz w:val="20"/>
                <w:szCs w:val="20"/>
              </w:rPr>
              <w:t>838.7</w:t>
            </w:r>
          </w:p>
        </w:tc>
        <w:tc>
          <w:tcPr>
            <w:tcW w:w="1293" w:type="dxa"/>
            <w:tcBorders>
              <w:top w:val="nil"/>
              <w:left w:val="nil"/>
              <w:bottom w:val="nil"/>
              <w:right w:val="nil"/>
            </w:tcBorders>
            <w:shd w:val="clear" w:color="auto" w:fill="auto"/>
            <w:noWrap/>
            <w:vAlign w:val="bottom"/>
          </w:tcPr>
          <w:p w14:paraId="6ED1A1B9" w14:textId="627FE2B6" w:rsidR="00015A86" w:rsidRPr="007239A6" w:rsidRDefault="00015A86" w:rsidP="004C356D">
            <w:pPr>
              <w:spacing w:after="0" w:line="240" w:lineRule="auto"/>
              <w:jc w:val="right"/>
              <w:rPr>
                <w:color w:val="000000"/>
                <w:sz w:val="22"/>
                <w:szCs w:val="22"/>
                <w:lang w:bidi="ar-SA"/>
              </w:rPr>
            </w:pPr>
            <w:r w:rsidRPr="007239A6">
              <w:rPr>
                <w:sz w:val="20"/>
                <w:szCs w:val="20"/>
              </w:rPr>
              <w:t xml:space="preserve">111 </w:t>
            </w:r>
          </w:p>
        </w:tc>
        <w:tc>
          <w:tcPr>
            <w:tcW w:w="1650" w:type="dxa"/>
            <w:tcBorders>
              <w:top w:val="nil"/>
              <w:left w:val="nil"/>
              <w:bottom w:val="nil"/>
              <w:right w:val="nil"/>
            </w:tcBorders>
            <w:shd w:val="clear" w:color="auto" w:fill="auto"/>
            <w:noWrap/>
            <w:vAlign w:val="bottom"/>
          </w:tcPr>
          <w:p w14:paraId="7B3627B5" w14:textId="63A56540" w:rsidR="00015A86" w:rsidRPr="007239A6" w:rsidRDefault="00015A86" w:rsidP="004C356D">
            <w:pPr>
              <w:spacing w:after="0" w:line="240" w:lineRule="auto"/>
              <w:jc w:val="right"/>
              <w:rPr>
                <w:color w:val="000000"/>
                <w:sz w:val="22"/>
                <w:szCs w:val="22"/>
                <w:lang w:bidi="ar-SA"/>
              </w:rPr>
            </w:pPr>
            <w:r w:rsidRPr="007239A6">
              <w:rPr>
                <w:sz w:val="20"/>
                <w:szCs w:val="20"/>
              </w:rPr>
              <w:t>852.2</w:t>
            </w:r>
          </w:p>
        </w:tc>
        <w:tc>
          <w:tcPr>
            <w:tcW w:w="1289" w:type="dxa"/>
            <w:tcBorders>
              <w:top w:val="nil"/>
              <w:left w:val="nil"/>
              <w:bottom w:val="nil"/>
              <w:right w:val="nil"/>
            </w:tcBorders>
            <w:shd w:val="clear" w:color="auto" w:fill="auto"/>
            <w:noWrap/>
            <w:vAlign w:val="bottom"/>
          </w:tcPr>
          <w:p w14:paraId="679E46C2" w14:textId="3656D6E6" w:rsidR="00015A86" w:rsidRPr="007239A6" w:rsidRDefault="00015A86" w:rsidP="004C356D">
            <w:pPr>
              <w:spacing w:after="0" w:line="240" w:lineRule="auto"/>
              <w:jc w:val="right"/>
              <w:rPr>
                <w:color w:val="000000"/>
                <w:sz w:val="22"/>
                <w:szCs w:val="22"/>
                <w:lang w:bidi="ar-SA"/>
              </w:rPr>
            </w:pPr>
            <w:r w:rsidRPr="007239A6">
              <w:rPr>
                <w:sz w:val="20"/>
                <w:szCs w:val="20"/>
              </w:rPr>
              <w:t xml:space="preserve">113 </w:t>
            </w:r>
          </w:p>
        </w:tc>
        <w:tc>
          <w:tcPr>
            <w:tcW w:w="1769" w:type="dxa"/>
            <w:tcBorders>
              <w:top w:val="nil"/>
              <w:left w:val="nil"/>
              <w:bottom w:val="nil"/>
              <w:right w:val="nil"/>
            </w:tcBorders>
            <w:vAlign w:val="bottom"/>
          </w:tcPr>
          <w:p w14:paraId="7B26F2C2" w14:textId="3D288007" w:rsidR="00015A86" w:rsidRPr="00A54231" w:rsidRDefault="00015A86" w:rsidP="004C356D">
            <w:pPr>
              <w:spacing w:after="0" w:line="240" w:lineRule="auto"/>
              <w:jc w:val="right"/>
              <w:rPr>
                <w:sz w:val="20"/>
                <w:szCs w:val="20"/>
              </w:rPr>
            </w:pPr>
            <w:r w:rsidRPr="00A54231">
              <w:rPr>
                <w:color w:val="000000"/>
                <w:sz w:val="20"/>
                <w:szCs w:val="20"/>
              </w:rPr>
              <w:t>-408.58</w:t>
            </w:r>
          </w:p>
        </w:tc>
      </w:tr>
      <w:tr w:rsidR="00015A86" w:rsidRPr="007239A6" w14:paraId="11789902" w14:textId="203BF497" w:rsidTr="00181ACD">
        <w:trPr>
          <w:trHeight w:val="288"/>
        </w:trPr>
        <w:tc>
          <w:tcPr>
            <w:tcW w:w="1586" w:type="dxa"/>
            <w:tcBorders>
              <w:top w:val="nil"/>
              <w:left w:val="nil"/>
              <w:bottom w:val="nil"/>
              <w:right w:val="nil"/>
            </w:tcBorders>
            <w:shd w:val="clear" w:color="auto" w:fill="auto"/>
            <w:noWrap/>
            <w:vAlign w:val="bottom"/>
            <w:hideMark/>
          </w:tcPr>
          <w:p w14:paraId="0D9073D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Middlefield</w:t>
            </w:r>
          </w:p>
        </w:tc>
        <w:tc>
          <w:tcPr>
            <w:tcW w:w="1261" w:type="dxa"/>
            <w:tcBorders>
              <w:top w:val="nil"/>
              <w:left w:val="nil"/>
              <w:bottom w:val="nil"/>
              <w:right w:val="nil"/>
            </w:tcBorders>
            <w:shd w:val="clear" w:color="auto" w:fill="auto"/>
            <w:noWrap/>
            <w:vAlign w:val="bottom"/>
          </w:tcPr>
          <w:p w14:paraId="79B8985A" w14:textId="72E629BC" w:rsidR="00015A86" w:rsidRPr="007239A6" w:rsidRDefault="00015A86" w:rsidP="004C356D">
            <w:pPr>
              <w:spacing w:after="0" w:line="240" w:lineRule="auto"/>
              <w:jc w:val="right"/>
              <w:rPr>
                <w:color w:val="000000"/>
                <w:sz w:val="22"/>
                <w:szCs w:val="22"/>
                <w:lang w:bidi="ar-SA"/>
              </w:rPr>
            </w:pPr>
            <w:r w:rsidRPr="007239A6">
              <w:rPr>
                <w:sz w:val="20"/>
                <w:szCs w:val="20"/>
              </w:rPr>
              <w:t>328.7</w:t>
            </w:r>
          </w:p>
        </w:tc>
        <w:tc>
          <w:tcPr>
            <w:tcW w:w="1293" w:type="dxa"/>
            <w:tcBorders>
              <w:top w:val="nil"/>
              <w:left w:val="nil"/>
              <w:bottom w:val="nil"/>
              <w:right w:val="nil"/>
            </w:tcBorders>
            <w:shd w:val="clear" w:color="auto" w:fill="auto"/>
            <w:noWrap/>
            <w:vAlign w:val="bottom"/>
          </w:tcPr>
          <w:p w14:paraId="39B9BD11" w14:textId="5F2957DA" w:rsidR="00015A86" w:rsidRPr="007239A6" w:rsidRDefault="00015A86" w:rsidP="004C356D">
            <w:pPr>
              <w:spacing w:after="0" w:line="240" w:lineRule="auto"/>
              <w:jc w:val="right"/>
              <w:rPr>
                <w:color w:val="000000"/>
                <w:sz w:val="22"/>
                <w:szCs w:val="22"/>
                <w:lang w:bidi="ar-SA"/>
              </w:rPr>
            </w:pPr>
            <w:r w:rsidRPr="007239A6">
              <w:rPr>
                <w:sz w:val="20"/>
                <w:szCs w:val="20"/>
              </w:rPr>
              <w:t xml:space="preserve">74 </w:t>
            </w:r>
          </w:p>
        </w:tc>
        <w:tc>
          <w:tcPr>
            <w:tcW w:w="1650" w:type="dxa"/>
            <w:tcBorders>
              <w:top w:val="nil"/>
              <w:left w:val="nil"/>
              <w:bottom w:val="nil"/>
              <w:right w:val="nil"/>
            </w:tcBorders>
            <w:shd w:val="clear" w:color="auto" w:fill="auto"/>
            <w:noWrap/>
            <w:vAlign w:val="bottom"/>
          </w:tcPr>
          <w:p w14:paraId="2596FF22" w14:textId="5B2A40E2" w:rsidR="00015A86" w:rsidRPr="007239A6" w:rsidRDefault="00015A86" w:rsidP="004C356D">
            <w:pPr>
              <w:spacing w:after="0" w:line="240" w:lineRule="auto"/>
              <w:jc w:val="right"/>
              <w:rPr>
                <w:color w:val="000000"/>
                <w:sz w:val="22"/>
                <w:szCs w:val="22"/>
                <w:lang w:bidi="ar-SA"/>
              </w:rPr>
            </w:pPr>
            <w:r w:rsidRPr="007239A6">
              <w:rPr>
                <w:sz w:val="20"/>
                <w:szCs w:val="20"/>
              </w:rPr>
              <w:t>499.5</w:t>
            </w:r>
          </w:p>
        </w:tc>
        <w:tc>
          <w:tcPr>
            <w:tcW w:w="1289" w:type="dxa"/>
            <w:tcBorders>
              <w:top w:val="nil"/>
              <w:left w:val="nil"/>
              <w:bottom w:val="nil"/>
              <w:right w:val="nil"/>
            </w:tcBorders>
            <w:shd w:val="clear" w:color="auto" w:fill="auto"/>
            <w:noWrap/>
            <w:vAlign w:val="bottom"/>
          </w:tcPr>
          <w:p w14:paraId="2CC6798B" w14:textId="3C7F0966" w:rsidR="00015A86" w:rsidRPr="007239A6" w:rsidRDefault="00015A86" w:rsidP="004C356D">
            <w:pPr>
              <w:spacing w:after="0" w:line="240" w:lineRule="auto"/>
              <w:jc w:val="right"/>
              <w:rPr>
                <w:color w:val="000000"/>
                <w:sz w:val="22"/>
                <w:szCs w:val="22"/>
                <w:lang w:bidi="ar-SA"/>
              </w:rPr>
            </w:pPr>
            <w:r w:rsidRPr="007239A6">
              <w:rPr>
                <w:sz w:val="20"/>
                <w:szCs w:val="20"/>
              </w:rPr>
              <w:t xml:space="preserve">113 </w:t>
            </w:r>
          </w:p>
        </w:tc>
        <w:tc>
          <w:tcPr>
            <w:tcW w:w="1769" w:type="dxa"/>
            <w:tcBorders>
              <w:top w:val="nil"/>
              <w:left w:val="nil"/>
              <w:bottom w:val="nil"/>
              <w:right w:val="nil"/>
            </w:tcBorders>
            <w:vAlign w:val="bottom"/>
          </w:tcPr>
          <w:p w14:paraId="549A9B2B" w14:textId="6C281D4B" w:rsidR="00015A86" w:rsidRPr="00A54231" w:rsidRDefault="00015A86" w:rsidP="004C356D">
            <w:pPr>
              <w:spacing w:after="0" w:line="240" w:lineRule="auto"/>
              <w:jc w:val="right"/>
              <w:rPr>
                <w:sz w:val="20"/>
                <w:szCs w:val="20"/>
              </w:rPr>
            </w:pPr>
            <w:r w:rsidRPr="00A54231">
              <w:rPr>
                <w:color w:val="000000"/>
                <w:sz w:val="20"/>
                <w:szCs w:val="20"/>
              </w:rPr>
              <w:t>-51.73</w:t>
            </w:r>
          </w:p>
        </w:tc>
      </w:tr>
      <w:tr w:rsidR="00015A86" w:rsidRPr="007239A6" w14:paraId="37CAA1F3" w14:textId="4A3FAEFD" w:rsidTr="00181ACD">
        <w:trPr>
          <w:trHeight w:val="288"/>
        </w:trPr>
        <w:tc>
          <w:tcPr>
            <w:tcW w:w="1586" w:type="dxa"/>
            <w:tcBorders>
              <w:top w:val="nil"/>
              <w:left w:val="nil"/>
              <w:bottom w:val="nil"/>
              <w:right w:val="nil"/>
            </w:tcBorders>
            <w:shd w:val="clear" w:color="auto" w:fill="auto"/>
            <w:noWrap/>
            <w:vAlign w:val="bottom"/>
            <w:hideMark/>
          </w:tcPr>
          <w:p w14:paraId="5A928C3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Middletown</w:t>
            </w:r>
          </w:p>
        </w:tc>
        <w:tc>
          <w:tcPr>
            <w:tcW w:w="1261" w:type="dxa"/>
            <w:tcBorders>
              <w:top w:val="nil"/>
              <w:left w:val="nil"/>
              <w:bottom w:val="nil"/>
              <w:right w:val="nil"/>
            </w:tcBorders>
            <w:shd w:val="clear" w:color="auto" w:fill="auto"/>
            <w:noWrap/>
            <w:vAlign w:val="bottom"/>
          </w:tcPr>
          <w:p w14:paraId="4319CD15" w14:textId="02DBF99A" w:rsidR="00015A86" w:rsidRPr="007239A6" w:rsidRDefault="00015A86" w:rsidP="004C356D">
            <w:pPr>
              <w:spacing w:after="0" w:line="240" w:lineRule="auto"/>
              <w:jc w:val="right"/>
              <w:rPr>
                <w:color w:val="000000"/>
                <w:sz w:val="22"/>
                <w:szCs w:val="22"/>
                <w:lang w:bidi="ar-SA"/>
              </w:rPr>
            </w:pPr>
            <w:r w:rsidRPr="007239A6">
              <w:rPr>
                <w:sz w:val="20"/>
                <w:szCs w:val="20"/>
              </w:rPr>
              <w:t>5,077.0</w:t>
            </w:r>
          </w:p>
        </w:tc>
        <w:tc>
          <w:tcPr>
            <w:tcW w:w="1293" w:type="dxa"/>
            <w:tcBorders>
              <w:top w:val="nil"/>
              <w:left w:val="nil"/>
              <w:bottom w:val="nil"/>
              <w:right w:val="nil"/>
            </w:tcBorders>
            <w:shd w:val="clear" w:color="auto" w:fill="auto"/>
            <w:noWrap/>
            <w:vAlign w:val="bottom"/>
          </w:tcPr>
          <w:p w14:paraId="4FDD73D2" w14:textId="501C2A13" w:rsidR="00015A86" w:rsidRPr="007239A6" w:rsidRDefault="00015A86" w:rsidP="004C356D">
            <w:pPr>
              <w:spacing w:after="0" w:line="240" w:lineRule="auto"/>
              <w:jc w:val="right"/>
              <w:rPr>
                <w:color w:val="000000"/>
                <w:sz w:val="22"/>
                <w:szCs w:val="22"/>
                <w:lang w:bidi="ar-SA"/>
              </w:rPr>
            </w:pPr>
            <w:r w:rsidRPr="007239A6">
              <w:rPr>
                <w:sz w:val="20"/>
                <w:szCs w:val="20"/>
              </w:rPr>
              <w:t xml:space="preserve">107 </w:t>
            </w:r>
          </w:p>
        </w:tc>
        <w:tc>
          <w:tcPr>
            <w:tcW w:w="1650" w:type="dxa"/>
            <w:tcBorders>
              <w:top w:val="nil"/>
              <w:left w:val="nil"/>
              <w:bottom w:val="nil"/>
              <w:right w:val="nil"/>
            </w:tcBorders>
            <w:shd w:val="clear" w:color="auto" w:fill="auto"/>
            <w:noWrap/>
            <w:vAlign w:val="bottom"/>
          </w:tcPr>
          <w:p w14:paraId="7DB12D48" w14:textId="7F0808DF" w:rsidR="00015A86" w:rsidRPr="007239A6" w:rsidRDefault="00015A86" w:rsidP="004C356D">
            <w:pPr>
              <w:spacing w:after="0" w:line="240" w:lineRule="auto"/>
              <w:jc w:val="right"/>
              <w:rPr>
                <w:color w:val="000000"/>
                <w:sz w:val="22"/>
                <w:szCs w:val="22"/>
                <w:lang w:bidi="ar-SA"/>
              </w:rPr>
            </w:pPr>
            <w:r w:rsidRPr="007239A6">
              <w:rPr>
                <w:sz w:val="20"/>
                <w:szCs w:val="20"/>
              </w:rPr>
              <w:t>6263.6</w:t>
            </w:r>
          </w:p>
        </w:tc>
        <w:tc>
          <w:tcPr>
            <w:tcW w:w="1289" w:type="dxa"/>
            <w:tcBorders>
              <w:top w:val="nil"/>
              <w:left w:val="nil"/>
              <w:bottom w:val="nil"/>
              <w:right w:val="nil"/>
            </w:tcBorders>
            <w:shd w:val="clear" w:color="auto" w:fill="auto"/>
            <w:noWrap/>
            <w:vAlign w:val="bottom"/>
          </w:tcPr>
          <w:p w14:paraId="112315E0" w14:textId="709871B5" w:rsidR="00015A86" w:rsidRPr="007239A6" w:rsidRDefault="00015A86" w:rsidP="004C356D">
            <w:pPr>
              <w:spacing w:after="0" w:line="240" w:lineRule="auto"/>
              <w:jc w:val="right"/>
              <w:rPr>
                <w:color w:val="000000"/>
                <w:sz w:val="22"/>
                <w:szCs w:val="22"/>
                <w:lang w:bidi="ar-SA"/>
              </w:rPr>
            </w:pPr>
            <w:r w:rsidRPr="007239A6">
              <w:rPr>
                <w:sz w:val="20"/>
                <w:szCs w:val="20"/>
              </w:rPr>
              <w:t xml:space="preserve">132 </w:t>
            </w:r>
          </w:p>
        </w:tc>
        <w:tc>
          <w:tcPr>
            <w:tcW w:w="1769" w:type="dxa"/>
            <w:tcBorders>
              <w:top w:val="nil"/>
              <w:left w:val="nil"/>
              <w:bottom w:val="nil"/>
              <w:right w:val="nil"/>
            </w:tcBorders>
            <w:vAlign w:val="bottom"/>
          </w:tcPr>
          <w:p w14:paraId="2A354791" w14:textId="383557B3" w:rsidR="00015A86" w:rsidRPr="00A54231" w:rsidRDefault="00015A86" w:rsidP="004C356D">
            <w:pPr>
              <w:spacing w:after="0" w:line="240" w:lineRule="auto"/>
              <w:jc w:val="right"/>
              <w:rPr>
                <w:sz w:val="20"/>
                <w:szCs w:val="20"/>
              </w:rPr>
            </w:pPr>
            <w:r w:rsidRPr="00A54231">
              <w:rPr>
                <w:color w:val="000000"/>
                <w:sz w:val="20"/>
                <w:szCs w:val="20"/>
              </w:rPr>
              <w:t>338.99</w:t>
            </w:r>
          </w:p>
        </w:tc>
      </w:tr>
      <w:tr w:rsidR="00015A86" w:rsidRPr="007239A6" w14:paraId="218590EB" w14:textId="59074776" w:rsidTr="00181ACD">
        <w:trPr>
          <w:trHeight w:val="288"/>
        </w:trPr>
        <w:tc>
          <w:tcPr>
            <w:tcW w:w="1586" w:type="dxa"/>
            <w:tcBorders>
              <w:top w:val="nil"/>
              <w:left w:val="nil"/>
              <w:bottom w:val="nil"/>
              <w:right w:val="nil"/>
            </w:tcBorders>
            <w:shd w:val="clear" w:color="auto" w:fill="auto"/>
            <w:noWrap/>
            <w:vAlign w:val="bottom"/>
            <w:hideMark/>
          </w:tcPr>
          <w:p w14:paraId="73B3BA98"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lastRenderedPageBreak/>
              <w:t>Milford</w:t>
            </w:r>
          </w:p>
        </w:tc>
        <w:tc>
          <w:tcPr>
            <w:tcW w:w="1261" w:type="dxa"/>
            <w:tcBorders>
              <w:top w:val="nil"/>
              <w:left w:val="nil"/>
              <w:bottom w:val="nil"/>
              <w:right w:val="nil"/>
            </w:tcBorders>
            <w:shd w:val="clear" w:color="auto" w:fill="auto"/>
            <w:noWrap/>
            <w:vAlign w:val="bottom"/>
          </w:tcPr>
          <w:p w14:paraId="510A58D2" w14:textId="4C03366D" w:rsidR="00015A86" w:rsidRPr="007239A6" w:rsidRDefault="00015A86" w:rsidP="004C356D">
            <w:pPr>
              <w:spacing w:after="0" w:line="240" w:lineRule="auto"/>
              <w:jc w:val="right"/>
              <w:rPr>
                <w:color w:val="000000"/>
                <w:sz w:val="22"/>
                <w:szCs w:val="22"/>
                <w:lang w:bidi="ar-SA"/>
              </w:rPr>
            </w:pPr>
            <w:r w:rsidRPr="007239A6">
              <w:rPr>
                <w:sz w:val="20"/>
                <w:szCs w:val="20"/>
              </w:rPr>
              <w:t>12,672.3</w:t>
            </w:r>
          </w:p>
        </w:tc>
        <w:tc>
          <w:tcPr>
            <w:tcW w:w="1293" w:type="dxa"/>
            <w:tcBorders>
              <w:top w:val="nil"/>
              <w:left w:val="nil"/>
              <w:bottom w:val="nil"/>
              <w:right w:val="nil"/>
            </w:tcBorders>
            <w:shd w:val="clear" w:color="auto" w:fill="auto"/>
            <w:noWrap/>
            <w:vAlign w:val="bottom"/>
          </w:tcPr>
          <w:p w14:paraId="14FE5705" w14:textId="6386F99C" w:rsidR="00015A86" w:rsidRPr="007239A6" w:rsidRDefault="00015A86" w:rsidP="004C356D">
            <w:pPr>
              <w:spacing w:after="0" w:line="240" w:lineRule="auto"/>
              <w:jc w:val="right"/>
              <w:rPr>
                <w:color w:val="000000"/>
                <w:sz w:val="22"/>
                <w:szCs w:val="22"/>
                <w:lang w:bidi="ar-SA"/>
              </w:rPr>
            </w:pPr>
            <w:r w:rsidRPr="007239A6">
              <w:rPr>
                <w:sz w:val="20"/>
                <w:szCs w:val="20"/>
              </w:rPr>
              <w:t xml:space="preserve">240 </w:t>
            </w:r>
          </w:p>
        </w:tc>
        <w:tc>
          <w:tcPr>
            <w:tcW w:w="1650" w:type="dxa"/>
            <w:tcBorders>
              <w:top w:val="nil"/>
              <w:left w:val="nil"/>
              <w:bottom w:val="nil"/>
              <w:right w:val="nil"/>
            </w:tcBorders>
            <w:shd w:val="clear" w:color="auto" w:fill="auto"/>
            <w:noWrap/>
            <w:vAlign w:val="bottom"/>
          </w:tcPr>
          <w:p w14:paraId="7C5D0F6A" w14:textId="72494CFE" w:rsidR="00015A86" w:rsidRPr="007239A6" w:rsidRDefault="00015A86" w:rsidP="004C356D">
            <w:pPr>
              <w:spacing w:after="0" w:line="240" w:lineRule="auto"/>
              <w:jc w:val="right"/>
              <w:rPr>
                <w:color w:val="000000"/>
                <w:sz w:val="22"/>
                <w:szCs w:val="22"/>
                <w:lang w:bidi="ar-SA"/>
              </w:rPr>
            </w:pPr>
            <w:r w:rsidRPr="007239A6">
              <w:rPr>
                <w:sz w:val="20"/>
                <w:szCs w:val="20"/>
              </w:rPr>
              <w:t>8325.1</w:t>
            </w:r>
          </w:p>
        </w:tc>
        <w:tc>
          <w:tcPr>
            <w:tcW w:w="1289" w:type="dxa"/>
            <w:tcBorders>
              <w:top w:val="nil"/>
              <w:left w:val="nil"/>
              <w:bottom w:val="nil"/>
              <w:right w:val="nil"/>
            </w:tcBorders>
            <w:shd w:val="clear" w:color="auto" w:fill="auto"/>
            <w:noWrap/>
            <w:vAlign w:val="bottom"/>
          </w:tcPr>
          <w:p w14:paraId="192542FB" w14:textId="234F1CEC" w:rsidR="00015A86" w:rsidRPr="007239A6" w:rsidRDefault="00015A86" w:rsidP="004C356D">
            <w:pPr>
              <w:spacing w:after="0" w:line="240" w:lineRule="auto"/>
              <w:jc w:val="right"/>
              <w:rPr>
                <w:color w:val="000000"/>
                <w:sz w:val="22"/>
                <w:szCs w:val="22"/>
                <w:lang w:bidi="ar-SA"/>
              </w:rPr>
            </w:pPr>
            <w:r w:rsidRPr="007239A6">
              <w:rPr>
                <w:sz w:val="20"/>
                <w:szCs w:val="20"/>
              </w:rPr>
              <w:t xml:space="preserve">157 </w:t>
            </w:r>
          </w:p>
        </w:tc>
        <w:tc>
          <w:tcPr>
            <w:tcW w:w="1769" w:type="dxa"/>
            <w:tcBorders>
              <w:top w:val="nil"/>
              <w:left w:val="nil"/>
              <w:bottom w:val="nil"/>
              <w:right w:val="nil"/>
            </w:tcBorders>
            <w:vAlign w:val="bottom"/>
          </w:tcPr>
          <w:p w14:paraId="3F54389D" w14:textId="478109BA" w:rsidR="00015A86" w:rsidRPr="00A54231" w:rsidRDefault="00015A86" w:rsidP="004C356D">
            <w:pPr>
              <w:spacing w:after="0" w:line="240" w:lineRule="auto"/>
              <w:jc w:val="right"/>
              <w:rPr>
                <w:sz w:val="20"/>
                <w:szCs w:val="20"/>
              </w:rPr>
            </w:pPr>
            <w:r w:rsidRPr="00A54231">
              <w:rPr>
                <w:color w:val="000000"/>
                <w:sz w:val="20"/>
                <w:szCs w:val="20"/>
              </w:rPr>
              <w:t>54.66</w:t>
            </w:r>
          </w:p>
        </w:tc>
      </w:tr>
      <w:tr w:rsidR="00015A86" w:rsidRPr="007239A6" w14:paraId="712CF693" w14:textId="1D0CA818" w:rsidTr="00181ACD">
        <w:trPr>
          <w:trHeight w:val="288"/>
        </w:trPr>
        <w:tc>
          <w:tcPr>
            <w:tcW w:w="1586" w:type="dxa"/>
            <w:tcBorders>
              <w:top w:val="nil"/>
              <w:left w:val="nil"/>
              <w:bottom w:val="nil"/>
              <w:right w:val="nil"/>
            </w:tcBorders>
            <w:shd w:val="clear" w:color="auto" w:fill="auto"/>
            <w:noWrap/>
            <w:vAlign w:val="bottom"/>
            <w:hideMark/>
          </w:tcPr>
          <w:p w14:paraId="1C1556B9"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Monroe</w:t>
            </w:r>
          </w:p>
        </w:tc>
        <w:tc>
          <w:tcPr>
            <w:tcW w:w="1261" w:type="dxa"/>
            <w:tcBorders>
              <w:top w:val="nil"/>
              <w:left w:val="nil"/>
              <w:bottom w:val="nil"/>
              <w:right w:val="nil"/>
            </w:tcBorders>
            <w:shd w:val="clear" w:color="auto" w:fill="auto"/>
            <w:noWrap/>
            <w:vAlign w:val="bottom"/>
          </w:tcPr>
          <w:p w14:paraId="79ACB864" w14:textId="324BD741" w:rsidR="00015A86" w:rsidRPr="007239A6" w:rsidRDefault="00015A86" w:rsidP="004C356D">
            <w:pPr>
              <w:spacing w:after="0" w:line="240" w:lineRule="auto"/>
              <w:jc w:val="right"/>
              <w:rPr>
                <w:color w:val="000000"/>
                <w:sz w:val="22"/>
                <w:szCs w:val="22"/>
                <w:lang w:bidi="ar-SA"/>
              </w:rPr>
            </w:pPr>
            <w:r w:rsidRPr="007239A6">
              <w:rPr>
                <w:sz w:val="20"/>
                <w:szCs w:val="20"/>
              </w:rPr>
              <w:t>1,523.3</w:t>
            </w:r>
          </w:p>
        </w:tc>
        <w:tc>
          <w:tcPr>
            <w:tcW w:w="1293" w:type="dxa"/>
            <w:tcBorders>
              <w:top w:val="nil"/>
              <w:left w:val="nil"/>
              <w:bottom w:val="nil"/>
              <w:right w:val="nil"/>
            </w:tcBorders>
            <w:shd w:val="clear" w:color="auto" w:fill="auto"/>
            <w:noWrap/>
            <w:vAlign w:val="bottom"/>
          </w:tcPr>
          <w:p w14:paraId="722AD594" w14:textId="4C22C64A" w:rsidR="00015A86" w:rsidRPr="007239A6" w:rsidRDefault="00015A86" w:rsidP="004C356D">
            <w:pPr>
              <w:spacing w:after="0" w:line="240" w:lineRule="auto"/>
              <w:jc w:val="right"/>
              <w:rPr>
                <w:color w:val="000000"/>
                <w:sz w:val="22"/>
                <w:szCs w:val="22"/>
                <w:lang w:bidi="ar-SA"/>
              </w:rPr>
            </w:pPr>
            <w:r w:rsidRPr="007239A6">
              <w:rPr>
                <w:sz w:val="20"/>
                <w:szCs w:val="20"/>
              </w:rPr>
              <w:t xml:space="preserve">78 </w:t>
            </w:r>
          </w:p>
        </w:tc>
        <w:tc>
          <w:tcPr>
            <w:tcW w:w="1650" w:type="dxa"/>
            <w:tcBorders>
              <w:top w:val="nil"/>
              <w:left w:val="nil"/>
              <w:bottom w:val="nil"/>
              <w:right w:val="nil"/>
            </w:tcBorders>
            <w:shd w:val="clear" w:color="auto" w:fill="auto"/>
            <w:noWrap/>
            <w:vAlign w:val="bottom"/>
          </w:tcPr>
          <w:p w14:paraId="70507557" w14:textId="011BA164" w:rsidR="00015A86" w:rsidRPr="007239A6" w:rsidRDefault="00015A86" w:rsidP="004C356D">
            <w:pPr>
              <w:spacing w:after="0" w:line="240" w:lineRule="auto"/>
              <w:jc w:val="right"/>
              <w:rPr>
                <w:color w:val="000000"/>
                <w:sz w:val="22"/>
                <w:szCs w:val="22"/>
                <w:lang w:bidi="ar-SA"/>
              </w:rPr>
            </w:pPr>
            <w:r w:rsidRPr="007239A6">
              <w:rPr>
                <w:sz w:val="20"/>
                <w:szCs w:val="20"/>
              </w:rPr>
              <w:t>1825.6</w:t>
            </w:r>
          </w:p>
        </w:tc>
        <w:tc>
          <w:tcPr>
            <w:tcW w:w="1289" w:type="dxa"/>
            <w:tcBorders>
              <w:top w:val="nil"/>
              <w:left w:val="nil"/>
              <w:bottom w:val="nil"/>
              <w:right w:val="nil"/>
            </w:tcBorders>
            <w:shd w:val="clear" w:color="auto" w:fill="auto"/>
            <w:noWrap/>
            <w:vAlign w:val="bottom"/>
          </w:tcPr>
          <w:p w14:paraId="59B27E12" w14:textId="2D15606E" w:rsidR="00015A86" w:rsidRPr="007239A6" w:rsidRDefault="00015A86" w:rsidP="004C356D">
            <w:pPr>
              <w:spacing w:after="0" w:line="240" w:lineRule="auto"/>
              <w:jc w:val="right"/>
              <w:rPr>
                <w:color w:val="000000"/>
                <w:sz w:val="22"/>
                <w:szCs w:val="22"/>
                <w:lang w:bidi="ar-SA"/>
              </w:rPr>
            </w:pPr>
            <w:r w:rsidRPr="007239A6">
              <w:rPr>
                <w:sz w:val="20"/>
                <w:szCs w:val="20"/>
              </w:rPr>
              <w:t xml:space="preserve">93 </w:t>
            </w:r>
          </w:p>
        </w:tc>
        <w:tc>
          <w:tcPr>
            <w:tcW w:w="1769" w:type="dxa"/>
            <w:tcBorders>
              <w:top w:val="nil"/>
              <w:left w:val="nil"/>
              <w:bottom w:val="nil"/>
              <w:right w:val="nil"/>
            </w:tcBorders>
            <w:vAlign w:val="bottom"/>
          </w:tcPr>
          <w:p w14:paraId="5AD26D3D" w14:textId="232A95A1" w:rsidR="00015A86" w:rsidRPr="00A54231" w:rsidRDefault="00015A86" w:rsidP="004C356D">
            <w:pPr>
              <w:spacing w:after="0" w:line="240" w:lineRule="auto"/>
              <w:jc w:val="right"/>
              <w:rPr>
                <w:sz w:val="20"/>
                <w:szCs w:val="20"/>
              </w:rPr>
            </w:pPr>
            <w:r w:rsidRPr="00A54231">
              <w:rPr>
                <w:color w:val="000000"/>
                <w:sz w:val="20"/>
                <w:szCs w:val="20"/>
              </w:rPr>
              <w:t>-316.46</w:t>
            </w:r>
          </w:p>
        </w:tc>
      </w:tr>
      <w:tr w:rsidR="00015A86" w:rsidRPr="007239A6" w14:paraId="34EB3BDC" w14:textId="55B5AA8E" w:rsidTr="00181ACD">
        <w:trPr>
          <w:trHeight w:val="288"/>
        </w:trPr>
        <w:tc>
          <w:tcPr>
            <w:tcW w:w="1586" w:type="dxa"/>
            <w:tcBorders>
              <w:top w:val="nil"/>
              <w:left w:val="nil"/>
              <w:bottom w:val="nil"/>
              <w:right w:val="nil"/>
            </w:tcBorders>
            <w:shd w:val="clear" w:color="auto" w:fill="auto"/>
            <w:noWrap/>
            <w:vAlign w:val="bottom"/>
            <w:hideMark/>
          </w:tcPr>
          <w:p w14:paraId="64FC5D5C"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Montville</w:t>
            </w:r>
          </w:p>
        </w:tc>
        <w:tc>
          <w:tcPr>
            <w:tcW w:w="1261" w:type="dxa"/>
            <w:tcBorders>
              <w:top w:val="nil"/>
              <w:left w:val="nil"/>
              <w:bottom w:val="nil"/>
              <w:right w:val="nil"/>
            </w:tcBorders>
            <w:shd w:val="clear" w:color="auto" w:fill="auto"/>
            <w:noWrap/>
            <w:vAlign w:val="bottom"/>
          </w:tcPr>
          <w:p w14:paraId="40968B48" w14:textId="228DB96C" w:rsidR="00015A86" w:rsidRPr="007239A6" w:rsidRDefault="00015A86" w:rsidP="004C356D">
            <w:pPr>
              <w:spacing w:after="0" w:line="240" w:lineRule="auto"/>
              <w:jc w:val="right"/>
              <w:rPr>
                <w:color w:val="000000"/>
                <w:sz w:val="22"/>
                <w:szCs w:val="22"/>
                <w:lang w:bidi="ar-SA"/>
              </w:rPr>
            </w:pPr>
            <w:r w:rsidRPr="007239A6">
              <w:rPr>
                <w:sz w:val="20"/>
                <w:szCs w:val="20"/>
              </w:rPr>
              <w:t>1,512.8</w:t>
            </w:r>
          </w:p>
        </w:tc>
        <w:tc>
          <w:tcPr>
            <w:tcW w:w="1293" w:type="dxa"/>
            <w:tcBorders>
              <w:top w:val="nil"/>
              <w:left w:val="nil"/>
              <w:bottom w:val="nil"/>
              <w:right w:val="nil"/>
            </w:tcBorders>
            <w:shd w:val="clear" w:color="auto" w:fill="auto"/>
            <w:noWrap/>
            <w:vAlign w:val="bottom"/>
          </w:tcPr>
          <w:p w14:paraId="6A6A2278" w14:textId="6D1DDEF2" w:rsidR="00015A86" w:rsidRPr="007239A6" w:rsidRDefault="00015A86" w:rsidP="004C356D">
            <w:pPr>
              <w:spacing w:after="0" w:line="240" w:lineRule="auto"/>
              <w:jc w:val="right"/>
              <w:rPr>
                <w:color w:val="000000"/>
                <w:sz w:val="22"/>
                <w:szCs w:val="22"/>
                <w:lang w:bidi="ar-SA"/>
              </w:rPr>
            </w:pPr>
            <w:r w:rsidRPr="007239A6">
              <w:rPr>
                <w:sz w:val="20"/>
                <w:szCs w:val="20"/>
              </w:rPr>
              <w:t xml:space="preserve">77 </w:t>
            </w:r>
          </w:p>
        </w:tc>
        <w:tc>
          <w:tcPr>
            <w:tcW w:w="1650" w:type="dxa"/>
            <w:tcBorders>
              <w:top w:val="nil"/>
              <w:left w:val="nil"/>
              <w:bottom w:val="nil"/>
              <w:right w:val="nil"/>
            </w:tcBorders>
            <w:shd w:val="clear" w:color="auto" w:fill="auto"/>
            <w:noWrap/>
            <w:vAlign w:val="bottom"/>
          </w:tcPr>
          <w:p w14:paraId="04B94338" w14:textId="1C0B2936" w:rsidR="00015A86" w:rsidRPr="007239A6" w:rsidRDefault="00015A86" w:rsidP="004C356D">
            <w:pPr>
              <w:spacing w:after="0" w:line="240" w:lineRule="auto"/>
              <w:jc w:val="right"/>
              <w:rPr>
                <w:color w:val="000000"/>
                <w:sz w:val="22"/>
                <w:szCs w:val="22"/>
                <w:lang w:bidi="ar-SA"/>
              </w:rPr>
            </w:pPr>
            <w:r w:rsidRPr="007239A6">
              <w:rPr>
                <w:sz w:val="20"/>
                <w:szCs w:val="20"/>
              </w:rPr>
              <w:t>2931.2</w:t>
            </w:r>
          </w:p>
        </w:tc>
        <w:tc>
          <w:tcPr>
            <w:tcW w:w="1289" w:type="dxa"/>
            <w:tcBorders>
              <w:top w:val="nil"/>
              <w:left w:val="nil"/>
              <w:bottom w:val="nil"/>
              <w:right w:val="nil"/>
            </w:tcBorders>
            <w:shd w:val="clear" w:color="auto" w:fill="auto"/>
            <w:noWrap/>
            <w:vAlign w:val="bottom"/>
          </w:tcPr>
          <w:p w14:paraId="525464DA" w14:textId="28211582" w:rsidR="00015A86" w:rsidRPr="007239A6" w:rsidRDefault="00015A86" w:rsidP="004C356D">
            <w:pPr>
              <w:spacing w:after="0" w:line="240" w:lineRule="auto"/>
              <w:jc w:val="right"/>
              <w:rPr>
                <w:color w:val="000000"/>
                <w:sz w:val="22"/>
                <w:szCs w:val="22"/>
                <w:lang w:bidi="ar-SA"/>
              </w:rPr>
            </w:pPr>
            <w:r w:rsidRPr="007239A6">
              <w:rPr>
                <w:sz w:val="20"/>
                <w:szCs w:val="20"/>
              </w:rPr>
              <w:t xml:space="preserve">149 </w:t>
            </w:r>
          </w:p>
        </w:tc>
        <w:tc>
          <w:tcPr>
            <w:tcW w:w="1769" w:type="dxa"/>
            <w:tcBorders>
              <w:top w:val="nil"/>
              <w:left w:val="nil"/>
              <w:bottom w:val="nil"/>
              <w:right w:val="nil"/>
            </w:tcBorders>
            <w:vAlign w:val="bottom"/>
          </w:tcPr>
          <w:p w14:paraId="48AD1156" w14:textId="2928D8D0" w:rsidR="00015A86" w:rsidRPr="00A54231" w:rsidRDefault="00015A86" w:rsidP="004C356D">
            <w:pPr>
              <w:spacing w:after="0" w:line="240" w:lineRule="auto"/>
              <w:jc w:val="right"/>
              <w:rPr>
                <w:sz w:val="20"/>
                <w:szCs w:val="20"/>
              </w:rPr>
            </w:pPr>
            <w:r w:rsidRPr="00A54231">
              <w:rPr>
                <w:color w:val="000000"/>
                <w:sz w:val="20"/>
                <w:szCs w:val="20"/>
              </w:rPr>
              <w:t>348.70</w:t>
            </w:r>
          </w:p>
        </w:tc>
      </w:tr>
      <w:tr w:rsidR="00015A86" w:rsidRPr="007239A6" w14:paraId="419B56A4" w14:textId="327EF386" w:rsidTr="00181ACD">
        <w:trPr>
          <w:trHeight w:val="288"/>
        </w:trPr>
        <w:tc>
          <w:tcPr>
            <w:tcW w:w="1586" w:type="dxa"/>
            <w:tcBorders>
              <w:top w:val="nil"/>
              <w:left w:val="nil"/>
              <w:bottom w:val="nil"/>
              <w:right w:val="nil"/>
            </w:tcBorders>
            <w:shd w:val="clear" w:color="auto" w:fill="auto"/>
            <w:noWrap/>
            <w:vAlign w:val="bottom"/>
            <w:hideMark/>
          </w:tcPr>
          <w:p w14:paraId="3F64436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Morris</w:t>
            </w:r>
          </w:p>
        </w:tc>
        <w:tc>
          <w:tcPr>
            <w:tcW w:w="1261" w:type="dxa"/>
            <w:tcBorders>
              <w:top w:val="nil"/>
              <w:left w:val="nil"/>
              <w:bottom w:val="nil"/>
              <w:right w:val="nil"/>
            </w:tcBorders>
            <w:shd w:val="clear" w:color="auto" w:fill="auto"/>
            <w:noWrap/>
            <w:vAlign w:val="bottom"/>
          </w:tcPr>
          <w:p w14:paraId="0479E5FD" w14:textId="320F31C9" w:rsidR="00015A86" w:rsidRPr="007239A6" w:rsidRDefault="00015A86" w:rsidP="004C356D">
            <w:pPr>
              <w:spacing w:after="0" w:line="240" w:lineRule="auto"/>
              <w:jc w:val="right"/>
              <w:rPr>
                <w:color w:val="000000"/>
                <w:sz w:val="22"/>
                <w:szCs w:val="22"/>
                <w:lang w:bidi="ar-SA"/>
              </w:rPr>
            </w:pPr>
            <w:r w:rsidRPr="007239A6">
              <w:rPr>
                <w:sz w:val="20"/>
                <w:szCs w:val="20"/>
              </w:rPr>
              <w:t>102.0</w:t>
            </w:r>
          </w:p>
        </w:tc>
        <w:tc>
          <w:tcPr>
            <w:tcW w:w="1293" w:type="dxa"/>
            <w:tcBorders>
              <w:top w:val="nil"/>
              <w:left w:val="nil"/>
              <w:bottom w:val="nil"/>
              <w:right w:val="nil"/>
            </w:tcBorders>
            <w:shd w:val="clear" w:color="auto" w:fill="auto"/>
            <w:noWrap/>
            <w:vAlign w:val="bottom"/>
          </w:tcPr>
          <w:p w14:paraId="5378D727" w14:textId="2DFED07E" w:rsidR="00015A86" w:rsidRPr="007239A6" w:rsidRDefault="00015A86" w:rsidP="004C356D">
            <w:pPr>
              <w:spacing w:after="0" w:line="240" w:lineRule="auto"/>
              <w:jc w:val="right"/>
              <w:rPr>
                <w:color w:val="000000"/>
                <w:sz w:val="22"/>
                <w:szCs w:val="22"/>
                <w:lang w:bidi="ar-SA"/>
              </w:rPr>
            </w:pPr>
            <w:r w:rsidRPr="007239A6">
              <w:rPr>
                <w:sz w:val="20"/>
                <w:szCs w:val="20"/>
              </w:rPr>
              <w:t xml:space="preserve">43 </w:t>
            </w:r>
          </w:p>
        </w:tc>
        <w:tc>
          <w:tcPr>
            <w:tcW w:w="1650" w:type="dxa"/>
            <w:tcBorders>
              <w:top w:val="nil"/>
              <w:left w:val="nil"/>
              <w:bottom w:val="nil"/>
              <w:right w:val="nil"/>
            </w:tcBorders>
            <w:shd w:val="clear" w:color="auto" w:fill="auto"/>
            <w:noWrap/>
            <w:vAlign w:val="bottom"/>
          </w:tcPr>
          <w:p w14:paraId="5DE2CE81" w14:textId="7338B2B7" w:rsidR="00015A86" w:rsidRPr="007239A6" w:rsidRDefault="00015A86" w:rsidP="004C356D">
            <w:pPr>
              <w:spacing w:after="0" w:line="240" w:lineRule="auto"/>
              <w:jc w:val="right"/>
              <w:rPr>
                <w:color w:val="000000"/>
                <w:sz w:val="22"/>
                <w:szCs w:val="22"/>
                <w:lang w:bidi="ar-SA"/>
              </w:rPr>
            </w:pPr>
            <w:r w:rsidRPr="007239A6">
              <w:rPr>
                <w:sz w:val="20"/>
                <w:szCs w:val="20"/>
              </w:rPr>
              <w:t>243.1</w:t>
            </w:r>
          </w:p>
        </w:tc>
        <w:tc>
          <w:tcPr>
            <w:tcW w:w="1289" w:type="dxa"/>
            <w:tcBorders>
              <w:top w:val="nil"/>
              <w:left w:val="nil"/>
              <w:bottom w:val="nil"/>
              <w:right w:val="nil"/>
            </w:tcBorders>
            <w:shd w:val="clear" w:color="auto" w:fill="auto"/>
            <w:noWrap/>
            <w:vAlign w:val="bottom"/>
          </w:tcPr>
          <w:p w14:paraId="611914CF" w14:textId="1842E2E3" w:rsidR="00015A86" w:rsidRPr="007239A6" w:rsidRDefault="00015A86" w:rsidP="004C356D">
            <w:pPr>
              <w:spacing w:after="0" w:line="240" w:lineRule="auto"/>
              <w:jc w:val="right"/>
              <w:rPr>
                <w:color w:val="000000"/>
                <w:sz w:val="22"/>
                <w:szCs w:val="22"/>
                <w:lang w:bidi="ar-SA"/>
              </w:rPr>
            </w:pPr>
            <w:r w:rsidRPr="007239A6">
              <w:rPr>
                <w:sz w:val="20"/>
                <w:szCs w:val="20"/>
              </w:rPr>
              <w:t xml:space="preserve">102 </w:t>
            </w:r>
          </w:p>
        </w:tc>
        <w:tc>
          <w:tcPr>
            <w:tcW w:w="1769" w:type="dxa"/>
            <w:tcBorders>
              <w:top w:val="nil"/>
              <w:left w:val="nil"/>
              <w:bottom w:val="nil"/>
              <w:right w:val="nil"/>
            </w:tcBorders>
            <w:vAlign w:val="bottom"/>
          </w:tcPr>
          <w:p w14:paraId="039EF697" w14:textId="22E8EF86" w:rsidR="00015A86" w:rsidRPr="00A54231" w:rsidRDefault="00015A86" w:rsidP="004C356D">
            <w:pPr>
              <w:spacing w:after="0" w:line="240" w:lineRule="auto"/>
              <w:jc w:val="right"/>
              <w:rPr>
                <w:sz w:val="20"/>
                <w:szCs w:val="20"/>
              </w:rPr>
            </w:pPr>
            <w:r w:rsidRPr="00A54231">
              <w:rPr>
                <w:color w:val="000000"/>
                <w:sz w:val="20"/>
                <w:szCs w:val="20"/>
              </w:rPr>
              <w:t>-969.47</w:t>
            </w:r>
          </w:p>
        </w:tc>
      </w:tr>
      <w:tr w:rsidR="00015A86" w:rsidRPr="007239A6" w14:paraId="29FBC4D4" w14:textId="0466AF90" w:rsidTr="00181ACD">
        <w:trPr>
          <w:trHeight w:val="288"/>
        </w:trPr>
        <w:tc>
          <w:tcPr>
            <w:tcW w:w="1586" w:type="dxa"/>
            <w:tcBorders>
              <w:top w:val="nil"/>
              <w:left w:val="nil"/>
              <w:bottom w:val="nil"/>
              <w:right w:val="nil"/>
            </w:tcBorders>
            <w:shd w:val="clear" w:color="auto" w:fill="auto"/>
            <w:noWrap/>
            <w:vAlign w:val="bottom"/>
            <w:hideMark/>
          </w:tcPr>
          <w:p w14:paraId="7F579828"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Naugatuck</w:t>
            </w:r>
          </w:p>
        </w:tc>
        <w:tc>
          <w:tcPr>
            <w:tcW w:w="1261" w:type="dxa"/>
            <w:tcBorders>
              <w:top w:val="nil"/>
              <w:left w:val="nil"/>
              <w:bottom w:val="nil"/>
              <w:right w:val="nil"/>
            </w:tcBorders>
            <w:shd w:val="clear" w:color="auto" w:fill="auto"/>
            <w:noWrap/>
            <w:vAlign w:val="bottom"/>
          </w:tcPr>
          <w:p w14:paraId="5E753AC7" w14:textId="0BF5C5CA" w:rsidR="00015A86" w:rsidRPr="007239A6" w:rsidRDefault="00015A86" w:rsidP="004C356D">
            <w:pPr>
              <w:spacing w:after="0" w:line="240" w:lineRule="auto"/>
              <w:jc w:val="right"/>
              <w:rPr>
                <w:color w:val="000000"/>
                <w:sz w:val="22"/>
                <w:szCs w:val="22"/>
                <w:lang w:bidi="ar-SA"/>
              </w:rPr>
            </w:pPr>
            <w:r w:rsidRPr="007239A6">
              <w:rPr>
                <w:sz w:val="20"/>
                <w:szCs w:val="20"/>
              </w:rPr>
              <w:t>2,196.3</w:t>
            </w:r>
          </w:p>
        </w:tc>
        <w:tc>
          <w:tcPr>
            <w:tcW w:w="1293" w:type="dxa"/>
            <w:tcBorders>
              <w:top w:val="nil"/>
              <w:left w:val="nil"/>
              <w:bottom w:val="nil"/>
              <w:right w:val="nil"/>
            </w:tcBorders>
            <w:shd w:val="clear" w:color="auto" w:fill="auto"/>
            <w:noWrap/>
            <w:vAlign w:val="bottom"/>
          </w:tcPr>
          <w:p w14:paraId="525CD50F" w14:textId="23913EE0" w:rsidR="00015A86" w:rsidRPr="007239A6" w:rsidRDefault="00015A86" w:rsidP="004C356D">
            <w:pPr>
              <w:spacing w:after="0" w:line="240" w:lineRule="auto"/>
              <w:jc w:val="right"/>
              <w:rPr>
                <w:color w:val="000000"/>
                <w:sz w:val="22"/>
                <w:szCs w:val="22"/>
                <w:lang w:bidi="ar-SA"/>
              </w:rPr>
            </w:pPr>
            <w:r w:rsidRPr="007239A6">
              <w:rPr>
                <w:sz w:val="20"/>
                <w:szCs w:val="20"/>
              </w:rPr>
              <w:t xml:space="preserve">69 </w:t>
            </w:r>
          </w:p>
        </w:tc>
        <w:tc>
          <w:tcPr>
            <w:tcW w:w="1650" w:type="dxa"/>
            <w:tcBorders>
              <w:top w:val="nil"/>
              <w:left w:val="nil"/>
              <w:bottom w:val="nil"/>
              <w:right w:val="nil"/>
            </w:tcBorders>
            <w:shd w:val="clear" w:color="auto" w:fill="auto"/>
            <w:noWrap/>
            <w:vAlign w:val="bottom"/>
          </w:tcPr>
          <w:p w14:paraId="4E668873" w14:textId="612D015D" w:rsidR="00015A86" w:rsidRPr="007239A6" w:rsidRDefault="00015A86" w:rsidP="004C356D">
            <w:pPr>
              <w:spacing w:after="0" w:line="240" w:lineRule="auto"/>
              <w:jc w:val="right"/>
              <w:rPr>
                <w:color w:val="000000"/>
                <w:sz w:val="22"/>
                <w:szCs w:val="22"/>
                <w:lang w:bidi="ar-SA"/>
              </w:rPr>
            </w:pPr>
            <w:r w:rsidRPr="007239A6">
              <w:rPr>
                <w:sz w:val="20"/>
                <w:szCs w:val="20"/>
              </w:rPr>
              <w:t>2494.8</w:t>
            </w:r>
          </w:p>
        </w:tc>
        <w:tc>
          <w:tcPr>
            <w:tcW w:w="1289" w:type="dxa"/>
            <w:tcBorders>
              <w:top w:val="nil"/>
              <w:left w:val="nil"/>
              <w:bottom w:val="nil"/>
              <w:right w:val="nil"/>
            </w:tcBorders>
            <w:shd w:val="clear" w:color="auto" w:fill="auto"/>
            <w:noWrap/>
            <w:vAlign w:val="bottom"/>
          </w:tcPr>
          <w:p w14:paraId="4E8D821D" w14:textId="5906DCF4" w:rsidR="00015A86" w:rsidRPr="007239A6" w:rsidRDefault="00015A86" w:rsidP="004C356D">
            <w:pPr>
              <w:spacing w:after="0" w:line="240" w:lineRule="auto"/>
              <w:jc w:val="right"/>
              <w:rPr>
                <w:color w:val="000000"/>
                <w:sz w:val="22"/>
                <w:szCs w:val="22"/>
                <w:lang w:bidi="ar-SA"/>
              </w:rPr>
            </w:pPr>
            <w:r w:rsidRPr="007239A6">
              <w:rPr>
                <w:sz w:val="20"/>
                <w:szCs w:val="20"/>
              </w:rPr>
              <w:t xml:space="preserve">78 </w:t>
            </w:r>
          </w:p>
        </w:tc>
        <w:tc>
          <w:tcPr>
            <w:tcW w:w="1769" w:type="dxa"/>
            <w:tcBorders>
              <w:top w:val="nil"/>
              <w:left w:val="nil"/>
              <w:bottom w:val="nil"/>
              <w:right w:val="nil"/>
            </w:tcBorders>
            <w:vAlign w:val="bottom"/>
          </w:tcPr>
          <w:p w14:paraId="625D04A8" w14:textId="08E1FE19" w:rsidR="00015A86" w:rsidRPr="00A54231" w:rsidRDefault="00015A86" w:rsidP="004C356D">
            <w:pPr>
              <w:spacing w:after="0" w:line="240" w:lineRule="auto"/>
              <w:jc w:val="right"/>
              <w:rPr>
                <w:sz w:val="20"/>
                <w:szCs w:val="20"/>
              </w:rPr>
            </w:pPr>
            <w:r w:rsidRPr="00A54231">
              <w:rPr>
                <w:color w:val="000000"/>
                <w:sz w:val="20"/>
                <w:szCs w:val="20"/>
              </w:rPr>
              <w:t>490.93</w:t>
            </w:r>
          </w:p>
        </w:tc>
      </w:tr>
      <w:tr w:rsidR="00015A86" w:rsidRPr="007239A6" w14:paraId="4C65452B" w14:textId="258887C3" w:rsidTr="00181ACD">
        <w:trPr>
          <w:trHeight w:val="288"/>
        </w:trPr>
        <w:tc>
          <w:tcPr>
            <w:tcW w:w="1586" w:type="dxa"/>
            <w:tcBorders>
              <w:top w:val="nil"/>
              <w:left w:val="nil"/>
              <w:bottom w:val="nil"/>
              <w:right w:val="nil"/>
            </w:tcBorders>
            <w:shd w:val="clear" w:color="auto" w:fill="auto"/>
            <w:noWrap/>
            <w:vAlign w:val="bottom"/>
            <w:hideMark/>
          </w:tcPr>
          <w:p w14:paraId="3ABAD088"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New Britain</w:t>
            </w:r>
          </w:p>
        </w:tc>
        <w:tc>
          <w:tcPr>
            <w:tcW w:w="1261" w:type="dxa"/>
            <w:tcBorders>
              <w:top w:val="nil"/>
              <w:left w:val="nil"/>
              <w:bottom w:val="nil"/>
              <w:right w:val="nil"/>
            </w:tcBorders>
            <w:shd w:val="clear" w:color="auto" w:fill="auto"/>
            <w:noWrap/>
            <w:vAlign w:val="bottom"/>
          </w:tcPr>
          <w:p w14:paraId="2BDED13E" w14:textId="6EB17AB8" w:rsidR="00015A86" w:rsidRPr="007239A6" w:rsidRDefault="00015A86" w:rsidP="004C356D">
            <w:pPr>
              <w:spacing w:after="0" w:line="240" w:lineRule="auto"/>
              <w:jc w:val="right"/>
              <w:rPr>
                <w:color w:val="000000"/>
                <w:sz w:val="22"/>
                <w:szCs w:val="22"/>
                <w:lang w:bidi="ar-SA"/>
              </w:rPr>
            </w:pPr>
            <w:r w:rsidRPr="007239A6">
              <w:rPr>
                <w:sz w:val="20"/>
                <w:szCs w:val="20"/>
              </w:rPr>
              <w:t>3,887.2</w:t>
            </w:r>
          </w:p>
        </w:tc>
        <w:tc>
          <w:tcPr>
            <w:tcW w:w="1293" w:type="dxa"/>
            <w:tcBorders>
              <w:top w:val="nil"/>
              <w:left w:val="nil"/>
              <w:bottom w:val="nil"/>
              <w:right w:val="nil"/>
            </w:tcBorders>
            <w:shd w:val="clear" w:color="auto" w:fill="auto"/>
            <w:noWrap/>
            <w:vAlign w:val="bottom"/>
          </w:tcPr>
          <w:p w14:paraId="1E0DF737" w14:textId="1625EDB2" w:rsidR="00015A86" w:rsidRPr="007239A6" w:rsidRDefault="00015A86" w:rsidP="004C356D">
            <w:pPr>
              <w:spacing w:after="0" w:line="240" w:lineRule="auto"/>
              <w:jc w:val="right"/>
              <w:rPr>
                <w:color w:val="000000"/>
                <w:sz w:val="22"/>
                <w:szCs w:val="22"/>
                <w:lang w:bidi="ar-SA"/>
              </w:rPr>
            </w:pPr>
            <w:r w:rsidRPr="007239A6">
              <w:rPr>
                <w:sz w:val="20"/>
                <w:szCs w:val="20"/>
              </w:rPr>
              <w:t xml:space="preserve">53 </w:t>
            </w:r>
          </w:p>
        </w:tc>
        <w:tc>
          <w:tcPr>
            <w:tcW w:w="1650" w:type="dxa"/>
            <w:tcBorders>
              <w:top w:val="nil"/>
              <w:left w:val="nil"/>
              <w:bottom w:val="nil"/>
              <w:right w:val="nil"/>
            </w:tcBorders>
            <w:shd w:val="clear" w:color="auto" w:fill="auto"/>
            <w:noWrap/>
            <w:vAlign w:val="bottom"/>
          </w:tcPr>
          <w:p w14:paraId="18D1BB98" w14:textId="169A3E28" w:rsidR="00015A86" w:rsidRPr="007239A6" w:rsidRDefault="00015A86" w:rsidP="004C356D">
            <w:pPr>
              <w:spacing w:after="0" w:line="240" w:lineRule="auto"/>
              <w:jc w:val="right"/>
              <w:rPr>
                <w:color w:val="000000"/>
                <w:sz w:val="22"/>
                <w:szCs w:val="22"/>
                <w:lang w:bidi="ar-SA"/>
              </w:rPr>
            </w:pPr>
            <w:r w:rsidRPr="007239A6">
              <w:rPr>
                <w:sz w:val="20"/>
                <w:szCs w:val="20"/>
              </w:rPr>
              <w:t>8478.3</w:t>
            </w:r>
          </w:p>
        </w:tc>
        <w:tc>
          <w:tcPr>
            <w:tcW w:w="1289" w:type="dxa"/>
            <w:tcBorders>
              <w:top w:val="nil"/>
              <w:left w:val="nil"/>
              <w:bottom w:val="nil"/>
              <w:right w:val="nil"/>
            </w:tcBorders>
            <w:shd w:val="clear" w:color="auto" w:fill="auto"/>
            <w:noWrap/>
            <w:vAlign w:val="bottom"/>
          </w:tcPr>
          <w:p w14:paraId="41167C0D" w14:textId="77576935" w:rsidR="00015A86" w:rsidRPr="007239A6" w:rsidRDefault="00015A86" w:rsidP="004C356D">
            <w:pPr>
              <w:spacing w:after="0" w:line="240" w:lineRule="auto"/>
              <w:jc w:val="right"/>
              <w:rPr>
                <w:color w:val="000000"/>
                <w:sz w:val="22"/>
                <w:szCs w:val="22"/>
                <w:lang w:bidi="ar-SA"/>
              </w:rPr>
            </w:pPr>
            <w:r w:rsidRPr="007239A6">
              <w:rPr>
                <w:sz w:val="20"/>
                <w:szCs w:val="20"/>
              </w:rPr>
              <w:t xml:space="preserve">116 </w:t>
            </w:r>
          </w:p>
        </w:tc>
        <w:tc>
          <w:tcPr>
            <w:tcW w:w="1769" w:type="dxa"/>
            <w:tcBorders>
              <w:top w:val="nil"/>
              <w:left w:val="nil"/>
              <w:bottom w:val="nil"/>
              <w:right w:val="nil"/>
            </w:tcBorders>
            <w:vAlign w:val="bottom"/>
          </w:tcPr>
          <w:p w14:paraId="2F63CE29" w14:textId="37CCB74A" w:rsidR="00015A86" w:rsidRPr="00A54231" w:rsidRDefault="00015A86" w:rsidP="004C356D">
            <w:pPr>
              <w:spacing w:after="0" w:line="240" w:lineRule="auto"/>
              <w:jc w:val="right"/>
              <w:rPr>
                <w:sz w:val="20"/>
                <w:szCs w:val="20"/>
              </w:rPr>
            </w:pPr>
            <w:r w:rsidRPr="00A54231">
              <w:rPr>
                <w:color w:val="000000"/>
                <w:sz w:val="20"/>
                <w:szCs w:val="20"/>
              </w:rPr>
              <w:t>1037.39</w:t>
            </w:r>
          </w:p>
        </w:tc>
      </w:tr>
      <w:tr w:rsidR="00015A86" w:rsidRPr="007239A6" w14:paraId="68920494" w14:textId="22E8BCD6" w:rsidTr="00181ACD">
        <w:trPr>
          <w:trHeight w:val="288"/>
        </w:trPr>
        <w:tc>
          <w:tcPr>
            <w:tcW w:w="1586" w:type="dxa"/>
            <w:tcBorders>
              <w:top w:val="nil"/>
              <w:left w:val="nil"/>
              <w:bottom w:val="nil"/>
              <w:right w:val="nil"/>
            </w:tcBorders>
            <w:shd w:val="clear" w:color="auto" w:fill="auto"/>
            <w:noWrap/>
            <w:vAlign w:val="bottom"/>
            <w:hideMark/>
          </w:tcPr>
          <w:p w14:paraId="641B59D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New Canaan</w:t>
            </w:r>
          </w:p>
        </w:tc>
        <w:tc>
          <w:tcPr>
            <w:tcW w:w="1261" w:type="dxa"/>
            <w:tcBorders>
              <w:top w:val="nil"/>
              <w:left w:val="nil"/>
              <w:bottom w:val="nil"/>
              <w:right w:val="nil"/>
            </w:tcBorders>
            <w:shd w:val="clear" w:color="auto" w:fill="auto"/>
            <w:noWrap/>
            <w:vAlign w:val="bottom"/>
          </w:tcPr>
          <w:p w14:paraId="08525112" w14:textId="29BDE8B8" w:rsidR="00015A86" w:rsidRPr="007239A6" w:rsidRDefault="00015A86" w:rsidP="004C356D">
            <w:pPr>
              <w:spacing w:after="0" w:line="240" w:lineRule="auto"/>
              <w:jc w:val="right"/>
              <w:rPr>
                <w:color w:val="000000"/>
                <w:sz w:val="22"/>
                <w:szCs w:val="22"/>
                <w:lang w:bidi="ar-SA"/>
              </w:rPr>
            </w:pPr>
            <w:r w:rsidRPr="007239A6">
              <w:rPr>
                <w:sz w:val="20"/>
                <w:szCs w:val="20"/>
              </w:rPr>
              <w:t>1,948.0</w:t>
            </w:r>
          </w:p>
        </w:tc>
        <w:tc>
          <w:tcPr>
            <w:tcW w:w="1293" w:type="dxa"/>
            <w:tcBorders>
              <w:top w:val="nil"/>
              <w:left w:val="nil"/>
              <w:bottom w:val="nil"/>
              <w:right w:val="nil"/>
            </w:tcBorders>
            <w:shd w:val="clear" w:color="auto" w:fill="auto"/>
            <w:noWrap/>
            <w:vAlign w:val="bottom"/>
          </w:tcPr>
          <w:p w14:paraId="58FCC959" w14:textId="481C82BB" w:rsidR="00015A86" w:rsidRPr="007239A6" w:rsidRDefault="00015A86" w:rsidP="004C356D">
            <w:pPr>
              <w:spacing w:after="0" w:line="240" w:lineRule="auto"/>
              <w:jc w:val="right"/>
              <w:rPr>
                <w:color w:val="000000"/>
                <w:sz w:val="22"/>
                <w:szCs w:val="22"/>
                <w:lang w:bidi="ar-SA"/>
              </w:rPr>
            </w:pPr>
            <w:r w:rsidRPr="007239A6">
              <w:rPr>
                <w:sz w:val="20"/>
                <w:szCs w:val="20"/>
              </w:rPr>
              <w:t xml:space="preserve">98 </w:t>
            </w:r>
          </w:p>
        </w:tc>
        <w:tc>
          <w:tcPr>
            <w:tcW w:w="1650" w:type="dxa"/>
            <w:tcBorders>
              <w:top w:val="nil"/>
              <w:left w:val="nil"/>
              <w:bottom w:val="nil"/>
              <w:right w:val="nil"/>
            </w:tcBorders>
            <w:shd w:val="clear" w:color="auto" w:fill="auto"/>
            <w:noWrap/>
            <w:vAlign w:val="bottom"/>
          </w:tcPr>
          <w:p w14:paraId="74C542CE" w14:textId="364F3130" w:rsidR="00015A86" w:rsidRPr="007239A6" w:rsidRDefault="00015A86" w:rsidP="004C356D">
            <w:pPr>
              <w:spacing w:after="0" w:line="240" w:lineRule="auto"/>
              <w:jc w:val="right"/>
              <w:rPr>
                <w:color w:val="000000"/>
                <w:sz w:val="22"/>
                <w:szCs w:val="22"/>
                <w:lang w:bidi="ar-SA"/>
              </w:rPr>
            </w:pPr>
            <w:r w:rsidRPr="007239A6">
              <w:rPr>
                <w:sz w:val="20"/>
                <w:szCs w:val="20"/>
              </w:rPr>
              <w:t>2891.3</w:t>
            </w:r>
          </w:p>
        </w:tc>
        <w:tc>
          <w:tcPr>
            <w:tcW w:w="1289" w:type="dxa"/>
            <w:tcBorders>
              <w:top w:val="nil"/>
              <w:left w:val="nil"/>
              <w:bottom w:val="nil"/>
              <w:right w:val="nil"/>
            </w:tcBorders>
            <w:shd w:val="clear" w:color="auto" w:fill="auto"/>
            <w:noWrap/>
            <w:vAlign w:val="bottom"/>
          </w:tcPr>
          <w:p w14:paraId="4EA0D31E" w14:textId="6F6C1E05" w:rsidR="00015A86" w:rsidRPr="007239A6" w:rsidRDefault="00015A86" w:rsidP="004C356D">
            <w:pPr>
              <w:spacing w:after="0" w:line="240" w:lineRule="auto"/>
              <w:jc w:val="right"/>
              <w:rPr>
                <w:color w:val="000000"/>
                <w:sz w:val="22"/>
                <w:szCs w:val="22"/>
                <w:lang w:bidi="ar-SA"/>
              </w:rPr>
            </w:pPr>
            <w:r w:rsidRPr="007239A6">
              <w:rPr>
                <w:sz w:val="20"/>
                <w:szCs w:val="20"/>
              </w:rPr>
              <w:t xml:space="preserve">145 </w:t>
            </w:r>
          </w:p>
        </w:tc>
        <w:tc>
          <w:tcPr>
            <w:tcW w:w="1769" w:type="dxa"/>
            <w:tcBorders>
              <w:top w:val="nil"/>
              <w:left w:val="nil"/>
              <w:bottom w:val="nil"/>
              <w:right w:val="nil"/>
            </w:tcBorders>
            <w:vAlign w:val="bottom"/>
          </w:tcPr>
          <w:p w14:paraId="21AAE5A9" w14:textId="7D14E115" w:rsidR="00015A86" w:rsidRPr="00A54231" w:rsidRDefault="00015A86" w:rsidP="004C356D">
            <w:pPr>
              <w:spacing w:after="0" w:line="240" w:lineRule="auto"/>
              <w:jc w:val="right"/>
              <w:rPr>
                <w:sz w:val="20"/>
                <w:szCs w:val="20"/>
              </w:rPr>
            </w:pPr>
            <w:r w:rsidRPr="00A54231">
              <w:rPr>
                <w:color w:val="000000"/>
                <w:sz w:val="20"/>
                <w:szCs w:val="20"/>
              </w:rPr>
              <w:t>-4006.31</w:t>
            </w:r>
          </w:p>
        </w:tc>
      </w:tr>
      <w:tr w:rsidR="00015A86" w:rsidRPr="007239A6" w14:paraId="38D6CF48" w14:textId="34394F06" w:rsidTr="00181ACD">
        <w:trPr>
          <w:trHeight w:val="288"/>
        </w:trPr>
        <w:tc>
          <w:tcPr>
            <w:tcW w:w="1586" w:type="dxa"/>
            <w:tcBorders>
              <w:top w:val="nil"/>
              <w:left w:val="nil"/>
              <w:bottom w:val="nil"/>
              <w:right w:val="nil"/>
            </w:tcBorders>
            <w:shd w:val="clear" w:color="auto" w:fill="auto"/>
            <w:noWrap/>
            <w:vAlign w:val="bottom"/>
            <w:hideMark/>
          </w:tcPr>
          <w:p w14:paraId="44C680E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New Fairfield</w:t>
            </w:r>
          </w:p>
        </w:tc>
        <w:tc>
          <w:tcPr>
            <w:tcW w:w="1261" w:type="dxa"/>
            <w:tcBorders>
              <w:top w:val="nil"/>
              <w:left w:val="nil"/>
              <w:bottom w:val="nil"/>
              <w:right w:val="nil"/>
            </w:tcBorders>
            <w:shd w:val="clear" w:color="auto" w:fill="auto"/>
            <w:noWrap/>
            <w:vAlign w:val="bottom"/>
          </w:tcPr>
          <w:p w14:paraId="0E4CD1CD" w14:textId="7595A8B1" w:rsidR="00015A86" w:rsidRPr="007239A6" w:rsidRDefault="00015A86" w:rsidP="004C356D">
            <w:pPr>
              <w:spacing w:after="0" w:line="240" w:lineRule="auto"/>
              <w:jc w:val="right"/>
              <w:rPr>
                <w:color w:val="000000"/>
                <w:sz w:val="22"/>
                <w:szCs w:val="22"/>
                <w:lang w:bidi="ar-SA"/>
              </w:rPr>
            </w:pPr>
            <w:r w:rsidRPr="007239A6">
              <w:rPr>
                <w:sz w:val="20"/>
                <w:szCs w:val="20"/>
              </w:rPr>
              <w:t>327.1</w:t>
            </w:r>
          </w:p>
        </w:tc>
        <w:tc>
          <w:tcPr>
            <w:tcW w:w="1293" w:type="dxa"/>
            <w:tcBorders>
              <w:top w:val="nil"/>
              <w:left w:val="nil"/>
              <w:bottom w:val="nil"/>
              <w:right w:val="nil"/>
            </w:tcBorders>
            <w:shd w:val="clear" w:color="auto" w:fill="auto"/>
            <w:noWrap/>
            <w:vAlign w:val="bottom"/>
          </w:tcPr>
          <w:p w14:paraId="341966D0" w14:textId="08D01B33" w:rsidR="00015A86" w:rsidRPr="007239A6" w:rsidRDefault="00015A86" w:rsidP="004C356D">
            <w:pPr>
              <w:spacing w:after="0" w:line="240" w:lineRule="auto"/>
              <w:jc w:val="right"/>
              <w:rPr>
                <w:color w:val="000000"/>
                <w:sz w:val="22"/>
                <w:szCs w:val="22"/>
                <w:lang w:bidi="ar-SA"/>
              </w:rPr>
            </w:pPr>
            <w:r w:rsidRPr="007239A6">
              <w:rPr>
                <w:sz w:val="20"/>
                <w:szCs w:val="20"/>
              </w:rPr>
              <w:t xml:space="preserve">23 </w:t>
            </w:r>
          </w:p>
        </w:tc>
        <w:tc>
          <w:tcPr>
            <w:tcW w:w="1650" w:type="dxa"/>
            <w:tcBorders>
              <w:top w:val="nil"/>
              <w:left w:val="nil"/>
              <w:bottom w:val="nil"/>
              <w:right w:val="nil"/>
            </w:tcBorders>
            <w:shd w:val="clear" w:color="auto" w:fill="auto"/>
            <w:noWrap/>
            <w:vAlign w:val="bottom"/>
          </w:tcPr>
          <w:p w14:paraId="4D89FC06" w14:textId="171EE22B" w:rsidR="00015A86" w:rsidRPr="007239A6" w:rsidRDefault="00015A86" w:rsidP="004C356D">
            <w:pPr>
              <w:spacing w:after="0" w:line="240" w:lineRule="auto"/>
              <w:jc w:val="right"/>
              <w:rPr>
                <w:color w:val="000000"/>
                <w:sz w:val="22"/>
                <w:szCs w:val="22"/>
                <w:lang w:bidi="ar-SA"/>
              </w:rPr>
            </w:pPr>
            <w:r w:rsidRPr="007239A6">
              <w:rPr>
                <w:sz w:val="20"/>
                <w:szCs w:val="20"/>
              </w:rPr>
              <w:t>1503.7</w:t>
            </w:r>
          </w:p>
        </w:tc>
        <w:tc>
          <w:tcPr>
            <w:tcW w:w="1289" w:type="dxa"/>
            <w:tcBorders>
              <w:top w:val="nil"/>
              <w:left w:val="nil"/>
              <w:bottom w:val="nil"/>
              <w:right w:val="nil"/>
            </w:tcBorders>
            <w:shd w:val="clear" w:color="auto" w:fill="auto"/>
            <w:noWrap/>
            <w:vAlign w:val="bottom"/>
          </w:tcPr>
          <w:p w14:paraId="41965071" w14:textId="21C8AB1E" w:rsidR="00015A86" w:rsidRPr="007239A6" w:rsidRDefault="00015A86" w:rsidP="004C356D">
            <w:pPr>
              <w:spacing w:after="0" w:line="240" w:lineRule="auto"/>
              <w:jc w:val="right"/>
              <w:rPr>
                <w:color w:val="000000"/>
                <w:sz w:val="22"/>
                <w:szCs w:val="22"/>
                <w:lang w:bidi="ar-SA"/>
              </w:rPr>
            </w:pPr>
            <w:r w:rsidRPr="007239A6">
              <w:rPr>
                <w:sz w:val="20"/>
                <w:szCs w:val="20"/>
              </w:rPr>
              <w:t xml:space="preserve">107 </w:t>
            </w:r>
          </w:p>
        </w:tc>
        <w:tc>
          <w:tcPr>
            <w:tcW w:w="1769" w:type="dxa"/>
            <w:tcBorders>
              <w:top w:val="nil"/>
              <w:left w:val="nil"/>
              <w:bottom w:val="nil"/>
              <w:right w:val="nil"/>
            </w:tcBorders>
            <w:vAlign w:val="bottom"/>
          </w:tcPr>
          <w:p w14:paraId="3A5FDE2E" w14:textId="52382C13" w:rsidR="00015A86" w:rsidRPr="00A54231" w:rsidRDefault="00015A86" w:rsidP="004C356D">
            <w:pPr>
              <w:spacing w:after="0" w:line="240" w:lineRule="auto"/>
              <w:jc w:val="right"/>
              <w:rPr>
                <w:sz w:val="20"/>
                <w:szCs w:val="20"/>
              </w:rPr>
            </w:pPr>
            <w:r w:rsidRPr="00A54231">
              <w:rPr>
                <w:color w:val="000000"/>
                <w:sz w:val="20"/>
                <w:szCs w:val="20"/>
              </w:rPr>
              <w:t>-449.38</w:t>
            </w:r>
          </w:p>
        </w:tc>
      </w:tr>
      <w:tr w:rsidR="00015A86" w:rsidRPr="007239A6" w14:paraId="696D9C17" w14:textId="0ADB599D" w:rsidTr="00181ACD">
        <w:trPr>
          <w:trHeight w:val="288"/>
        </w:trPr>
        <w:tc>
          <w:tcPr>
            <w:tcW w:w="1586" w:type="dxa"/>
            <w:tcBorders>
              <w:top w:val="nil"/>
              <w:left w:val="nil"/>
              <w:bottom w:val="nil"/>
              <w:right w:val="nil"/>
            </w:tcBorders>
            <w:shd w:val="clear" w:color="auto" w:fill="auto"/>
            <w:noWrap/>
            <w:vAlign w:val="bottom"/>
            <w:hideMark/>
          </w:tcPr>
          <w:p w14:paraId="23DAC1A5"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New Hartford</w:t>
            </w:r>
          </w:p>
        </w:tc>
        <w:tc>
          <w:tcPr>
            <w:tcW w:w="1261" w:type="dxa"/>
            <w:tcBorders>
              <w:top w:val="nil"/>
              <w:left w:val="nil"/>
              <w:bottom w:val="nil"/>
              <w:right w:val="nil"/>
            </w:tcBorders>
            <w:shd w:val="clear" w:color="auto" w:fill="auto"/>
            <w:noWrap/>
            <w:vAlign w:val="bottom"/>
          </w:tcPr>
          <w:p w14:paraId="1A438B2B" w14:textId="097583F1" w:rsidR="00015A86" w:rsidRPr="007239A6" w:rsidRDefault="00015A86" w:rsidP="004C356D">
            <w:pPr>
              <w:spacing w:after="0" w:line="240" w:lineRule="auto"/>
              <w:jc w:val="right"/>
              <w:rPr>
                <w:color w:val="000000"/>
                <w:sz w:val="22"/>
                <w:szCs w:val="22"/>
                <w:lang w:bidi="ar-SA"/>
              </w:rPr>
            </w:pPr>
            <w:r w:rsidRPr="007239A6">
              <w:rPr>
                <w:sz w:val="20"/>
                <w:szCs w:val="20"/>
              </w:rPr>
              <w:t>480.1</w:t>
            </w:r>
          </w:p>
        </w:tc>
        <w:tc>
          <w:tcPr>
            <w:tcW w:w="1293" w:type="dxa"/>
            <w:tcBorders>
              <w:top w:val="nil"/>
              <w:left w:val="nil"/>
              <w:bottom w:val="nil"/>
              <w:right w:val="nil"/>
            </w:tcBorders>
            <w:shd w:val="clear" w:color="auto" w:fill="auto"/>
            <w:noWrap/>
            <w:vAlign w:val="bottom"/>
          </w:tcPr>
          <w:p w14:paraId="2C3EBB40" w14:textId="32B03025" w:rsidR="00015A86" w:rsidRPr="007239A6" w:rsidRDefault="00015A86" w:rsidP="004C356D">
            <w:pPr>
              <w:spacing w:after="0" w:line="240" w:lineRule="auto"/>
              <w:jc w:val="right"/>
              <w:rPr>
                <w:color w:val="000000"/>
                <w:sz w:val="22"/>
                <w:szCs w:val="22"/>
                <w:lang w:bidi="ar-SA"/>
              </w:rPr>
            </w:pPr>
            <w:r w:rsidRPr="007239A6">
              <w:rPr>
                <w:sz w:val="20"/>
                <w:szCs w:val="20"/>
              </w:rPr>
              <w:t xml:space="preserve">69 </w:t>
            </w:r>
          </w:p>
        </w:tc>
        <w:tc>
          <w:tcPr>
            <w:tcW w:w="1650" w:type="dxa"/>
            <w:tcBorders>
              <w:top w:val="nil"/>
              <w:left w:val="nil"/>
              <w:bottom w:val="nil"/>
              <w:right w:val="nil"/>
            </w:tcBorders>
            <w:shd w:val="clear" w:color="auto" w:fill="auto"/>
            <w:noWrap/>
            <w:vAlign w:val="bottom"/>
          </w:tcPr>
          <w:p w14:paraId="7DA25CCA" w14:textId="16D75C66" w:rsidR="00015A86" w:rsidRPr="007239A6" w:rsidRDefault="00015A86" w:rsidP="004C356D">
            <w:pPr>
              <w:spacing w:after="0" w:line="240" w:lineRule="auto"/>
              <w:jc w:val="right"/>
              <w:rPr>
                <w:color w:val="000000"/>
                <w:sz w:val="22"/>
                <w:szCs w:val="22"/>
                <w:lang w:bidi="ar-SA"/>
              </w:rPr>
            </w:pPr>
            <w:r w:rsidRPr="007239A6">
              <w:rPr>
                <w:sz w:val="20"/>
                <w:szCs w:val="20"/>
              </w:rPr>
              <w:t>742.8</w:t>
            </w:r>
          </w:p>
        </w:tc>
        <w:tc>
          <w:tcPr>
            <w:tcW w:w="1289" w:type="dxa"/>
            <w:tcBorders>
              <w:top w:val="nil"/>
              <w:left w:val="nil"/>
              <w:bottom w:val="nil"/>
              <w:right w:val="nil"/>
            </w:tcBorders>
            <w:shd w:val="clear" w:color="auto" w:fill="auto"/>
            <w:noWrap/>
            <w:vAlign w:val="bottom"/>
          </w:tcPr>
          <w:p w14:paraId="58CEA9B7" w14:textId="2A5956C5" w:rsidR="00015A86" w:rsidRPr="007239A6" w:rsidRDefault="00015A86" w:rsidP="004C356D">
            <w:pPr>
              <w:spacing w:after="0" w:line="240" w:lineRule="auto"/>
              <w:jc w:val="right"/>
              <w:rPr>
                <w:color w:val="000000"/>
                <w:sz w:val="22"/>
                <w:szCs w:val="22"/>
                <w:lang w:bidi="ar-SA"/>
              </w:rPr>
            </w:pPr>
            <w:r w:rsidRPr="007239A6">
              <w:rPr>
                <w:sz w:val="20"/>
                <w:szCs w:val="20"/>
              </w:rPr>
              <w:t xml:space="preserve">107 </w:t>
            </w:r>
          </w:p>
        </w:tc>
        <w:tc>
          <w:tcPr>
            <w:tcW w:w="1769" w:type="dxa"/>
            <w:tcBorders>
              <w:top w:val="nil"/>
              <w:left w:val="nil"/>
              <w:bottom w:val="nil"/>
              <w:right w:val="nil"/>
            </w:tcBorders>
            <w:vAlign w:val="bottom"/>
          </w:tcPr>
          <w:p w14:paraId="375D348B" w14:textId="2229BACE" w:rsidR="00015A86" w:rsidRPr="00A54231" w:rsidRDefault="00015A86" w:rsidP="004C356D">
            <w:pPr>
              <w:spacing w:after="0" w:line="240" w:lineRule="auto"/>
              <w:jc w:val="right"/>
              <w:rPr>
                <w:sz w:val="20"/>
                <w:szCs w:val="20"/>
              </w:rPr>
            </w:pPr>
            <w:r w:rsidRPr="00A54231">
              <w:rPr>
                <w:color w:val="000000"/>
                <w:sz w:val="20"/>
                <w:szCs w:val="20"/>
              </w:rPr>
              <w:t>-68.37</w:t>
            </w:r>
          </w:p>
        </w:tc>
      </w:tr>
      <w:tr w:rsidR="00015A86" w:rsidRPr="007239A6" w14:paraId="328CA851" w14:textId="0DB59CC1" w:rsidTr="00181ACD">
        <w:trPr>
          <w:trHeight w:val="288"/>
        </w:trPr>
        <w:tc>
          <w:tcPr>
            <w:tcW w:w="1586" w:type="dxa"/>
            <w:tcBorders>
              <w:top w:val="nil"/>
              <w:left w:val="nil"/>
              <w:bottom w:val="nil"/>
              <w:right w:val="nil"/>
            </w:tcBorders>
            <w:shd w:val="clear" w:color="auto" w:fill="auto"/>
            <w:noWrap/>
            <w:vAlign w:val="bottom"/>
            <w:hideMark/>
          </w:tcPr>
          <w:p w14:paraId="2D0A1CD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New Haven</w:t>
            </w:r>
          </w:p>
        </w:tc>
        <w:tc>
          <w:tcPr>
            <w:tcW w:w="1261" w:type="dxa"/>
            <w:tcBorders>
              <w:top w:val="nil"/>
              <w:left w:val="nil"/>
              <w:bottom w:val="nil"/>
              <w:right w:val="nil"/>
            </w:tcBorders>
            <w:shd w:val="clear" w:color="auto" w:fill="auto"/>
            <w:noWrap/>
            <w:vAlign w:val="bottom"/>
          </w:tcPr>
          <w:p w14:paraId="78010898" w14:textId="7C536EEB" w:rsidR="00015A86" w:rsidRPr="007239A6" w:rsidRDefault="00015A86" w:rsidP="004C356D">
            <w:pPr>
              <w:spacing w:after="0" w:line="240" w:lineRule="auto"/>
              <w:jc w:val="right"/>
              <w:rPr>
                <w:color w:val="000000"/>
                <w:sz w:val="22"/>
                <w:szCs w:val="22"/>
                <w:lang w:bidi="ar-SA"/>
              </w:rPr>
            </w:pPr>
            <w:r w:rsidRPr="007239A6">
              <w:rPr>
                <w:sz w:val="20"/>
                <w:szCs w:val="20"/>
              </w:rPr>
              <w:t>19,258.1</w:t>
            </w:r>
          </w:p>
        </w:tc>
        <w:tc>
          <w:tcPr>
            <w:tcW w:w="1293" w:type="dxa"/>
            <w:tcBorders>
              <w:top w:val="nil"/>
              <w:left w:val="nil"/>
              <w:bottom w:val="nil"/>
              <w:right w:val="nil"/>
            </w:tcBorders>
            <w:shd w:val="clear" w:color="auto" w:fill="auto"/>
            <w:noWrap/>
            <w:vAlign w:val="bottom"/>
          </w:tcPr>
          <w:p w14:paraId="5AB39AAA" w14:textId="2C33D342" w:rsidR="00015A86" w:rsidRPr="007239A6" w:rsidRDefault="00015A86" w:rsidP="004C356D">
            <w:pPr>
              <w:spacing w:after="0" w:line="240" w:lineRule="auto"/>
              <w:jc w:val="right"/>
              <w:rPr>
                <w:color w:val="000000"/>
                <w:sz w:val="22"/>
                <w:szCs w:val="22"/>
                <w:lang w:bidi="ar-SA"/>
              </w:rPr>
            </w:pPr>
            <w:r w:rsidRPr="007239A6">
              <w:rPr>
                <w:sz w:val="20"/>
                <w:szCs w:val="20"/>
              </w:rPr>
              <w:t xml:space="preserve">148 </w:t>
            </w:r>
          </w:p>
        </w:tc>
        <w:tc>
          <w:tcPr>
            <w:tcW w:w="1650" w:type="dxa"/>
            <w:tcBorders>
              <w:top w:val="nil"/>
              <w:left w:val="nil"/>
              <w:bottom w:val="nil"/>
              <w:right w:val="nil"/>
            </w:tcBorders>
            <w:shd w:val="clear" w:color="auto" w:fill="auto"/>
            <w:noWrap/>
            <w:vAlign w:val="bottom"/>
          </w:tcPr>
          <w:p w14:paraId="374157E1" w14:textId="5F006130" w:rsidR="00015A86" w:rsidRPr="007239A6" w:rsidRDefault="00015A86" w:rsidP="004C356D">
            <w:pPr>
              <w:spacing w:after="0" w:line="240" w:lineRule="auto"/>
              <w:jc w:val="right"/>
              <w:rPr>
                <w:color w:val="000000"/>
                <w:sz w:val="22"/>
                <w:szCs w:val="22"/>
                <w:lang w:bidi="ar-SA"/>
              </w:rPr>
            </w:pPr>
            <w:r w:rsidRPr="007239A6">
              <w:rPr>
                <w:sz w:val="20"/>
                <w:szCs w:val="20"/>
              </w:rPr>
              <w:t>22228.1</w:t>
            </w:r>
          </w:p>
        </w:tc>
        <w:tc>
          <w:tcPr>
            <w:tcW w:w="1289" w:type="dxa"/>
            <w:tcBorders>
              <w:top w:val="nil"/>
              <w:left w:val="nil"/>
              <w:bottom w:val="nil"/>
              <w:right w:val="nil"/>
            </w:tcBorders>
            <w:shd w:val="clear" w:color="auto" w:fill="auto"/>
            <w:noWrap/>
            <w:vAlign w:val="bottom"/>
          </w:tcPr>
          <w:p w14:paraId="60D530B2" w14:textId="4062983C" w:rsidR="00015A86" w:rsidRPr="007239A6" w:rsidRDefault="00015A86" w:rsidP="004C356D">
            <w:pPr>
              <w:spacing w:after="0" w:line="240" w:lineRule="auto"/>
              <w:jc w:val="right"/>
              <w:rPr>
                <w:color w:val="000000"/>
                <w:sz w:val="22"/>
                <w:szCs w:val="22"/>
                <w:lang w:bidi="ar-SA"/>
              </w:rPr>
            </w:pPr>
            <w:r w:rsidRPr="007239A6">
              <w:rPr>
                <w:sz w:val="20"/>
                <w:szCs w:val="20"/>
              </w:rPr>
              <w:t xml:space="preserve">171 </w:t>
            </w:r>
          </w:p>
        </w:tc>
        <w:tc>
          <w:tcPr>
            <w:tcW w:w="1769" w:type="dxa"/>
            <w:tcBorders>
              <w:top w:val="nil"/>
              <w:left w:val="nil"/>
              <w:bottom w:val="nil"/>
              <w:right w:val="nil"/>
            </w:tcBorders>
            <w:vAlign w:val="bottom"/>
          </w:tcPr>
          <w:p w14:paraId="62D36F33" w14:textId="5BA1E0B8" w:rsidR="00015A86" w:rsidRPr="00A54231" w:rsidRDefault="00015A86" w:rsidP="004C356D">
            <w:pPr>
              <w:spacing w:after="0" w:line="240" w:lineRule="auto"/>
              <w:jc w:val="right"/>
              <w:rPr>
                <w:sz w:val="20"/>
                <w:szCs w:val="20"/>
              </w:rPr>
            </w:pPr>
            <w:r w:rsidRPr="00A54231">
              <w:rPr>
                <w:color w:val="000000"/>
                <w:sz w:val="20"/>
                <w:szCs w:val="20"/>
              </w:rPr>
              <w:t>1094.44</w:t>
            </w:r>
          </w:p>
        </w:tc>
      </w:tr>
      <w:tr w:rsidR="00015A86" w:rsidRPr="007239A6" w14:paraId="7EF64F51" w14:textId="645DD376" w:rsidTr="00181ACD">
        <w:trPr>
          <w:trHeight w:val="288"/>
        </w:trPr>
        <w:tc>
          <w:tcPr>
            <w:tcW w:w="1586" w:type="dxa"/>
            <w:tcBorders>
              <w:top w:val="nil"/>
              <w:left w:val="nil"/>
              <w:bottom w:val="nil"/>
              <w:right w:val="nil"/>
            </w:tcBorders>
            <w:shd w:val="clear" w:color="auto" w:fill="auto"/>
            <w:noWrap/>
            <w:vAlign w:val="bottom"/>
            <w:hideMark/>
          </w:tcPr>
          <w:p w14:paraId="59220C6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New London</w:t>
            </w:r>
          </w:p>
        </w:tc>
        <w:tc>
          <w:tcPr>
            <w:tcW w:w="1261" w:type="dxa"/>
            <w:tcBorders>
              <w:top w:val="nil"/>
              <w:left w:val="nil"/>
              <w:bottom w:val="nil"/>
              <w:right w:val="nil"/>
            </w:tcBorders>
            <w:shd w:val="clear" w:color="auto" w:fill="auto"/>
            <w:noWrap/>
            <w:vAlign w:val="bottom"/>
          </w:tcPr>
          <w:p w14:paraId="0A41E718" w14:textId="27D31A52" w:rsidR="00015A86" w:rsidRPr="007239A6" w:rsidRDefault="00015A86" w:rsidP="004C356D">
            <w:pPr>
              <w:spacing w:after="0" w:line="240" w:lineRule="auto"/>
              <w:jc w:val="right"/>
              <w:rPr>
                <w:color w:val="000000"/>
                <w:sz w:val="22"/>
                <w:szCs w:val="22"/>
                <w:lang w:bidi="ar-SA"/>
              </w:rPr>
            </w:pPr>
            <w:r w:rsidRPr="007239A6">
              <w:rPr>
                <w:sz w:val="20"/>
                <w:szCs w:val="20"/>
              </w:rPr>
              <w:t>5,903.8</w:t>
            </w:r>
          </w:p>
        </w:tc>
        <w:tc>
          <w:tcPr>
            <w:tcW w:w="1293" w:type="dxa"/>
            <w:tcBorders>
              <w:top w:val="nil"/>
              <w:left w:val="nil"/>
              <w:bottom w:val="nil"/>
              <w:right w:val="nil"/>
            </w:tcBorders>
            <w:shd w:val="clear" w:color="auto" w:fill="auto"/>
            <w:noWrap/>
            <w:vAlign w:val="bottom"/>
          </w:tcPr>
          <w:p w14:paraId="1D4B2EE1" w14:textId="5B3C6052" w:rsidR="00015A86" w:rsidRPr="007239A6" w:rsidRDefault="00015A86" w:rsidP="004C356D">
            <w:pPr>
              <w:spacing w:after="0" w:line="240" w:lineRule="auto"/>
              <w:jc w:val="right"/>
              <w:rPr>
                <w:color w:val="000000"/>
                <w:sz w:val="22"/>
                <w:szCs w:val="22"/>
                <w:lang w:bidi="ar-SA"/>
              </w:rPr>
            </w:pPr>
            <w:r w:rsidRPr="007239A6">
              <w:rPr>
                <w:sz w:val="20"/>
                <w:szCs w:val="20"/>
              </w:rPr>
              <w:t xml:space="preserve">214 </w:t>
            </w:r>
          </w:p>
        </w:tc>
        <w:tc>
          <w:tcPr>
            <w:tcW w:w="1650" w:type="dxa"/>
            <w:tcBorders>
              <w:top w:val="nil"/>
              <w:left w:val="nil"/>
              <w:bottom w:val="nil"/>
              <w:right w:val="nil"/>
            </w:tcBorders>
            <w:shd w:val="clear" w:color="auto" w:fill="auto"/>
            <w:noWrap/>
            <w:vAlign w:val="bottom"/>
          </w:tcPr>
          <w:p w14:paraId="68523930" w14:textId="2C9D47C1" w:rsidR="00015A86" w:rsidRPr="007239A6" w:rsidRDefault="00015A86" w:rsidP="004C356D">
            <w:pPr>
              <w:spacing w:after="0" w:line="240" w:lineRule="auto"/>
              <w:jc w:val="right"/>
              <w:rPr>
                <w:color w:val="000000"/>
                <w:sz w:val="22"/>
                <w:szCs w:val="22"/>
                <w:lang w:bidi="ar-SA"/>
              </w:rPr>
            </w:pPr>
            <w:r w:rsidRPr="007239A6">
              <w:rPr>
                <w:sz w:val="20"/>
                <w:szCs w:val="20"/>
              </w:rPr>
              <w:t>3489.7</w:t>
            </w:r>
          </w:p>
        </w:tc>
        <w:tc>
          <w:tcPr>
            <w:tcW w:w="1289" w:type="dxa"/>
            <w:tcBorders>
              <w:top w:val="nil"/>
              <w:left w:val="nil"/>
              <w:bottom w:val="nil"/>
              <w:right w:val="nil"/>
            </w:tcBorders>
            <w:shd w:val="clear" w:color="auto" w:fill="auto"/>
            <w:noWrap/>
            <w:vAlign w:val="bottom"/>
          </w:tcPr>
          <w:p w14:paraId="3568E345" w14:textId="21771961" w:rsidR="00015A86" w:rsidRPr="007239A6" w:rsidRDefault="00015A86" w:rsidP="004C356D">
            <w:pPr>
              <w:spacing w:after="0" w:line="240" w:lineRule="auto"/>
              <w:jc w:val="right"/>
              <w:rPr>
                <w:color w:val="000000"/>
                <w:sz w:val="22"/>
                <w:szCs w:val="22"/>
                <w:lang w:bidi="ar-SA"/>
              </w:rPr>
            </w:pPr>
            <w:r w:rsidRPr="007239A6">
              <w:rPr>
                <w:sz w:val="20"/>
                <w:szCs w:val="20"/>
              </w:rPr>
              <w:t xml:space="preserve">126 </w:t>
            </w:r>
          </w:p>
        </w:tc>
        <w:tc>
          <w:tcPr>
            <w:tcW w:w="1769" w:type="dxa"/>
            <w:tcBorders>
              <w:top w:val="nil"/>
              <w:left w:val="nil"/>
              <w:bottom w:val="nil"/>
              <w:right w:val="nil"/>
            </w:tcBorders>
            <w:vAlign w:val="bottom"/>
          </w:tcPr>
          <w:p w14:paraId="01E5EA9F" w14:textId="1192D67E" w:rsidR="00015A86" w:rsidRPr="00A54231" w:rsidRDefault="00015A86" w:rsidP="004C356D">
            <w:pPr>
              <w:spacing w:after="0" w:line="240" w:lineRule="auto"/>
              <w:jc w:val="right"/>
              <w:rPr>
                <w:sz w:val="20"/>
                <w:szCs w:val="20"/>
              </w:rPr>
            </w:pPr>
            <w:r w:rsidRPr="00A54231">
              <w:rPr>
                <w:color w:val="000000"/>
                <w:sz w:val="20"/>
                <w:szCs w:val="20"/>
              </w:rPr>
              <w:t>812.48</w:t>
            </w:r>
          </w:p>
        </w:tc>
      </w:tr>
      <w:tr w:rsidR="00015A86" w:rsidRPr="007239A6" w14:paraId="158B69A8" w14:textId="6C668830" w:rsidTr="00181ACD">
        <w:trPr>
          <w:trHeight w:val="288"/>
        </w:trPr>
        <w:tc>
          <w:tcPr>
            <w:tcW w:w="1586" w:type="dxa"/>
            <w:tcBorders>
              <w:top w:val="nil"/>
              <w:left w:val="nil"/>
              <w:bottom w:val="nil"/>
              <w:right w:val="nil"/>
            </w:tcBorders>
            <w:shd w:val="clear" w:color="auto" w:fill="auto"/>
            <w:noWrap/>
            <w:vAlign w:val="bottom"/>
            <w:hideMark/>
          </w:tcPr>
          <w:p w14:paraId="4A4DCCB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New Milford</w:t>
            </w:r>
          </w:p>
        </w:tc>
        <w:tc>
          <w:tcPr>
            <w:tcW w:w="1261" w:type="dxa"/>
            <w:tcBorders>
              <w:top w:val="nil"/>
              <w:left w:val="nil"/>
              <w:bottom w:val="nil"/>
              <w:right w:val="nil"/>
            </w:tcBorders>
            <w:shd w:val="clear" w:color="auto" w:fill="auto"/>
            <w:noWrap/>
            <w:vAlign w:val="bottom"/>
          </w:tcPr>
          <w:p w14:paraId="25B4414F" w14:textId="68A57375" w:rsidR="00015A86" w:rsidRPr="007239A6" w:rsidRDefault="00015A86" w:rsidP="004C356D">
            <w:pPr>
              <w:spacing w:after="0" w:line="240" w:lineRule="auto"/>
              <w:jc w:val="right"/>
              <w:rPr>
                <w:color w:val="000000"/>
                <w:sz w:val="22"/>
                <w:szCs w:val="22"/>
                <w:lang w:bidi="ar-SA"/>
              </w:rPr>
            </w:pPr>
            <w:r w:rsidRPr="007239A6">
              <w:rPr>
                <w:sz w:val="20"/>
                <w:szCs w:val="20"/>
              </w:rPr>
              <w:t>4,091.7</w:t>
            </w:r>
          </w:p>
        </w:tc>
        <w:tc>
          <w:tcPr>
            <w:tcW w:w="1293" w:type="dxa"/>
            <w:tcBorders>
              <w:top w:val="nil"/>
              <w:left w:val="nil"/>
              <w:bottom w:val="nil"/>
              <w:right w:val="nil"/>
            </w:tcBorders>
            <w:shd w:val="clear" w:color="auto" w:fill="auto"/>
            <w:noWrap/>
            <w:vAlign w:val="bottom"/>
          </w:tcPr>
          <w:p w14:paraId="0F3A3497" w14:textId="3647FF5C" w:rsidR="00015A86" w:rsidRPr="007239A6" w:rsidRDefault="00015A86" w:rsidP="004C356D">
            <w:pPr>
              <w:spacing w:after="0" w:line="240" w:lineRule="auto"/>
              <w:jc w:val="right"/>
              <w:rPr>
                <w:color w:val="000000"/>
                <w:sz w:val="22"/>
                <w:szCs w:val="22"/>
                <w:lang w:bidi="ar-SA"/>
              </w:rPr>
            </w:pPr>
            <w:r w:rsidRPr="007239A6">
              <w:rPr>
                <w:sz w:val="20"/>
                <w:szCs w:val="20"/>
              </w:rPr>
              <w:t xml:space="preserve">146 </w:t>
            </w:r>
          </w:p>
        </w:tc>
        <w:tc>
          <w:tcPr>
            <w:tcW w:w="1650" w:type="dxa"/>
            <w:tcBorders>
              <w:top w:val="nil"/>
              <w:left w:val="nil"/>
              <w:bottom w:val="nil"/>
              <w:right w:val="nil"/>
            </w:tcBorders>
            <w:shd w:val="clear" w:color="auto" w:fill="auto"/>
            <w:noWrap/>
            <w:vAlign w:val="bottom"/>
          </w:tcPr>
          <w:p w14:paraId="470043DF" w14:textId="28D67E5F" w:rsidR="00015A86" w:rsidRPr="007239A6" w:rsidRDefault="00015A86" w:rsidP="004C356D">
            <w:pPr>
              <w:spacing w:after="0" w:line="240" w:lineRule="auto"/>
              <w:jc w:val="right"/>
              <w:rPr>
                <w:color w:val="000000"/>
                <w:sz w:val="22"/>
                <w:szCs w:val="22"/>
                <w:lang w:bidi="ar-SA"/>
              </w:rPr>
            </w:pPr>
            <w:r w:rsidRPr="007239A6">
              <w:rPr>
                <w:sz w:val="20"/>
                <w:szCs w:val="20"/>
              </w:rPr>
              <w:t>3926.4</w:t>
            </w:r>
          </w:p>
        </w:tc>
        <w:tc>
          <w:tcPr>
            <w:tcW w:w="1289" w:type="dxa"/>
            <w:tcBorders>
              <w:top w:val="nil"/>
              <w:left w:val="nil"/>
              <w:bottom w:val="nil"/>
              <w:right w:val="nil"/>
            </w:tcBorders>
            <w:shd w:val="clear" w:color="auto" w:fill="auto"/>
            <w:noWrap/>
            <w:vAlign w:val="bottom"/>
          </w:tcPr>
          <w:p w14:paraId="703892A2" w14:textId="71156112" w:rsidR="00015A86" w:rsidRPr="007239A6" w:rsidRDefault="00015A86" w:rsidP="004C356D">
            <w:pPr>
              <w:spacing w:after="0" w:line="240" w:lineRule="auto"/>
              <w:jc w:val="right"/>
              <w:rPr>
                <w:color w:val="000000"/>
                <w:sz w:val="22"/>
                <w:szCs w:val="22"/>
                <w:lang w:bidi="ar-SA"/>
              </w:rPr>
            </w:pPr>
            <w:r w:rsidRPr="007239A6">
              <w:rPr>
                <w:sz w:val="20"/>
                <w:szCs w:val="20"/>
              </w:rPr>
              <w:t xml:space="preserve">140 </w:t>
            </w:r>
          </w:p>
        </w:tc>
        <w:tc>
          <w:tcPr>
            <w:tcW w:w="1769" w:type="dxa"/>
            <w:tcBorders>
              <w:top w:val="nil"/>
              <w:left w:val="nil"/>
              <w:bottom w:val="nil"/>
              <w:right w:val="nil"/>
            </w:tcBorders>
            <w:vAlign w:val="bottom"/>
          </w:tcPr>
          <w:p w14:paraId="3351A361" w14:textId="06C9EF56" w:rsidR="00015A86" w:rsidRPr="00A54231" w:rsidRDefault="00015A86" w:rsidP="004C356D">
            <w:pPr>
              <w:spacing w:after="0" w:line="240" w:lineRule="auto"/>
              <w:jc w:val="right"/>
              <w:rPr>
                <w:sz w:val="20"/>
                <w:szCs w:val="20"/>
              </w:rPr>
            </w:pPr>
            <w:r w:rsidRPr="00A54231">
              <w:rPr>
                <w:color w:val="000000"/>
                <w:sz w:val="20"/>
                <w:szCs w:val="20"/>
              </w:rPr>
              <w:t>-171.18</w:t>
            </w:r>
          </w:p>
        </w:tc>
      </w:tr>
      <w:tr w:rsidR="00015A86" w:rsidRPr="007239A6" w14:paraId="0CEF35A8" w14:textId="5DF5871E" w:rsidTr="00181ACD">
        <w:trPr>
          <w:trHeight w:val="288"/>
        </w:trPr>
        <w:tc>
          <w:tcPr>
            <w:tcW w:w="1586" w:type="dxa"/>
            <w:tcBorders>
              <w:top w:val="nil"/>
              <w:left w:val="nil"/>
              <w:bottom w:val="nil"/>
              <w:right w:val="nil"/>
            </w:tcBorders>
            <w:shd w:val="clear" w:color="auto" w:fill="auto"/>
            <w:noWrap/>
            <w:vAlign w:val="bottom"/>
            <w:hideMark/>
          </w:tcPr>
          <w:p w14:paraId="20610F8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Newington</w:t>
            </w:r>
          </w:p>
        </w:tc>
        <w:tc>
          <w:tcPr>
            <w:tcW w:w="1261" w:type="dxa"/>
            <w:tcBorders>
              <w:top w:val="nil"/>
              <w:left w:val="nil"/>
              <w:bottom w:val="nil"/>
              <w:right w:val="nil"/>
            </w:tcBorders>
            <w:shd w:val="clear" w:color="auto" w:fill="auto"/>
            <w:noWrap/>
            <w:vAlign w:val="bottom"/>
          </w:tcPr>
          <w:p w14:paraId="469E4C92" w14:textId="2E4B4E22" w:rsidR="00015A86" w:rsidRPr="007239A6" w:rsidRDefault="00015A86" w:rsidP="004C356D">
            <w:pPr>
              <w:spacing w:after="0" w:line="240" w:lineRule="auto"/>
              <w:jc w:val="right"/>
              <w:rPr>
                <w:color w:val="000000"/>
                <w:sz w:val="22"/>
                <w:szCs w:val="22"/>
                <w:lang w:bidi="ar-SA"/>
              </w:rPr>
            </w:pPr>
            <w:r w:rsidRPr="007239A6">
              <w:rPr>
                <w:sz w:val="20"/>
                <w:szCs w:val="20"/>
              </w:rPr>
              <w:t>2,911.4</w:t>
            </w:r>
          </w:p>
        </w:tc>
        <w:tc>
          <w:tcPr>
            <w:tcW w:w="1293" w:type="dxa"/>
            <w:tcBorders>
              <w:top w:val="nil"/>
              <w:left w:val="nil"/>
              <w:bottom w:val="nil"/>
              <w:right w:val="nil"/>
            </w:tcBorders>
            <w:shd w:val="clear" w:color="auto" w:fill="auto"/>
            <w:noWrap/>
            <w:vAlign w:val="bottom"/>
          </w:tcPr>
          <w:p w14:paraId="41EC474B" w14:textId="031C3089" w:rsidR="00015A86" w:rsidRPr="007239A6" w:rsidRDefault="00015A86" w:rsidP="004C356D">
            <w:pPr>
              <w:spacing w:after="0" w:line="240" w:lineRule="auto"/>
              <w:jc w:val="right"/>
              <w:rPr>
                <w:color w:val="000000"/>
                <w:sz w:val="22"/>
                <w:szCs w:val="22"/>
                <w:lang w:bidi="ar-SA"/>
              </w:rPr>
            </w:pPr>
            <w:r w:rsidRPr="007239A6">
              <w:rPr>
                <w:sz w:val="20"/>
                <w:szCs w:val="20"/>
              </w:rPr>
              <w:t xml:space="preserve">95 </w:t>
            </w:r>
          </w:p>
        </w:tc>
        <w:tc>
          <w:tcPr>
            <w:tcW w:w="1650" w:type="dxa"/>
            <w:tcBorders>
              <w:top w:val="nil"/>
              <w:left w:val="nil"/>
              <w:bottom w:val="nil"/>
              <w:right w:val="nil"/>
            </w:tcBorders>
            <w:shd w:val="clear" w:color="auto" w:fill="auto"/>
            <w:noWrap/>
            <w:vAlign w:val="bottom"/>
          </w:tcPr>
          <w:p w14:paraId="2077E250" w14:textId="47BAD263" w:rsidR="00015A86" w:rsidRPr="007239A6" w:rsidRDefault="00015A86" w:rsidP="004C356D">
            <w:pPr>
              <w:spacing w:after="0" w:line="240" w:lineRule="auto"/>
              <w:jc w:val="right"/>
              <w:rPr>
                <w:color w:val="000000"/>
                <w:sz w:val="22"/>
                <w:szCs w:val="22"/>
                <w:lang w:bidi="ar-SA"/>
              </w:rPr>
            </w:pPr>
            <w:r w:rsidRPr="007239A6">
              <w:rPr>
                <w:sz w:val="20"/>
                <w:szCs w:val="20"/>
              </w:rPr>
              <w:t>4485.7</w:t>
            </w:r>
          </w:p>
        </w:tc>
        <w:tc>
          <w:tcPr>
            <w:tcW w:w="1289" w:type="dxa"/>
            <w:tcBorders>
              <w:top w:val="nil"/>
              <w:left w:val="nil"/>
              <w:bottom w:val="nil"/>
              <w:right w:val="nil"/>
            </w:tcBorders>
            <w:shd w:val="clear" w:color="auto" w:fill="auto"/>
            <w:noWrap/>
            <w:vAlign w:val="bottom"/>
          </w:tcPr>
          <w:p w14:paraId="3231D747" w14:textId="5C39F0A4" w:rsidR="00015A86" w:rsidRPr="007239A6" w:rsidRDefault="00015A86" w:rsidP="004C356D">
            <w:pPr>
              <w:spacing w:after="0" w:line="240" w:lineRule="auto"/>
              <w:jc w:val="right"/>
              <w:rPr>
                <w:color w:val="000000"/>
                <w:sz w:val="22"/>
                <w:szCs w:val="22"/>
                <w:lang w:bidi="ar-SA"/>
              </w:rPr>
            </w:pPr>
            <w:r w:rsidRPr="007239A6">
              <w:rPr>
                <w:sz w:val="20"/>
                <w:szCs w:val="20"/>
              </w:rPr>
              <w:t xml:space="preserve">147 </w:t>
            </w:r>
          </w:p>
        </w:tc>
        <w:tc>
          <w:tcPr>
            <w:tcW w:w="1769" w:type="dxa"/>
            <w:tcBorders>
              <w:top w:val="nil"/>
              <w:left w:val="nil"/>
              <w:bottom w:val="nil"/>
              <w:right w:val="nil"/>
            </w:tcBorders>
            <w:vAlign w:val="bottom"/>
          </w:tcPr>
          <w:p w14:paraId="4BC0A43D" w14:textId="7A3ECEF2" w:rsidR="00015A86" w:rsidRPr="00A54231" w:rsidRDefault="00015A86" w:rsidP="004C356D">
            <w:pPr>
              <w:spacing w:after="0" w:line="240" w:lineRule="auto"/>
              <w:jc w:val="right"/>
              <w:rPr>
                <w:sz w:val="20"/>
                <w:szCs w:val="20"/>
              </w:rPr>
            </w:pPr>
            <w:r w:rsidRPr="00A54231">
              <w:rPr>
                <w:color w:val="000000"/>
                <w:sz w:val="20"/>
                <w:szCs w:val="20"/>
              </w:rPr>
              <w:t>189.93</w:t>
            </w:r>
          </w:p>
        </w:tc>
      </w:tr>
      <w:tr w:rsidR="00015A86" w:rsidRPr="007239A6" w14:paraId="48C6CDAB" w14:textId="38699AB1" w:rsidTr="00181ACD">
        <w:trPr>
          <w:trHeight w:val="288"/>
        </w:trPr>
        <w:tc>
          <w:tcPr>
            <w:tcW w:w="1586" w:type="dxa"/>
            <w:tcBorders>
              <w:top w:val="nil"/>
              <w:left w:val="nil"/>
              <w:bottom w:val="nil"/>
              <w:right w:val="nil"/>
            </w:tcBorders>
            <w:shd w:val="clear" w:color="auto" w:fill="auto"/>
            <w:noWrap/>
            <w:vAlign w:val="bottom"/>
            <w:hideMark/>
          </w:tcPr>
          <w:p w14:paraId="4FEA2EFE"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Newtown</w:t>
            </w:r>
          </w:p>
        </w:tc>
        <w:tc>
          <w:tcPr>
            <w:tcW w:w="1261" w:type="dxa"/>
            <w:tcBorders>
              <w:top w:val="nil"/>
              <w:left w:val="nil"/>
              <w:bottom w:val="nil"/>
              <w:right w:val="nil"/>
            </w:tcBorders>
            <w:shd w:val="clear" w:color="auto" w:fill="auto"/>
            <w:noWrap/>
            <w:vAlign w:val="bottom"/>
          </w:tcPr>
          <w:p w14:paraId="6619B29E" w14:textId="1A014725" w:rsidR="00015A86" w:rsidRPr="007239A6" w:rsidRDefault="00015A86" w:rsidP="004C356D">
            <w:pPr>
              <w:spacing w:after="0" w:line="240" w:lineRule="auto"/>
              <w:jc w:val="right"/>
              <w:rPr>
                <w:color w:val="000000"/>
                <w:sz w:val="22"/>
                <w:szCs w:val="22"/>
                <w:lang w:bidi="ar-SA"/>
              </w:rPr>
            </w:pPr>
            <w:r w:rsidRPr="007239A6">
              <w:rPr>
                <w:sz w:val="20"/>
                <w:szCs w:val="20"/>
              </w:rPr>
              <w:t>1,609.2</w:t>
            </w:r>
          </w:p>
        </w:tc>
        <w:tc>
          <w:tcPr>
            <w:tcW w:w="1293" w:type="dxa"/>
            <w:tcBorders>
              <w:top w:val="nil"/>
              <w:left w:val="nil"/>
              <w:bottom w:val="nil"/>
              <w:right w:val="nil"/>
            </w:tcBorders>
            <w:shd w:val="clear" w:color="auto" w:fill="auto"/>
            <w:noWrap/>
            <w:vAlign w:val="bottom"/>
          </w:tcPr>
          <w:p w14:paraId="02E64A44" w14:textId="6B7EAF84" w:rsidR="00015A86" w:rsidRPr="007239A6" w:rsidRDefault="00015A86" w:rsidP="004C356D">
            <w:pPr>
              <w:spacing w:after="0" w:line="240" w:lineRule="auto"/>
              <w:jc w:val="right"/>
              <w:rPr>
                <w:color w:val="000000"/>
                <w:sz w:val="22"/>
                <w:szCs w:val="22"/>
                <w:lang w:bidi="ar-SA"/>
              </w:rPr>
            </w:pPr>
            <w:r w:rsidRPr="007239A6">
              <w:rPr>
                <w:sz w:val="20"/>
                <w:szCs w:val="20"/>
              </w:rPr>
              <w:t xml:space="preserve">58 </w:t>
            </w:r>
          </w:p>
        </w:tc>
        <w:tc>
          <w:tcPr>
            <w:tcW w:w="1650" w:type="dxa"/>
            <w:tcBorders>
              <w:top w:val="nil"/>
              <w:left w:val="nil"/>
              <w:bottom w:val="nil"/>
              <w:right w:val="nil"/>
            </w:tcBorders>
            <w:shd w:val="clear" w:color="auto" w:fill="auto"/>
            <w:noWrap/>
            <w:vAlign w:val="bottom"/>
          </w:tcPr>
          <w:p w14:paraId="57BBD7A3" w14:textId="6525EB91" w:rsidR="00015A86" w:rsidRPr="007239A6" w:rsidRDefault="00015A86" w:rsidP="004C356D">
            <w:pPr>
              <w:spacing w:after="0" w:line="240" w:lineRule="auto"/>
              <w:jc w:val="right"/>
              <w:rPr>
                <w:color w:val="000000"/>
                <w:sz w:val="22"/>
                <w:szCs w:val="22"/>
                <w:lang w:bidi="ar-SA"/>
              </w:rPr>
            </w:pPr>
            <w:r w:rsidRPr="007239A6">
              <w:rPr>
                <w:sz w:val="20"/>
                <w:szCs w:val="20"/>
              </w:rPr>
              <w:t>3928.5</w:t>
            </w:r>
          </w:p>
        </w:tc>
        <w:tc>
          <w:tcPr>
            <w:tcW w:w="1289" w:type="dxa"/>
            <w:tcBorders>
              <w:top w:val="nil"/>
              <w:left w:val="nil"/>
              <w:bottom w:val="nil"/>
              <w:right w:val="nil"/>
            </w:tcBorders>
            <w:shd w:val="clear" w:color="auto" w:fill="auto"/>
            <w:noWrap/>
            <w:vAlign w:val="bottom"/>
          </w:tcPr>
          <w:p w14:paraId="5C4C6640" w14:textId="35D19C38" w:rsidR="00015A86" w:rsidRPr="007239A6" w:rsidRDefault="00015A86" w:rsidP="004C356D">
            <w:pPr>
              <w:spacing w:after="0" w:line="240" w:lineRule="auto"/>
              <w:jc w:val="right"/>
              <w:rPr>
                <w:color w:val="000000"/>
                <w:sz w:val="22"/>
                <w:szCs w:val="22"/>
                <w:lang w:bidi="ar-SA"/>
              </w:rPr>
            </w:pPr>
            <w:r w:rsidRPr="007239A6">
              <w:rPr>
                <w:sz w:val="20"/>
                <w:szCs w:val="20"/>
              </w:rPr>
              <w:t xml:space="preserve">141 </w:t>
            </w:r>
          </w:p>
        </w:tc>
        <w:tc>
          <w:tcPr>
            <w:tcW w:w="1769" w:type="dxa"/>
            <w:tcBorders>
              <w:top w:val="nil"/>
              <w:left w:val="nil"/>
              <w:bottom w:val="nil"/>
              <w:right w:val="nil"/>
            </w:tcBorders>
            <w:vAlign w:val="bottom"/>
          </w:tcPr>
          <w:p w14:paraId="776A2A30" w14:textId="5494E3C0" w:rsidR="00015A86" w:rsidRPr="00A54231" w:rsidRDefault="00015A86" w:rsidP="004C356D">
            <w:pPr>
              <w:spacing w:after="0" w:line="240" w:lineRule="auto"/>
              <w:jc w:val="right"/>
              <w:rPr>
                <w:sz w:val="20"/>
                <w:szCs w:val="20"/>
              </w:rPr>
            </w:pPr>
            <w:r w:rsidRPr="00A54231">
              <w:rPr>
                <w:color w:val="000000"/>
                <w:sz w:val="20"/>
                <w:szCs w:val="20"/>
              </w:rPr>
              <w:t>-388.45</w:t>
            </w:r>
          </w:p>
        </w:tc>
      </w:tr>
      <w:tr w:rsidR="00015A86" w:rsidRPr="007239A6" w14:paraId="071B2F9A" w14:textId="3EE16D1F" w:rsidTr="00181ACD">
        <w:trPr>
          <w:trHeight w:val="288"/>
        </w:trPr>
        <w:tc>
          <w:tcPr>
            <w:tcW w:w="1586" w:type="dxa"/>
            <w:tcBorders>
              <w:top w:val="nil"/>
              <w:left w:val="nil"/>
              <w:bottom w:val="nil"/>
              <w:right w:val="nil"/>
            </w:tcBorders>
            <w:shd w:val="clear" w:color="auto" w:fill="auto"/>
            <w:noWrap/>
            <w:vAlign w:val="bottom"/>
            <w:hideMark/>
          </w:tcPr>
          <w:p w14:paraId="0DCCE34E"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Norfolk</w:t>
            </w:r>
          </w:p>
        </w:tc>
        <w:tc>
          <w:tcPr>
            <w:tcW w:w="1261" w:type="dxa"/>
            <w:tcBorders>
              <w:top w:val="nil"/>
              <w:left w:val="nil"/>
              <w:bottom w:val="nil"/>
              <w:right w:val="nil"/>
            </w:tcBorders>
            <w:shd w:val="clear" w:color="auto" w:fill="auto"/>
            <w:noWrap/>
            <w:vAlign w:val="bottom"/>
          </w:tcPr>
          <w:p w14:paraId="0838D412" w14:textId="3E131349" w:rsidR="00015A86" w:rsidRPr="007239A6" w:rsidRDefault="00015A86" w:rsidP="004C356D">
            <w:pPr>
              <w:spacing w:after="0" w:line="240" w:lineRule="auto"/>
              <w:jc w:val="right"/>
              <w:rPr>
                <w:color w:val="000000"/>
                <w:sz w:val="22"/>
                <w:szCs w:val="22"/>
                <w:lang w:bidi="ar-SA"/>
              </w:rPr>
            </w:pPr>
            <w:r w:rsidRPr="007239A6">
              <w:rPr>
                <w:sz w:val="20"/>
                <w:szCs w:val="20"/>
              </w:rPr>
              <w:t>961.2</w:t>
            </w:r>
          </w:p>
        </w:tc>
        <w:tc>
          <w:tcPr>
            <w:tcW w:w="1293" w:type="dxa"/>
            <w:tcBorders>
              <w:top w:val="nil"/>
              <w:left w:val="nil"/>
              <w:bottom w:val="nil"/>
              <w:right w:val="nil"/>
            </w:tcBorders>
            <w:shd w:val="clear" w:color="auto" w:fill="auto"/>
            <w:noWrap/>
            <w:vAlign w:val="bottom"/>
          </w:tcPr>
          <w:p w14:paraId="072C7AE1" w14:textId="76203A30" w:rsidR="00015A86" w:rsidRPr="007239A6" w:rsidRDefault="00015A86" w:rsidP="004C356D">
            <w:pPr>
              <w:spacing w:after="0" w:line="240" w:lineRule="auto"/>
              <w:jc w:val="right"/>
              <w:rPr>
                <w:color w:val="000000"/>
                <w:sz w:val="22"/>
                <w:szCs w:val="22"/>
                <w:lang w:bidi="ar-SA"/>
              </w:rPr>
            </w:pPr>
            <w:r w:rsidRPr="007239A6">
              <w:rPr>
                <w:sz w:val="20"/>
                <w:szCs w:val="20"/>
              </w:rPr>
              <w:t xml:space="preserve">642 </w:t>
            </w:r>
          </w:p>
        </w:tc>
        <w:tc>
          <w:tcPr>
            <w:tcW w:w="1650" w:type="dxa"/>
            <w:tcBorders>
              <w:top w:val="nil"/>
              <w:left w:val="nil"/>
              <w:bottom w:val="nil"/>
              <w:right w:val="nil"/>
            </w:tcBorders>
            <w:shd w:val="clear" w:color="auto" w:fill="auto"/>
            <w:noWrap/>
            <w:vAlign w:val="bottom"/>
          </w:tcPr>
          <w:p w14:paraId="5072B007" w14:textId="7ACAFE14" w:rsidR="00015A86" w:rsidRPr="007239A6" w:rsidRDefault="00015A86" w:rsidP="004C356D">
            <w:pPr>
              <w:spacing w:after="0" w:line="240" w:lineRule="auto"/>
              <w:jc w:val="right"/>
              <w:rPr>
                <w:color w:val="000000"/>
                <w:sz w:val="22"/>
                <w:szCs w:val="22"/>
                <w:lang w:bidi="ar-SA"/>
              </w:rPr>
            </w:pPr>
            <w:r w:rsidRPr="007239A6">
              <w:rPr>
                <w:sz w:val="20"/>
                <w:szCs w:val="20"/>
              </w:rPr>
              <w:t>168.7</w:t>
            </w:r>
          </w:p>
        </w:tc>
        <w:tc>
          <w:tcPr>
            <w:tcW w:w="1289" w:type="dxa"/>
            <w:tcBorders>
              <w:top w:val="nil"/>
              <w:left w:val="nil"/>
              <w:bottom w:val="nil"/>
              <w:right w:val="nil"/>
            </w:tcBorders>
            <w:shd w:val="clear" w:color="auto" w:fill="auto"/>
            <w:noWrap/>
            <w:vAlign w:val="bottom"/>
          </w:tcPr>
          <w:p w14:paraId="5AD7CF6A" w14:textId="4562E59D" w:rsidR="00015A86" w:rsidRPr="007239A6" w:rsidRDefault="00015A86" w:rsidP="004C356D">
            <w:pPr>
              <w:spacing w:after="0" w:line="240" w:lineRule="auto"/>
              <w:jc w:val="right"/>
              <w:rPr>
                <w:color w:val="000000"/>
                <w:sz w:val="22"/>
                <w:szCs w:val="22"/>
                <w:lang w:bidi="ar-SA"/>
              </w:rPr>
            </w:pPr>
            <w:r w:rsidRPr="007239A6">
              <w:rPr>
                <w:sz w:val="20"/>
                <w:szCs w:val="20"/>
              </w:rPr>
              <w:t xml:space="preserve">113 </w:t>
            </w:r>
          </w:p>
        </w:tc>
        <w:tc>
          <w:tcPr>
            <w:tcW w:w="1769" w:type="dxa"/>
            <w:tcBorders>
              <w:top w:val="nil"/>
              <w:left w:val="nil"/>
              <w:bottom w:val="nil"/>
              <w:right w:val="nil"/>
            </w:tcBorders>
            <w:vAlign w:val="bottom"/>
          </w:tcPr>
          <w:p w14:paraId="28A67027" w14:textId="5C33642B" w:rsidR="00015A86" w:rsidRPr="00A54231" w:rsidRDefault="00015A86" w:rsidP="004C356D">
            <w:pPr>
              <w:spacing w:after="0" w:line="240" w:lineRule="auto"/>
              <w:jc w:val="right"/>
              <w:rPr>
                <w:sz w:val="20"/>
                <w:szCs w:val="20"/>
              </w:rPr>
            </w:pPr>
            <w:r w:rsidRPr="00A54231">
              <w:rPr>
                <w:color w:val="000000"/>
                <w:sz w:val="20"/>
                <w:szCs w:val="20"/>
              </w:rPr>
              <w:t>-954.47</w:t>
            </w:r>
          </w:p>
        </w:tc>
      </w:tr>
      <w:tr w:rsidR="00015A86" w:rsidRPr="007239A6" w14:paraId="329BE6F8" w14:textId="14295C2A" w:rsidTr="00181ACD">
        <w:trPr>
          <w:trHeight w:val="288"/>
        </w:trPr>
        <w:tc>
          <w:tcPr>
            <w:tcW w:w="1586" w:type="dxa"/>
            <w:tcBorders>
              <w:top w:val="nil"/>
              <w:left w:val="nil"/>
              <w:bottom w:val="nil"/>
              <w:right w:val="nil"/>
            </w:tcBorders>
            <w:shd w:val="clear" w:color="auto" w:fill="auto"/>
            <w:noWrap/>
            <w:vAlign w:val="bottom"/>
            <w:hideMark/>
          </w:tcPr>
          <w:p w14:paraId="38FDCCDC"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North Branford</w:t>
            </w:r>
          </w:p>
        </w:tc>
        <w:tc>
          <w:tcPr>
            <w:tcW w:w="1261" w:type="dxa"/>
            <w:tcBorders>
              <w:top w:val="nil"/>
              <w:left w:val="nil"/>
              <w:bottom w:val="nil"/>
              <w:right w:val="nil"/>
            </w:tcBorders>
            <w:shd w:val="clear" w:color="auto" w:fill="auto"/>
            <w:noWrap/>
            <w:vAlign w:val="bottom"/>
          </w:tcPr>
          <w:p w14:paraId="7BA8EA50" w14:textId="7CD79DE0" w:rsidR="00015A86" w:rsidRPr="007239A6" w:rsidRDefault="00015A86" w:rsidP="004C356D">
            <w:pPr>
              <w:spacing w:after="0" w:line="240" w:lineRule="auto"/>
              <w:jc w:val="right"/>
              <w:rPr>
                <w:color w:val="000000"/>
                <w:sz w:val="22"/>
                <w:szCs w:val="22"/>
                <w:lang w:bidi="ar-SA"/>
              </w:rPr>
            </w:pPr>
            <w:r w:rsidRPr="007239A6">
              <w:rPr>
                <w:sz w:val="20"/>
                <w:szCs w:val="20"/>
              </w:rPr>
              <w:t>1,016.5</w:t>
            </w:r>
          </w:p>
        </w:tc>
        <w:tc>
          <w:tcPr>
            <w:tcW w:w="1293" w:type="dxa"/>
            <w:tcBorders>
              <w:top w:val="nil"/>
              <w:left w:val="nil"/>
              <w:bottom w:val="nil"/>
              <w:right w:val="nil"/>
            </w:tcBorders>
            <w:shd w:val="clear" w:color="auto" w:fill="auto"/>
            <w:noWrap/>
            <w:vAlign w:val="bottom"/>
          </w:tcPr>
          <w:p w14:paraId="1A31E977" w14:textId="4D652F1C" w:rsidR="00015A86" w:rsidRPr="007239A6" w:rsidRDefault="00015A86" w:rsidP="004C356D">
            <w:pPr>
              <w:spacing w:after="0" w:line="240" w:lineRule="auto"/>
              <w:jc w:val="right"/>
              <w:rPr>
                <w:color w:val="000000"/>
                <w:sz w:val="22"/>
                <w:szCs w:val="22"/>
                <w:lang w:bidi="ar-SA"/>
              </w:rPr>
            </w:pPr>
            <w:r w:rsidRPr="007239A6">
              <w:rPr>
                <w:sz w:val="20"/>
                <w:szCs w:val="20"/>
              </w:rPr>
              <w:t xml:space="preserve">71 </w:t>
            </w:r>
          </w:p>
        </w:tc>
        <w:tc>
          <w:tcPr>
            <w:tcW w:w="1650" w:type="dxa"/>
            <w:tcBorders>
              <w:top w:val="nil"/>
              <w:left w:val="nil"/>
              <w:bottom w:val="nil"/>
              <w:right w:val="nil"/>
            </w:tcBorders>
            <w:shd w:val="clear" w:color="auto" w:fill="auto"/>
            <w:noWrap/>
            <w:vAlign w:val="bottom"/>
          </w:tcPr>
          <w:p w14:paraId="07D62B03" w14:textId="58822E64" w:rsidR="00015A86" w:rsidRPr="007239A6" w:rsidRDefault="00015A86" w:rsidP="004C356D">
            <w:pPr>
              <w:spacing w:after="0" w:line="240" w:lineRule="auto"/>
              <w:jc w:val="right"/>
              <w:rPr>
                <w:color w:val="000000"/>
                <w:sz w:val="22"/>
                <w:szCs w:val="22"/>
                <w:lang w:bidi="ar-SA"/>
              </w:rPr>
            </w:pPr>
            <w:r w:rsidRPr="007239A6">
              <w:rPr>
                <w:sz w:val="20"/>
                <w:szCs w:val="20"/>
              </w:rPr>
              <w:t>1737.5</w:t>
            </w:r>
          </w:p>
        </w:tc>
        <w:tc>
          <w:tcPr>
            <w:tcW w:w="1289" w:type="dxa"/>
            <w:tcBorders>
              <w:top w:val="nil"/>
              <w:left w:val="nil"/>
              <w:bottom w:val="nil"/>
              <w:right w:val="nil"/>
            </w:tcBorders>
            <w:shd w:val="clear" w:color="auto" w:fill="auto"/>
            <w:noWrap/>
            <w:vAlign w:val="bottom"/>
          </w:tcPr>
          <w:p w14:paraId="3E3CCF15" w14:textId="7E0F86A2" w:rsidR="00015A86" w:rsidRPr="007239A6" w:rsidRDefault="00015A86" w:rsidP="004C356D">
            <w:pPr>
              <w:spacing w:after="0" w:line="240" w:lineRule="auto"/>
              <w:jc w:val="right"/>
              <w:rPr>
                <w:color w:val="000000"/>
                <w:sz w:val="22"/>
                <w:szCs w:val="22"/>
                <w:lang w:bidi="ar-SA"/>
              </w:rPr>
            </w:pPr>
            <w:r w:rsidRPr="007239A6">
              <w:rPr>
                <w:sz w:val="20"/>
                <w:szCs w:val="20"/>
              </w:rPr>
              <w:t xml:space="preserve">121 </w:t>
            </w:r>
          </w:p>
        </w:tc>
        <w:tc>
          <w:tcPr>
            <w:tcW w:w="1769" w:type="dxa"/>
            <w:tcBorders>
              <w:top w:val="nil"/>
              <w:left w:val="nil"/>
              <w:bottom w:val="nil"/>
              <w:right w:val="nil"/>
            </w:tcBorders>
            <w:vAlign w:val="bottom"/>
          </w:tcPr>
          <w:p w14:paraId="47B7B6F9" w14:textId="4044F9F8" w:rsidR="00015A86" w:rsidRPr="00A54231" w:rsidRDefault="00015A86" w:rsidP="004C356D">
            <w:pPr>
              <w:spacing w:after="0" w:line="240" w:lineRule="auto"/>
              <w:jc w:val="right"/>
              <w:rPr>
                <w:sz w:val="20"/>
                <w:szCs w:val="20"/>
              </w:rPr>
            </w:pPr>
            <w:r w:rsidRPr="00A54231">
              <w:rPr>
                <w:color w:val="000000"/>
                <w:sz w:val="20"/>
                <w:szCs w:val="20"/>
              </w:rPr>
              <w:t>30.89</w:t>
            </w:r>
          </w:p>
        </w:tc>
      </w:tr>
      <w:tr w:rsidR="00015A86" w:rsidRPr="007239A6" w14:paraId="64FF41BE" w14:textId="6DF345D2" w:rsidTr="00181ACD">
        <w:trPr>
          <w:trHeight w:val="288"/>
        </w:trPr>
        <w:tc>
          <w:tcPr>
            <w:tcW w:w="1586" w:type="dxa"/>
            <w:tcBorders>
              <w:top w:val="nil"/>
              <w:left w:val="nil"/>
              <w:bottom w:val="nil"/>
              <w:right w:val="nil"/>
            </w:tcBorders>
            <w:shd w:val="clear" w:color="auto" w:fill="auto"/>
            <w:noWrap/>
            <w:vAlign w:val="bottom"/>
            <w:hideMark/>
          </w:tcPr>
          <w:p w14:paraId="21F88B31"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North Canaan</w:t>
            </w:r>
          </w:p>
        </w:tc>
        <w:tc>
          <w:tcPr>
            <w:tcW w:w="1261" w:type="dxa"/>
            <w:tcBorders>
              <w:top w:val="nil"/>
              <w:left w:val="nil"/>
              <w:bottom w:val="nil"/>
              <w:right w:val="nil"/>
            </w:tcBorders>
            <w:shd w:val="clear" w:color="auto" w:fill="auto"/>
            <w:noWrap/>
            <w:vAlign w:val="bottom"/>
          </w:tcPr>
          <w:p w14:paraId="57009B22" w14:textId="76D089B7" w:rsidR="00015A86" w:rsidRPr="007239A6" w:rsidRDefault="00015A86" w:rsidP="004C356D">
            <w:pPr>
              <w:spacing w:after="0" w:line="240" w:lineRule="auto"/>
              <w:jc w:val="right"/>
              <w:rPr>
                <w:color w:val="000000"/>
                <w:sz w:val="22"/>
                <w:szCs w:val="22"/>
                <w:lang w:bidi="ar-SA"/>
              </w:rPr>
            </w:pPr>
            <w:r w:rsidRPr="007239A6">
              <w:rPr>
                <w:sz w:val="20"/>
                <w:szCs w:val="20"/>
              </w:rPr>
              <w:t>70.3</w:t>
            </w:r>
          </w:p>
        </w:tc>
        <w:tc>
          <w:tcPr>
            <w:tcW w:w="1293" w:type="dxa"/>
            <w:tcBorders>
              <w:top w:val="nil"/>
              <w:left w:val="nil"/>
              <w:bottom w:val="nil"/>
              <w:right w:val="nil"/>
            </w:tcBorders>
            <w:shd w:val="clear" w:color="auto" w:fill="auto"/>
            <w:noWrap/>
            <w:vAlign w:val="bottom"/>
          </w:tcPr>
          <w:p w14:paraId="4D4C5A5E" w14:textId="3DCD1FC3" w:rsidR="00015A86" w:rsidRPr="007239A6" w:rsidRDefault="00015A86" w:rsidP="004C356D">
            <w:pPr>
              <w:spacing w:after="0" w:line="240" w:lineRule="auto"/>
              <w:jc w:val="right"/>
              <w:rPr>
                <w:color w:val="000000"/>
                <w:sz w:val="22"/>
                <w:szCs w:val="22"/>
                <w:lang w:bidi="ar-SA"/>
              </w:rPr>
            </w:pPr>
            <w:r w:rsidRPr="007239A6">
              <w:rPr>
                <w:sz w:val="20"/>
                <w:szCs w:val="20"/>
              </w:rPr>
              <w:t xml:space="preserve">21 </w:t>
            </w:r>
          </w:p>
        </w:tc>
        <w:tc>
          <w:tcPr>
            <w:tcW w:w="1650" w:type="dxa"/>
            <w:tcBorders>
              <w:top w:val="nil"/>
              <w:left w:val="nil"/>
              <w:bottom w:val="nil"/>
              <w:right w:val="nil"/>
            </w:tcBorders>
            <w:shd w:val="clear" w:color="auto" w:fill="auto"/>
            <w:noWrap/>
            <w:vAlign w:val="bottom"/>
          </w:tcPr>
          <w:p w14:paraId="05339B06" w14:textId="153A862D" w:rsidR="00015A86" w:rsidRPr="007239A6" w:rsidRDefault="00015A86" w:rsidP="004C356D">
            <w:pPr>
              <w:spacing w:after="0" w:line="240" w:lineRule="auto"/>
              <w:jc w:val="right"/>
              <w:rPr>
                <w:color w:val="000000"/>
                <w:sz w:val="22"/>
                <w:szCs w:val="22"/>
                <w:lang w:bidi="ar-SA"/>
              </w:rPr>
            </w:pPr>
            <w:r w:rsidRPr="007239A6">
              <w:rPr>
                <w:sz w:val="20"/>
                <w:szCs w:val="20"/>
              </w:rPr>
              <w:t>591.0</w:t>
            </w:r>
          </w:p>
        </w:tc>
        <w:tc>
          <w:tcPr>
            <w:tcW w:w="1289" w:type="dxa"/>
            <w:tcBorders>
              <w:top w:val="nil"/>
              <w:left w:val="nil"/>
              <w:bottom w:val="nil"/>
              <w:right w:val="nil"/>
            </w:tcBorders>
            <w:shd w:val="clear" w:color="auto" w:fill="auto"/>
            <w:noWrap/>
            <w:vAlign w:val="bottom"/>
          </w:tcPr>
          <w:p w14:paraId="27CEE49C" w14:textId="34ACE372" w:rsidR="00015A86" w:rsidRPr="007239A6" w:rsidRDefault="00015A86" w:rsidP="004C356D">
            <w:pPr>
              <w:spacing w:after="0" w:line="240" w:lineRule="auto"/>
              <w:jc w:val="right"/>
              <w:rPr>
                <w:color w:val="000000"/>
                <w:sz w:val="22"/>
                <w:szCs w:val="22"/>
                <w:lang w:bidi="ar-SA"/>
              </w:rPr>
            </w:pPr>
            <w:r w:rsidRPr="007239A6">
              <w:rPr>
                <w:sz w:val="20"/>
                <w:szCs w:val="20"/>
              </w:rPr>
              <w:t xml:space="preserve">180 </w:t>
            </w:r>
          </w:p>
        </w:tc>
        <w:tc>
          <w:tcPr>
            <w:tcW w:w="1769" w:type="dxa"/>
            <w:tcBorders>
              <w:top w:val="nil"/>
              <w:left w:val="nil"/>
              <w:bottom w:val="nil"/>
              <w:right w:val="nil"/>
            </w:tcBorders>
            <w:vAlign w:val="bottom"/>
          </w:tcPr>
          <w:p w14:paraId="7BD8C63A" w14:textId="1203B7EA" w:rsidR="00015A86" w:rsidRPr="00A54231" w:rsidRDefault="00015A86" w:rsidP="004C356D">
            <w:pPr>
              <w:spacing w:after="0" w:line="240" w:lineRule="auto"/>
              <w:jc w:val="right"/>
              <w:rPr>
                <w:sz w:val="20"/>
                <w:szCs w:val="20"/>
              </w:rPr>
            </w:pPr>
            <w:r w:rsidRPr="00A54231">
              <w:rPr>
                <w:color w:val="000000"/>
                <w:sz w:val="20"/>
                <w:szCs w:val="20"/>
              </w:rPr>
              <w:t>-63.68</w:t>
            </w:r>
          </w:p>
        </w:tc>
      </w:tr>
      <w:tr w:rsidR="00015A86" w:rsidRPr="007239A6" w14:paraId="43DB3F51" w14:textId="46398E44" w:rsidTr="00181ACD">
        <w:trPr>
          <w:trHeight w:val="288"/>
        </w:trPr>
        <w:tc>
          <w:tcPr>
            <w:tcW w:w="1586" w:type="dxa"/>
            <w:tcBorders>
              <w:top w:val="nil"/>
              <w:left w:val="nil"/>
              <w:bottom w:val="nil"/>
              <w:right w:val="nil"/>
            </w:tcBorders>
            <w:shd w:val="clear" w:color="auto" w:fill="auto"/>
            <w:noWrap/>
            <w:vAlign w:val="bottom"/>
            <w:hideMark/>
          </w:tcPr>
          <w:p w14:paraId="2F8A0BB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North Haven</w:t>
            </w:r>
          </w:p>
        </w:tc>
        <w:tc>
          <w:tcPr>
            <w:tcW w:w="1261" w:type="dxa"/>
            <w:tcBorders>
              <w:top w:val="nil"/>
              <w:left w:val="nil"/>
              <w:bottom w:val="nil"/>
              <w:right w:val="nil"/>
            </w:tcBorders>
            <w:shd w:val="clear" w:color="auto" w:fill="auto"/>
            <w:noWrap/>
            <w:vAlign w:val="bottom"/>
          </w:tcPr>
          <w:p w14:paraId="5DF112D9" w14:textId="39402EB0" w:rsidR="00015A86" w:rsidRPr="007239A6" w:rsidRDefault="00015A86" w:rsidP="004C356D">
            <w:pPr>
              <w:spacing w:after="0" w:line="240" w:lineRule="auto"/>
              <w:jc w:val="right"/>
              <w:rPr>
                <w:color w:val="000000"/>
                <w:sz w:val="22"/>
                <w:szCs w:val="22"/>
                <w:lang w:bidi="ar-SA"/>
              </w:rPr>
            </w:pPr>
            <w:r w:rsidRPr="007239A6">
              <w:rPr>
                <w:sz w:val="20"/>
                <w:szCs w:val="20"/>
              </w:rPr>
              <w:t>5,526.2</w:t>
            </w:r>
          </w:p>
        </w:tc>
        <w:tc>
          <w:tcPr>
            <w:tcW w:w="1293" w:type="dxa"/>
            <w:tcBorders>
              <w:top w:val="nil"/>
              <w:left w:val="nil"/>
              <w:bottom w:val="nil"/>
              <w:right w:val="nil"/>
            </w:tcBorders>
            <w:shd w:val="clear" w:color="auto" w:fill="auto"/>
            <w:noWrap/>
            <w:vAlign w:val="bottom"/>
          </w:tcPr>
          <w:p w14:paraId="046CE9B9" w14:textId="01484679" w:rsidR="00015A86" w:rsidRPr="007239A6" w:rsidRDefault="00015A86" w:rsidP="004C356D">
            <w:pPr>
              <w:spacing w:after="0" w:line="240" w:lineRule="auto"/>
              <w:jc w:val="right"/>
              <w:rPr>
                <w:color w:val="000000"/>
                <w:sz w:val="22"/>
                <w:szCs w:val="22"/>
                <w:lang w:bidi="ar-SA"/>
              </w:rPr>
            </w:pPr>
            <w:r w:rsidRPr="007239A6">
              <w:rPr>
                <w:sz w:val="20"/>
                <w:szCs w:val="20"/>
              </w:rPr>
              <w:t xml:space="preserve">230 </w:t>
            </w:r>
          </w:p>
        </w:tc>
        <w:tc>
          <w:tcPr>
            <w:tcW w:w="1650" w:type="dxa"/>
            <w:tcBorders>
              <w:top w:val="nil"/>
              <w:left w:val="nil"/>
              <w:bottom w:val="nil"/>
              <w:right w:val="nil"/>
            </w:tcBorders>
            <w:shd w:val="clear" w:color="auto" w:fill="auto"/>
            <w:noWrap/>
            <w:vAlign w:val="bottom"/>
          </w:tcPr>
          <w:p w14:paraId="614F1E58" w14:textId="013A29A5" w:rsidR="00015A86" w:rsidRPr="007239A6" w:rsidRDefault="00015A86" w:rsidP="004C356D">
            <w:pPr>
              <w:spacing w:after="0" w:line="240" w:lineRule="auto"/>
              <w:jc w:val="right"/>
              <w:rPr>
                <w:color w:val="000000"/>
                <w:sz w:val="22"/>
                <w:szCs w:val="22"/>
                <w:lang w:bidi="ar-SA"/>
              </w:rPr>
            </w:pPr>
            <w:r w:rsidRPr="007239A6">
              <w:rPr>
                <w:sz w:val="20"/>
                <w:szCs w:val="20"/>
              </w:rPr>
              <w:t>4568.7</w:t>
            </w:r>
          </w:p>
        </w:tc>
        <w:tc>
          <w:tcPr>
            <w:tcW w:w="1289" w:type="dxa"/>
            <w:tcBorders>
              <w:top w:val="nil"/>
              <w:left w:val="nil"/>
              <w:bottom w:val="nil"/>
              <w:right w:val="nil"/>
            </w:tcBorders>
            <w:shd w:val="clear" w:color="auto" w:fill="auto"/>
            <w:noWrap/>
            <w:vAlign w:val="bottom"/>
          </w:tcPr>
          <w:p w14:paraId="334C0264" w14:textId="679E6A26" w:rsidR="00015A86" w:rsidRPr="007239A6" w:rsidRDefault="00015A86" w:rsidP="004C356D">
            <w:pPr>
              <w:spacing w:after="0" w:line="240" w:lineRule="auto"/>
              <w:jc w:val="right"/>
              <w:rPr>
                <w:color w:val="000000"/>
                <w:sz w:val="22"/>
                <w:szCs w:val="22"/>
                <w:lang w:bidi="ar-SA"/>
              </w:rPr>
            </w:pPr>
            <w:r w:rsidRPr="007239A6">
              <w:rPr>
                <w:sz w:val="20"/>
                <w:szCs w:val="20"/>
              </w:rPr>
              <w:t xml:space="preserve">190 </w:t>
            </w:r>
          </w:p>
        </w:tc>
        <w:tc>
          <w:tcPr>
            <w:tcW w:w="1769" w:type="dxa"/>
            <w:tcBorders>
              <w:top w:val="nil"/>
              <w:left w:val="nil"/>
              <w:bottom w:val="nil"/>
              <w:right w:val="nil"/>
            </w:tcBorders>
            <w:vAlign w:val="bottom"/>
          </w:tcPr>
          <w:p w14:paraId="6E7363A7" w14:textId="7DAB9452" w:rsidR="00015A86" w:rsidRPr="00A54231" w:rsidRDefault="00015A86" w:rsidP="004C356D">
            <w:pPr>
              <w:spacing w:after="0" w:line="240" w:lineRule="auto"/>
              <w:jc w:val="right"/>
              <w:rPr>
                <w:sz w:val="20"/>
                <w:szCs w:val="20"/>
              </w:rPr>
            </w:pPr>
            <w:r w:rsidRPr="00A54231">
              <w:rPr>
                <w:color w:val="000000"/>
                <w:sz w:val="20"/>
                <w:szCs w:val="20"/>
              </w:rPr>
              <w:t>-128.09</w:t>
            </w:r>
          </w:p>
        </w:tc>
      </w:tr>
      <w:tr w:rsidR="00015A86" w:rsidRPr="007239A6" w14:paraId="0212B7F0" w14:textId="5BC2E9F0" w:rsidTr="00181ACD">
        <w:trPr>
          <w:trHeight w:val="288"/>
        </w:trPr>
        <w:tc>
          <w:tcPr>
            <w:tcW w:w="1586" w:type="dxa"/>
            <w:tcBorders>
              <w:top w:val="nil"/>
              <w:left w:val="nil"/>
              <w:bottom w:val="nil"/>
              <w:right w:val="nil"/>
            </w:tcBorders>
            <w:shd w:val="clear" w:color="auto" w:fill="auto"/>
            <w:noWrap/>
            <w:vAlign w:val="bottom"/>
            <w:hideMark/>
          </w:tcPr>
          <w:p w14:paraId="4D18DB78"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North Stonington</w:t>
            </w:r>
          </w:p>
        </w:tc>
        <w:tc>
          <w:tcPr>
            <w:tcW w:w="1261" w:type="dxa"/>
            <w:tcBorders>
              <w:top w:val="nil"/>
              <w:left w:val="nil"/>
              <w:bottom w:val="nil"/>
              <w:right w:val="nil"/>
            </w:tcBorders>
            <w:shd w:val="clear" w:color="auto" w:fill="auto"/>
            <w:noWrap/>
            <w:vAlign w:val="bottom"/>
          </w:tcPr>
          <w:p w14:paraId="4DA86AA7" w14:textId="6E4BDD7E" w:rsidR="00015A86" w:rsidRPr="007239A6" w:rsidRDefault="00015A86" w:rsidP="004C356D">
            <w:pPr>
              <w:spacing w:after="0" w:line="240" w:lineRule="auto"/>
              <w:jc w:val="right"/>
              <w:rPr>
                <w:color w:val="000000"/>
                <w:sz w:val="22"/>
                <w:szCs w:val="22"/>
                <w:lang w:bidi="ar-SA"/>
              </w:rPr>
            </w:pPr>
            <w:r w:rsidRPr="007239A6">
              <w:rPr>
                <w:sz w:val="20"/>
                <w:szCs w:val="20"/>
              </w:rPr>
              <w:t>344.8</w:t>
            </w:r>
          </w:p>
        </w:tc>
        <w:tc>
          <w:tcPr>
            <w:tcW w:w="1293" w:type="dxa"/>
            <w:tcBorders>
              <w:top w:val="nil"/>
              <w:left w:val="nil"/>
              <w:bottom w:val="nil"/>
              <w:right w:val="nil"/>
            </w:tcBorders>
            <w:shd w:val="clear" w:color="auto" w:fill="auto"/>
            <w:noWrap/>
            <w:vAlign w:val="bottom"/>
          </w:tcPr>
          <w:p w14:paraId="51105D43" w14:textId="4CC44023" w:rsidR="00015A86" w:rsidRPr="007239A6" w:rsidRDefault="00015A86" w:rsidP="004C356D">
            <w:pPr>
              <w:spacing w:after="0" w:line="240" w:lineRule="auto"/>
              <w:jc w:val="right"/>
              <w:rPr>
                <w:color w:val="000000"/>
                <w:sz w:val="22"/>
                <w:szCs w:val="22"/>
                <w:lang w:bidi="ar-SA"/>
              </w:rPr>
            </w:pPr>
            <w:r w:rsidRPr="007239A6">
              <w:rPr>
                <w:sz w:val="20"/>
                <w:szCs w:val="20"/>
              </w:rPr>
              <w:t xml:space="preserve">65 </w:t>
            </w:r>
          </w:p>
        </w:tc>
        <w:tc>
          <w:tcPr>
            <w:tcW w:w="1650" w:type="dxa"/>
            <w:tcBorders>
              <w:top w:val="nil"/>
              <w:left w:val="nil"/>
              <w:bottom w:val="nil"/>
              <w:right w:val="nil"/>
            </w:tcBorders>
            <w:shd w:val="clear" w:color="auto" w:fill="auto"/>
            <w:noWrap/>
            <w:vAlign w:val="bottom"/>
          </w:tcPr>
          <w:p w14:paraId="7BD6AFF3" w14:textId="2F5C4262" w:rsidR="00015A86" w:rsidRPr="007239A6" w:rsidRDefault="00015A86" w:rsidP="004C356D">
            <w:pPr>
              <w:spacing w:after="0" w:line="240" w:lineRule="auto"/>
              <w:jc w:val="right"/>
              <w:rPr>
                <w:color w:val="000000"/>
                <w:sz w:val="22"/>
                <w:szCs w:val="22"/>
                <w:lang w:bidi="ar-SA"/>
              </w:rPr>
            </w:pPr>
            <w:r w:rsidRPr="007239A6">
              <w:rPr>
                <w:sz w:val="20"/>
                <w:szCs w:val="20"/>
              </w:rPr>
              <w:t>524.3</w:t>
            </w:r>
          </w:p>
        </w:tc>
        <w:tc>
          <w:tcPr>
            <w:tcW w:w="1289" w:type="dxa"/>
            <w:tcBorders>
              <w:top w:val="nil"/>
              <w:left w:val="nil"/>
              <w:bottom w:val="nil"/>
              <w:right w:val="nil"/>
            </w:tcBorders>
            <w:shd w:val="clear" w:color="auto" w:fill="auto"/>
            <w:noWrap/>
            <w:vAlign w:val="bottom"/>
          </w:tcPr>
          <w:p w14:paraId="7628EA98" w14:textId="435B168F" w:rsidR="00015A86" w:rsidRPr="007239A6" w:rsidRDefault="00015A86" w:rsidP="004C356D">
            <w:pPr>
              <w:spacing w:after="0" w:line="240" w:lineRule="auto"/>
              <w:jc w:val="right"/>
              <w:rPr>
                <w:color w:val="000000"/>
                <w:sz w:val="22"/>
                <w:szCs w:val="22"/>
                <w:lang w:bidi="ar-SA"/>
              </w:rPr>
            </w:pPr>
            <w:r w:rsidRPr="007239A6">
              <w:rPr>
                <w:sz w:val="20"/>
                <w:szCs w:val="20"/>
              </w:rPr>
              <w:t xml:space="preserve">99 </w:t>
            </w:r>
          </w:p>
        </w:tc>
        <w:tc>
          <w:tcPr>
            <w:tcW w:w="1769" w:type="dxa"/>
            <w:tcBorders>
              <w:top w:val="nil"/>
              <w:left w:val="nil"/>
              <w:bottom w:val="nil"/>
              <w:right w:val="nil"/>
            </w:tcBorders>
            <w:vAlign w:val="bottom"/>
          </w:tcPr>
          <w:p w14:paraId="06955CEC" w14:textId="7708A878" w:rsidR="00015A86" w:rsidRPr="00A54231" w:rsidRDefault="00015A86" w:rsidP="004C356D">
            <w:pPr>
              <w:spacing w:after="0" w:line="240" w:lineRule="auto"/>
              <w:jc w:val="right"/>
              <w:rPr>
                <w:sz w:val="20"/>
                <w:szCs w:val="20"/>
              </w:rPr>
            </w:pPr>
            <w:r w:rsidRPr="00A54231">
              <w:rPr>
                <w:color w:val="000000"/>
                <w:sz w:val="20"/>
                <w:szCs w:val="20"/>
              </w:rPr>
              <w:t>-256.18</w:t>
            </w:r>
          </w:p>
        </w:tc>
      </w:tr>
      <w:tr w:rsidR="00015A86" w:rsidRPr="007239A6" w14:paraId="6EA26660" w14:textId="2B1A7CE9" w:rsidTr="00181ACD">
        <w:trPr>
          <w:trHeight w:val="288"/>
        </w:trPr>
        <w:tc>
          <w:tcPr>
            <w:tcW w:w="1586" w:type="dxa"/>
            <w:tcBorders>
              <w:top w:val="nil"/>
              <w:left w:val="nil"/>
              <w:bottom w:val="nil"/>
              <w:right w:val="nil"/>
            </w:tcBorders>
            <w:shd w:val="clear" w:color="auto" w:fill="auto"/>
            <w:noWrap/>
            <w:vAlign w:val="bottom"/>
            <w:hideMark/>
          </w:tcPr>
          <w:p w14:paraId="23272ECE"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Norwalk</w:t>
            </w:r>
          </w:p>
        </w:tc>
        <w:tc>
          <w:tcPr>
            <w:tcW w:w="1261" w:type="dxa"/>
            <w:tcBorders>
              <w:top w:val="nil"/>
              <w:left w:val="nil"/>
              <w:bottom w:val="nil"/>
              <w:right w:val="nil"/>
            </w:tcBorders>
            <w:shd w:val="clear" w:color="auto" w:fill="auto"/>
            <w:noWrap/>
            <w:vAlign w:val="bottom"/>
          </w:tcPr>
          <w:p w14:paraId="313B6CA8" w14:textId="6F7D1685" w:rsidR="00015A86" w:rsidRPr="007239A6" w:rsidRDefault="00015A86" w:rsidP="004C356D">
            <w:pPr>
              <w:spacing w:after="0" w:line="240" w:lineRule="auto"/>
              <w:jc w:val="right"/>
              <w:rPr>
                <w:color w:val="000000"/>
                <w:sz w:val="22"/>
                <w:szCs w:val="22"/>
                <w:lang w:bidi="ar-SA"/>
              </w:rPr>
            </w:pPr>
            <w:r w:rsidRPr="007239A6">
              <w:rPr>
                <w:sz w:val="20"/>
                <w:szCs w:val="20"/>
              </w:rPr>
              <w:t>21,696.1</w:t>
            </w:r>
          </w:p>
        </w:tc>
        <w:tc>
          <w:tcPr>
            <w:tcW w:w="1293" w:type="dxa"/>
            <w:tcBorders>
              <w:top w:val="nil"/>
              <w:left w:val="nil"/>
              <w:bottom w:val="nil"/>
              <w:right w:val="nil"/>
            </w:tcBorders>
            <w:shd w:val="clear" w:color="auto" w:fill="auto"/>
            <w:noWrap/>
            <w:vAlign w:val="bottom"/>
          </w:tcPr>
          <w:p w14:paraId="4FC42F03" w14:textId="1FDD50B1" w:rsidR="00015A86" w:rsidRPr="007239A6" w:rsidRDefault="00015A86" w:rsidP="004C356D">
            <w:pPr>
              <w:spacing w:after="0" w:line="240" w:lineRule="auto"/>
              <w:jc w:val="right"/>
              <w:rPr>
                <w:color w:val="000000"/>
                <w:sz w:val="22"/>
                <w:szCs w:val="22"/>
                <w:lang w:bidi="ar-SA"/>
              </w:rPr>
            </w:pPr>
            <w:r w:rsidRPr="007239A6">
              <w:rPr>
                <w:sz w:val="20"/>
                <w:szCs w:val="20"/>
              </w:rPr>
              <w:t xml:space="preserve">251 </w:t>
            </w:r>
          </w:p>
        </w:tc>
        <w:tc>
          <w:tcPr>
            <w:tcW w:w="1650" w:type="dxa"/>
            <w:tcBorders>
              <w:top w:val="nil"/>
              <w:left w:val="nil"/>
              <w:bottom w:val="nil"/>
              <w:right w:val="nil"/>
            </w:tcBorders>
            <w:shd w:val="clear" w:color="auto" w:fill="auto"/>
            <w:noWrap/>
            <w:vAlign w:val="bottom"/>
          </w:tcPr>
          <w:p w14:paraId="344C78F5" w14:textId="016B8039" w:rsidR="00015A86" w:rsidRPr="007239A6" w:rsidRDefault="00015A86" w:rsidP="004C356D">
            <w:pPr>
              <w:spacing w:after="0" w:line="240" w:lineRule="auto"/>
              <w:jc w:val="right"/>
              <w:rPr>
                <w:color w:val="000000"/>
                <w:sz w:val="22"/>
                <w:szCs w:val="22"/>
                <w:lang w:bidi="ar-SA"/>
              </w:rPr>
            </w:pPr>
            <w:r w:rsidRPr="007239A6">
              <w:rPr>
                <w:sz w:val="20"/>
                <w:szCs w:val="20"/>
              </w:rPr>
              <w:t>15591.5</w:t>
            </w:r>
          </w:p>
        </w:tc>
        <w:tc>
          <w:tcPr>
            <w:tcW w:w="1289" w:type="dxa"/>
            <w:tcBorders>
              <w:top w:val="nil"/>
              <w:left w:val="nil"/>
              <w:bottom w:val="nil"/>
              <w:right w:val="nil"/>
            </w:tcBorders>
            <w:shd w:val="clear" w:color="auto" w:fill="auto"/>
            <w:noWrap/>
            <w:vAlign w:val="bottom"/>
          </w:tcPr>
          <w:p w14:paraId="74C913EF" w14:textId="187D553A" w:rsidR="00015A86" w:rsidRPr="007239A6" w:rsidRDefault="00015A86" w:rsidP="004C356D">
            <w:pPr>
              <w:spacing w:after="0" w:line="240" w:lineRule="auto"/>
              <w:jc w:val="right"/>
              <w:rPr>
                <w:color w:val="000000"/>
                <w:sz w:val="22"/>
                <w:szCs w:val="22"/>
                <w:lang w:bidi="ar-SA"/>
              </w:rPr>
            </w:pPr>
            <w:r w:rsidRPr="007239A6">
              <w:rPr>
                <w:sz w:val="20"/>
                <w:szCs w:val="20"/>
              </w:rPr>
              <w:t xml:space="preserve">180 </w:t>
            </w:r>
          </w:p>
        </w:tc>
        <w:tc>
          <w:tcPr>
            <w:tcW w:w="1769" w:type="dxa"/>
            <w:tcBorders>
              <w:top w:val="nil"/>
              <w:left w:val="nil"/>
              <w:bottom w:val="nil"/>
              <w:right w:val="nil"/>
            </w:tcBorders>
            <w:vAlign w:val="bottom"/>
          </w:tcPr>
          <w:p w14:paraId="7C4212B5" w14:textId="3CB9C684" w:rsidR="00015A86" w:rsidRPr="00A54231" w:rsidRDefault="00015A86" w:rsidP="004C356D">
            <w:pPr>
              <w:spacing w:after="0" w:line="240" w:lineRule="auto"/>
              <w:jc w:val="right"/>
              <w:rPr>
                <w:sz w:val="20"/>
                <w:szCs w:val="20"/>
              </w:rPr>
            </w:pPr>
            <w:r w:rsidRPr="00A54231">
              <w:rPr>
                <w:color w:val="000000"/>
                <w:sz w:val="20"/>
                <w:szCs w:val="20"/>
              </w:rPr>
              <w:t>-455.69</w:t>
            </w:r>
          </w:p>
        </w:tc>
      </w:tr>
      <w:tr w:rsidR="00015A86" w:rsidRPr="007239A6" w14:paraId="195EC93C" w14:textId="0DD49CD9" w:rsidTr="00181ACD">
        <w:trPr>
          <w:trHeight w:val="288"/>
        </w:trPr>
        <w:tc>
          <w:tcPr>
            <w:tcW w:w="1586" w:type="dxa"/>
            <w:tcBorders>
              <w:top w:val="nil"/>
              <w:left w:val="nil"/>
              <w:bottom w:val="nil"/>
              <w:right w:val="nil"/>
            </w:tcBorders>
            <w:shd w:val="clear" w:color="auto" w:fill="auto"/>
            <w:noWrap/>
            <w:vAlign w:val="bottom"/>
            <w:hideMark/>
          </w:tcPr>
          <w:p w14:paraId="673E5307"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Norwich</w:t>
            </w:r>
          </w:p>
        </w:tc>
        <w:tc>
          <w:tcPr>
            <w:tcW w:w="1261" w:type="dxa"/>
            <w:tcBorders>
              <w:top w:val="nil"/>
              <w:left w:val="nil"/>
              <w:bottom w:val="nil"/>
              <w:right w:val="nil"/>
            </w:tcBorders>
            <w:shd w:val="clear" w:color="auto" w:fill="auto"/>
            <w:noWrap/>
            <w:vAlign w:val="bottom"/>
          </w:tcPr>
          <w:p w14:paraId="5D0431F2" w14:textId="2CD5CDF3" w:rsidR="00015A86" w:rsidRPr="007239A6" w:rsidRDefault="00015A86" w:rsidP="004C356D">
            <w:pPr>
              <w:spacing w:after="0" w:line="240" w:lineRule="auto"/>
              <w:jc w:val="right"/>
              <w:rPr>
                <w:color w:val="000000"/>
                <w:sz w:val="22"/>
                <w:szCs w:val="22"/>
                <w:lang w:bidi="ar-SA"/>
              </w:rPr>
            </w:pPr>
            <w:r w:rsidRPr="007239A6">
              <w:rPr>
                <w:sz w:val="20"/>
                <w:szCs w:val="20"/>
              </w:rPr>
              <w:t>3,968.8</w:t>
            </w:r>
          </w:p>
        </w:tc>
        <w:tc>
          <w:tcPr>
            <w:tcW w:w="1293" w:type="dxa"/>
            <w:tcBorders>
              <w:top w:val="nil"/>
              <w:left w:val="nil"/>
              <w:bottom w:val="nil"/>
              <w:right w:val="nil"/>
            </w:tcBorders>
            <w:shd w:val="clear" w:color="auto" w:fill="auto"/>
            <w:noWrap/>
            <w:vAlign w:val="bottom"/>
          </w:tcPr>
          <w:p w14:paraId="04FCFB2B" w14:textId="086D4A4E" w:rsidR="00015A86" w:rsidRPr="007239A6" w:rsidRDefault="00015A86" w:rsidP="004C356D">
            <w:pPr>
              <w:spacing w:after="0" w:line="240" w:lineRule="auto"/>
              <w:jc w:val="right"/>
              <w:rPr>
                <w:color w:val="000000"/>
                <w:sz w:val="22"/>
                <w:szCs w:val="22"/>
                <w:lang w:bidi="ar-SA"/>
              </w:rPr>
            </w:pPr>
            <w:r w:rsidRPr="007239A6">
              <w:rPr>
                <w:sz w:val="20"/>
                <w:szCs w:val="20"/>
              </w:rPr>
              <w:t xml:space="preserve">98 </w:t>
            </w:r>
          </w:p>
        </w:tc>
        <w:tc>
          <w:tcPr>
            <w:tcW w:w="1650" w:type="dxa"/>
            <w:tcBorders>
              <w:top w:val="nil"/>
              <w:left w:val="nil"/>
              <w:bottom w:val="nil"/>
              <w:right w:val="nil"/>
            </w:tcBorders>
            <w:shd w:val="clear" w:color="auto" w:fill="auto"/>
            <w:noWrap/>
            <w:vAlign w:val="bottom"/>
          </w:tcPr>
          <w:p w14:paraId="783C4376" w14:textId="1422C8CA" w:rsidR="00015A86" w:rsidRPr="007239A6" w:rsidRDefault="00015A86" w:rsidP="004C356D">
            <w:pPr>
              <w:spacing w:after="0" w:line="240" w:lineRule="auto"/>
              <w:jc w:val="right"/>
              <w:rPr>
                <w:color w:val="000000"/>
                <w:sz w:val="22"/>
                <w:szCs w:val="22"/>
                <w:lang w:bidi="ar-SA"/>
              </w:rPr>
            </w:pPr>
            <w:r w:rsidRPr="007239A6">
              <w:rPr>
                <w:sz w:val="20"/>
                <w:szCs w:val="20"/>
              </w:rPr>
              <w:t>4675.4</w:t>
            </w:r>
          </w:p>
        </w:tc>
        <w:tc>
          <w:tcPr>
            <w:tcW w:w="1289" w:type="dxa"/>
            <w:tcBorders>
              <w:top w:val="nil"/>
              <w:left w:val="nil"/>
              <w:bottom w:val="nil"/>
              <w:right w:val="nil"/>
            </w:tcBorders>
            <w:shd w:val="clear" w:color="auto" w:fill="auto"/>
            <w:noWrap/>
            <w:vAlign w:val="bottom"/>
          </w:tcPr>
          <w:p w14:paraId="3AF4F177" w14:textId="1B3B4D6B" w:rsidR="00015A86" w:rsidRPr="007239A6" w:rsidRDefault="00015A86" w:rsidP="004C356D">
            <w:pPr>
              <w:spacing w:after="0" w:line="240" w:lineRule="auto"/>
              <w:jc w:val="right"/>
              <w:rPr>
                <w:color w:val="000000"/>
                <w:sz w:val="22"/>
                <w:szCs w:val="22"/>
                <w:lang w:bidi="ar-SA"/>
              </w:rPr>
            </w:pPr>
            <w:r w:rsidRPr="007239A6">
              <w:rPr>
                <w:sz w:val="20"/>
                <w:szCs w:val="20"/>
              </w:rPr>
              <w:t xml:space="preserve">116 </w:t>
            </w:r>
          </w:p>
        </w:tc>
        <w:tc>
          <w:tcPr>
            <w:tcW w:w="1769" w:type="dxa"/>
            <w:tcBorders>
              <w:top w:val="nil"/>
              <w:left w:val="nil"/>
              <w:bottom w:val="nil"/>
              <w:right w:val="nil"/>
            </w:tcBorders>
            <w:vAlign w:val="bottom"/>
          </w:tcPr>
          <w:p w14:paraId="67F07C5E" w14:textId="5A63EE08" w:rsidR="00015A86" w:rsidRPr="00A54231" w:rsidRDefault="00015A86" w:rsidP="004C356D">
            <w:pPr>
              <w:spacing w:after="0" w:line="240" w:lineRule="auto"/>
              <w:jc w:val="right"/>
              <w:rPr>
                <w:sz w:val="20"/>
                <w:szCs w:val="20"/>
              </w:rPr>
            </w:pPr>
            <w:r w:rsidRPr="00A54231">
              <w:rPr>
                <w:color w:val="000000"/>
                <w:sz w:val="20"/>
                <w:szCs w:val="20"/>
              </w:rPr>
              <w:t>563.88</w:t>
            </w:r>
          </w:p>
        </w:tc>
      </w:tr>
      <w:tr w:rsidR="00015A86" w:rsidRPr="007239A6" w14:paraId="05D2695A" w14:textId="0FE021E8" w:rsidTr="00181ACD">
        <w:trPr>
          <w:trHeight w:val="288"/>
        </w:trPr>
        <w:tc>
          <w:tcPr>
            <w:tcW w:w="1586" w:type="dxa"/>
            <w:tcBorders>
              <w:top w:val="nil"/>
              <w:left w:val="nil"/>
              <w:bottom w:val="nil"/>
              <w:right w:val="nil"/>
            </w:tcBorders>
            <w:shd w:val="clear" w:color="auto" w:fill="auto"/>
            <w:noWrap/>
            <w:vAlign w:val="bottom"/>
            <w:hideMark/>
          </w:tcPr>
          <w:p w14:paraId="645AC2B5"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Old Lyme</w:t>
            </w:r>
          </w:p>
        </w:tc>
        <w:tc>
          <w:tcPr>
            <w:tcW w:w="1261" w:type="dxa"/>
            <w:tcBorders>
              <w:top w:val="nil"/>
              <w:left w:val="nil"/>
              <w:bottom w:val="nil"/>
              <w:right w:val="nil"/>
            </w:tcBorders>
            <w:shd w:val="clear" w:color="auto" w:fill="auto"/>
            <w:noWrap/>
            <w:vAlign w:val="bottom"/>
          </w:tcPr>
          <w:p w14:paraId="08EC97A3" w14:textId="214AB0D5" w:rsidR="00015A86" w:rsidRPr="007239A6" w:rsidRDefault="00015A86" w:rsidP="004C356D">
            <w:pPr>
              <w:spacing w:after="0" w:line="240" w:lineRule="auto"/>
              <w:jc w:val="right"/>
              <w:rPr>
                <w:color w:val="000000"/>
                <w:sz w:val="22"/>
                <w:szCs w:val="22"/>
                <w:lang w:bidi="ar-SA"/>
              </w:rPr>
            </w:pPr>
            <w:r w:rsidRPr="007239A6">
              <w:rPr>
                <w:sz w:val="20"/>
                <w:szCs w:val="20"/>
              </w:rPr>
              <w:t>692.6</w:t>
            </w:r>
          </w:p>
        </w:tc>
        <w:tc>
          <w:tcPr>
            <w:tcW w:w="1293" w:type="dxa"/>
            <w:tcBorders>
              <w:top w:val="nil"/>
              <w:left w:val="nil"/>
              <w:bottom w:val="nil"/>
              <w:right w:val="nil"/>
            </w:tcBorders>
            <w:shd w:val="clear" w:color="auto" w:fill="auto"/>
            <w:noWrap/>
            <w:vAlign w:val="bottom"/>
          </w:tcPr>
          <w:p w14:paraId="778201AF" w14:textId="63C8480F" w:rsidR="00015A86" w:rsidRPr="007239A6" w:rsidRDefault="00015A86" w:rsidP="004C356D">
            <w:pPr>
              <w:spacing w:after="0" w:line="240" w:lineRule="auto"/>
              <w:jc w:val="right"/>
              <w:rPr>
                <w:color w:val="000000"/>
                <w:sz w:val="22"/>
                <w:szCs w:val="22"/>
                <w:lang w:bidi="ar-SA"/>
              </w:rPr>
            </w:pPr>
            <w:r w:rsidRPr="007239A6">
              <w:rPr>
                <w:sz w:val="20"/>
                <w:szCs w:val="20"/>
              </w:rPr>
              <w:t xml:space="preserve">91 </w:t>
            </w:r>
          </w:p>
        </w:tc>
        <w:tc>
          <w:tcPr>
            <w:tcW w:w="1650" w:type="dxa"/>
            <w:tcBorders>
              <w:top w:val="nil"/>
              <w:left w:val="nil"/>
              <w:bottom w:val="nil"/>
              <w:right w:val="nil"/>
            </w:tcBorders>
            <w:shd w:val="clear" w:color="auto" w:fill="auto"/>
            <w:noWrap/>
            <w:vAlign w:val="bottom"/>
          </w:tcPr>
          <w:p w14:paraId="51877CA0" w14:textId="157DA073" w:rsidR="00015A86" w:rsidRPr="007239A6" w:rsidRDefault="00015A86" w:rsidP="004C356D">
            <w:pPr>
              <w:spacing w:after="0" w:line="240" w:lineRule="auto"/>
              <w:jc w:val="right"/>
              <w:rPr>
                <w:color w:val="000000"/>
                <w:sz w:val="22"/>
                <w:szCs w:val="22"/>
                <w:lang w:bidi="ar-SA"/>
              </w:rPr>
            </w:pPr>
            <w:r w:rsidRPr="007239A6">
              <w:rPr>
                <w:sz w:val="20"/>
                <w:szCs w:val="20"/>
              </w:rPr>
              <w:t>770.1</w:t>
            </w:r>
          </w:p>
        </w:tc>
        <w:tc>
          <w:tcPr>
            <w:tcW w:w="1289" w:type="dxa"/>
            <w:tcBorders>
              <w:top w:val="nil"/>
              <w:left w:val="nil"/>
              <w:bottom w:val="nil"/>
              <w:right w:val="nil"/>
            </w:tcBorders>
            <w:shd w:val="clear" w:color="auto" w:fill="auto"/>
            <w:noWrap/>
            <w:vAlign w:val="bottom"/>
          </w:tcPr>
          <w:p w14:paraId="55C4EF40" w14:textId="4D15AFF4" w:rsidR="00015A86" w:rsidRPr="007239A6" w:rsidRDefault="00015A86" w:rsidP="004C356D">
            <w:pPr>
              <w:spacing w:after="0" w:line="240" w:lineRule="auto"/>
              <w:jc w:val="right"/>
              <w:rPr>
                <w:color w:val="000000"/>
                <w:sz w:val="22"/>
                <w:szCs w:val="22"/>
                <w:lang w:bidi="ar-SA"/>
              </w:rPr>
            </w:pPr>
            <w:r w:rsidRPr="007239A6">
              <w:rPr>
                <w:sz w:val="20"/>
                <w:szCs w:val="20"/>
              </w:rPr>
              <w:t xml:space="preserve">101 </w:t>
            </w:r>
          </w:p>
        </w:tc>
        <w:tc>
          <w:tcPr>
            <w:tcW w:w="1769" w:type="dxa"/>
            <w:tcBorders>
              <w:top w:val="nil"/>
              <w:left w:val="nil"/>
              <w:bottom w:val="nil"/>
              <w:right w:val="nil"/>
            </w:tcBorders>
            <w:vAlign w:val="bottom"/>
          </w:tcPr>
          <w:p w14:paraId="13AB7C32" w14:textId="5998E421" w:rsidR="00015A86" w:rsidRPr="00A54231" w:rsidRDefault="00015A86" w:rsidP="004C356D">
            <w:pPr>
              <w:spacing w:after="0" w:line="240" w:lineRule="auto"/>
              <w:jc w:val="right"/>
              <w:rPr>
                <w:sz w:val="20"/>
                <w:szCs w:val="20"/>
              </w:rPr>
            </w:pPr>
            <w:r w:rsidRPr="00A54231">
              <w:rPr>
                <w:color w:val="000000"/>
                <w:sz w:val="20"/>
                <w:szCs w:val="20"/>
              </w:rPr>
              <w:t>-1664.74</w:t>
            </w:r>
          </w:p>
        </w:tc>
      </w:tr>
      <w:tr w:rsidR="00015A86" w:rsidRPr="007239A6" w14:paraId="593D6FB9" w14:textId="34C85624" w:rsidTr="00181ACD">
        <w:trPr>
          <w:trHeight w:val="288"/>
        </w:trPr>
        <w:tc>
          <w:tcPr>
            <w:tcW w:w="1586" w:type="dxa"/>
            <w:tcBorders>
              <w:top w:val="nil"/>
              <w:left w:val="nil"/>
              <w:bottom w:val="nil"/>
              <w:right w:val="nil"/>
            </w:tcBorders>
            <w:shd w:val="clear" w:color="auto" w:fill="auto"/>
            <w:noWrap/>
            <w:vAlign w:val="bottom"/>
            <w:hideMark/>
          </w:tcPr>
          <w:p w14:paraId="7420686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Old Saybrook</w:t>
            </w:r>
          </w:p>
        </w:tc>
        <w:tc>
          <w:tcPr>
            <w:tcW w:w="1261" w:type="dxa"/>
            <w:tcBorders>
              <w:top w:val="nil"/>
              <w:left w:val="nil"/>
              <w:bottom w:val="nil"/>
              <w:right w:val="nil"/>
            </w:tcBorders>
            <w:shd w:val="clear" w:color="auto" w:fill="auto"/>
            <w:noWrap/>
            <w:vAlign w:val="bottom"/>
          </w:tcPr>
          <w:p w14:paraId="1A53096C" w14:textId="496E8EC8" w:rsidR="00015A86" w:rsidRPr="007239A6" w:rsidRDefault="00015A86" w:rsidP="004C356D">
            <w:pPr>
              <w:spacing w:after="0" w:line="240" w:lineRule="auto"/>
              <w:jc w:val="right"/>
              <w:rPr>
                <w:color w:val="000000"/>
                <w:sz w:val="22"/>
                <w:szCs w:val="22"/>
                <w:lang w:bidi="ar-SA"/>
              </w:rPr>
            </w:pPr>
            <w:r w:rsidRPr="007239A6">
              <w:rPr>
                <w:sz w:val="20"/>
                <w:szCs w:val="20"/>
              </w:rPr>
              <w:t>2,716.6</w:t>
            </w:r>
          </w:p>
        </w:tc>
        <w:tc>
          <w:tcPr>
            <w:tcW w:w="1293" w:type="dxa"/>
            <w:tcBorders>
              <w:top w:val="nil"/>
              <w:left w:val="nil"/>
              <w:bottom w:val="nil"/>
              <w:right w:val="nil"/>
            </w:tcBorders>
            <w:shd w:val="clear" w:color="auto" w:fill="auto"/>
            <w:noWrap/>
            <w:vAlign w:val="bottom"/>
          </w:tcPr>
          <w:p w14:paraId="7E9D3664" w14:textId="15814A5C" w:rsidR="00015A86" w:rsidRPr="007239A6" w:rsidRDefault="00015A86" w:rsidP="004C356D">
            <w:pPr>
              <w:spacing w:after="0" w:line="240" w:lineRule="auto"/>
              <w:jc w:val="right"/>
              <w:rPr>
                <w:color w:val="000000"/>
                <w:sz w:val="22"/>
                <w:szCs w:val="22"/>
                <w:lang w:bidi="ar-SA"/>
              </w:rPr>
            </w:pPr>
            <w:r w:rsidRPr="007239A6">
              <w:rPr>
                <w:sz w:val="20"/>
                <w:szCs w:val="20"/>
              </w:rPr>
              <w:t xml:space="preserve">265 </w:t>
            </w:r>
          </w:p>
        </w:tc>
        <w:tc>
          <w:tcPr>
            <w:tcW w:w="1650" w:type="dxa"/>
            <w:tcBorders>
              <w:top w:val="nil"/>
              <w:left w:val="nil"/>
              <w:bottom w:val="nil"/>
              <w:right w:val="nil"/>
            </w:tcBorders>
            <w:shd w:val="clear" w:color="auto" w:fill="auto"/>
            <w:noWrap/>
            <w:vAlign w:val="bottom"/>
          </w:tcPr>
          <w:p w14:paraId="703CA970" w14:textId="0F8125CF" w:rsidR="00015A86" w:rsidRPr="007239A6" w:rsidRDefault="00015A86" w:rsidP="004C356D">
            <w:pPr>
              <w:spacing w:after="0" w:line="240" w:lineRule="auto"/>
              <w:jc w:val="right"/>
              <w:rPr>
                <w:color w:val="000000"/>
                <w:sz w:val="22"/>
                <w:szCs w:val="22"/>
                <w:lang w:bidi="ar-SA"/>
              </w:rPr>
            </w:pPr>
            <w:r w:rsidRPr="007239A6">
              <w:rPr>
                <w:sz w:val="20"/>
                <w:szCs w:val="20"/>
              </w:rPr>
              <w:t>1394.1</w:t>
            </w:r>
          </w:p>
        </w:tc>
        <w:tc>
          <w:tcPr>
            <w:tcW w:w="1289" w:type="dxa"/>
            <w:tcBorders>
              <w:top w:val="nil"/>
              <w:left w:val="nil"/>
              <w:bottom w:val="nil"/>
              <w:right w:val="nil"/>
            </w:tcBorders>
            <w:shd w:val="clear" w:color="auto" w:fill="auto"/>
            <w:noWrap/>
            <w:vAlign w:val="bottom"/>
          </w:tcPr>
          <w:p w14:paraId="623D2B7E" w14:textId="540BF250" w:rsidR="00015A86" w:rsidRPr="007239A6" w:rsidRDefault="00015A86" w:rsidP="004C356D">
            <w:pPr>
              <w:spacing w:after="0" w:line="240" w:lineRule="auto"/>
              <w:jc w:val="right"/>
              <w:rPr>
                <w:color w:val="000000"/>
                <w:sz w:val="22"/>
                <w:szCs w:val="22"/>
                <w:lang w:bidi="ar-SA"/>
              </w:rPr>
            </w:pPr>
            <w:r w:rsidRPr="007239A6">
              <w:rPr>
                <w:sz w:val="20"/>
                <w:szCs w:val="20"/>
              </w:rPr>
              <w:t xml:space="preserve">136 </w:t>
            </w:r>
          </w:p>
        </w:tc>
        <w:tc>
          <w:tcPr>
            <w:tcW w:w="1769" w:type="dxa"/>
            <w:tcBorders>
              <w:top w:val="nil"/>
              <w:left w:val="nil"/>
              <w:bottom w:val="nil"/>
              <w:right w:val="nil"/>
            </w:tcBorders>
            <w:vAlign w:val="bottom"/>
          </w:tcPr>
          <w:p w14:paraId="29DC48E3" w14:textId="6DE74E5C" w:rsidR="00015A86" w:rsidRPr="00A54231" w:rsidRDefault="00015A86" w:rsidP="004C356D">
            <w:pPr>
              <w:spacing w:after="0" w:line="240" w:lineRule="auto"/>
              <w:jc w:val="right"/>
              <w:rPr>
                <w:sz w:val="20"/>
                <w:szCs w:val="20"/>
              </w:rPr>
            </w:pPr>
            <w:r w:rsidRPr="00A54231">
              <w:rPr>
                <w:color w:val="000000"/>
                <w:sz w:val="20"/>
                <w:szCs w:val="20"/>
              </w:rPr>
              <w:t>-1630.06</w:t>
            </w:r>
          </w:p>
        </w:tc>
      </w:tr>
      <w:tr w:rsidR="00015A86" w:rsidRPr="007239A6" w14:paraId="01CBF85A" w14:textId="02E5021D" w:rsidTr="00181ACD">
        <w:trPr>
          <w:trHeight w:val="288"/>
        </w:trPr>
        <w:tc>
          <w:tcPr>
            <w:tcW w:w="1586" w:type="dxa"/>
            <w:tcBorders>
              <w:top w:val="nil"/>
              <w:left w:val="nil"/>
              <w:bottom w:val="nil"/>
              <w:right w:val="nil"/>
            </w:tcBorders>
            <w:shd w:val="clear" w:color="auto" w:fill="auto"/>
            <w:noWrap/>
            <w:vAlign w:val="bottom"/>
            <w:hideMark/>
          </w:tcPr>
          <w:p w14:paraId="24F3F43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Orange</w:t>
            </w:r>
          </w:p>
        </w:tc>
        <w:tc>
          <w:tcPr>
            <w:tcW w:w="1261" w:type="dxa"/>
            <w:tcBorders>
              <w:top w:val="nil"/>
              <w:left w:val="nil"/>
              <w:bottom w:val="nil"/>
              <w:right w:val="nil"/>
            </w:tcBorders>
            <w:shd w:val="clear" w:color="auto" w:fill="auto"/>
            <w:noWrap/>
            <w:vAlign w:val="bottom"/>
          </w:tcPr>
          <w:p w14:paraId="3DEC7397" w14:textId="3168595C" w:rsidR="00015A86" w:rsidRPr="007239A6" w:rsidRDefault="00015A86" w:rsidP="004C356D">
            <w:pPr>
              <w:spacing w:after="0" w:line="240" w:lineRule="auto"/>
              <w:jc w:val="right"/>
              <w:rPr>
                <w:color w:val="000000"/>
                <w:sz w:val="22"/>
                <w:szCs w:val="22"/>
                <w:lang w:bidi="ar-SA"/>
              </w:rPr>
            </w:pPr>
            <w:r w:rsidRPr="007239A6">
              <w:rPr>
                <w:sz w:val="20"/>
                <w:szCs w:val="20"/>
              </w:rPr>
              <w:t>9,991.2</w:t>
            </w:r>
          </w:p>
        </w:tc>
        <w:tc>
          <w:tcPr>
            <w:tcW w:w="1293" w:type="dxa"/>
            <w:tcBorders>
              <w:top w:val="nil"/>
              <w:left w:val="nil"/>
              <w:bottom w:val="nil"/>
              <w:right w:val="nil"/>
            </w:tcBorders>
            <w:shd w:val="clear" w:color="auto" w:fill="auto"/>
            <w:noWrap/>
            <w:vAlign w:val="bottom"/>
          </w:tcPr>
          <w:p w14:paraId="331B35A2" w14:textId="1C0E55E9" w:rsidR="00015A86" w:rsidRPr="007239A6" w:rsidRDefault="00015A86" w:rsidP="004C356D">
            <w:pPr>
              <w:spacing w:after="0" w:line="240" w:lineRule="auto"/>
              <w:jc w:val="right"/>
              <w:rPr>
                <w:color w:val="000000"/>
                <w:sz w:val="22"/>
                <w:szCs w:val="22"/>
                <w:lang w:bidi="ar-SA"/>
              </w:rPr>
            </w:pPr>
            <w:r w:rsidRPr="007239A6">
              <w:rPr>
                <w:sz w:val="20"/>
                <w:szCs w:val="20"/>
              </w:rPr>
              <w:t xml:space="preserve">717 </w:t>
            </w:r>
          </w:p>
        </w:tc>
        <w:tc>
          <w:tcPr>
            <w:tcW w:w="1650" w:type="dxa"/>
            <w:tcBorders>
              <w:top w:val="nil"/>
              <w:left w:val="nil"/>
              <w:bottom w:val="nil"/>
              <w:right w:val="nil"/>
            </w:tcBorders>
            <w:shd w:val="clear" w:color="auto" w:fill="auto"/>
            <w:noWrap/>
            <w:vAlign w:val="bottom"/>
          </w:tcPr>
          <w:p w14:paraId="35E55029" w14:textId="68943B5B" w:rsidR="00015A86" w:rsidRPr="007239A6" w:rsidRDefault="00015A86" w:rsidP="004C356D">
            <w:pPr>
              <w:spacing w:after="0" w:line="240" w:lineRule="auto"/>
              <w:jc w:val="right"/>
              <w:rPr>
                <w:color w:val="000000"/>
                <w:sz w:val="22"/>
                <w:szCs w:val="22"/>
                <w:lang w:bidi="ar-SA"/>
              </w:rPr>
            </w:pPr>
            <w:r w:rsidRPr="007239A6">
              <w:rPr>
                <w:sz w:val="20"/>
                <w:szCs w:val="20"/>
              </w:rPr>
              <w:t>2580.6</w:t>
            </w:r>
          </w:p>
        </w:tc>
        <w:tc>
          <w:tcPr>
            <w:tcW w:w="1289" w:type="dxa"/>
            <w:tcBorders>
              <w:top w:val="nil"/>
              <w:left w:val="nil"/>
              <w:bottom w:val="nil"/>
              <w:right w:val="nil"/>
            </w:tcBorders>
            <w:shd w:val="clear" w:color="auto" w:fill="auto"/>
            <w:noWrap/>
            <w:vAlign w:val="bottom"/>
          </w:tcPr>
          <w:p w14:paraId="3940F33C" w14:textId="695BDC9F" w:rsidR="00015A86" w:rsidRPr="007239A6" w:rsidRDefault="00015A86" w:rsidP="004C356D">
            <w:pPr>
              <w:spacing w:after="0" w:line="240" w:lineRule="auto"/>
              <w:jc w:val="right"/>
              <w:rPr>
                <w:color w:val="000000"/>
                <w:sz w:val="22"/>
                <w:szCs w:val="22"/>
                <w:lang w:bidi="ar-SA"/>
              </w:rPr>
            </w:pPr>
            <w:r w:rsidRPr="007239A6">
              <w:rPr>
                <w:sz w:val="20"/>
                <w:szCs w:val="20"/>
              </w:rPr>
              <w:t xml:space="preserve">185 </w:t>
            </w:r>
          </w:p>
        </w:tc>
        <w:tc>
          <w:tcPr>
            <w:tcW w:w="1769" w:type="dxa"/>
            <w:tcBorders>
              <w:top w:val="nil"/>
              <w:left w:val="nil"/>
              <w:bottom w:val="nil"/>
              <w:right w:val="nil"/>
            </w:tcBorders>
            <w:vAlign w:val="bottom"/>
          </w:tcPr>
          <w:p w14:paraId="4C18EC3E" w14:textId="2EEAEEAB" w:rsidR="00015A86" w:rsidRPr="00A54231" w:rsidRDefault="00015A86" w:rsidP="004C356D">
            <w:pPr>
              <w:spacing w:after="0" w:line="240" w:lineRule="auto"/>
              <w:jc w:val="right"/>
              <w:rPr>
                <w:sz w:val="20"/>
                <w:szCs w:val="20"/>
              </w:rPr>
            </w:pPr>
            <w:r w:rsidRPr="00A54231">
              <w:rPr>
                <w:color w:val="000000"/>
                <w:sz w:val="20"/>
                <w:szCs w:val="20"/>
              </w:rPr>
              <w:t>-247.25</w:t>
            </w:r>
          </w:p>
        </w:tc>
      </w:tr>
      <w:tr w:rsidR="00015A86" w:rsidRPr="007239A6" w14:paraId="11514CE7" w14:textId="732BD6C5" w:rsidTr="00181ACD">
        <w:trPr>
          <w:trHeight w:val="288"/>
        </w:trPr>
        <w:tc>
          <w:tcPr>
            <w:tcW w:w="1586" w:type="dxa"/>
            <w:tcBorders>
              <w:top w:val="nil"/>
              <w:left w:val="nil"/>
              <w:bottom w:val="nil"/>
              <w:right w:val="nil"/>
            </w:tcBorders>
            <w:shd w:val="clear" w:color="auto" w:fill="auto"/>
            <w:noWrap/>
            <w:vAlign w:val="bottom"/>
            <w:hideMark/>
          </w:tcPr>
          <w:p w14:paraId="0903354B"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Oxford</w:t>
            </w:r>
          </w:p>
        </w:tc>
        <w:tc>
          <w:tcPr>
            <w:tcW w:w="1261" w:type="dxa"/>
            <w:tcBorders>
              <w:top w:val="nil"/>
              <w:left w:val="nil"/>
              <w:bottom w:val="nil"/>
              <w:right w:val="nil"/>
            </w:tcBorders>
            <w:shd w:val="clear" w:color="auto" w:fill="auto"/>
            <w:noWrap/>
            <w:vAlign w:val="bottom"/>
          </w:tcPr>
          <w:p w14:paraId="5B20323F" w14:textId="0B38FBF0" w:rsidR="00015A86" w:rsidRPr="007239A6" w:rsidRDefault="00015A86" w:rsidP="004C356D">
            <w:pPr>
              <w:spacing w:after="0" w:line="240" w:lineRule="auto"/>
              <w:jc w:val="right"/>
              <w:rPr>
                <w:color w:val="000000"/>
                <w:sz w:val="22"/>
                <w:szCs w:val="22"/>
                <w:lang w:bidi="ar-SA"/>
              </w:rPr>
            </w:pPr>
            <w:r w:rsidRPr="007239A6">
              <w:rPr>
                <w:sz w:val="20"/>
                <w:szCs w:val="20"/>
              </w:rPr>
              <w:t>657.2</w:t>
            </w:r>
          </w:p>
        </w:tc>
        <w:tc>
          <w:tcPr>
            <w:tcW w:w="1293" w:type="dxa"/>
            <w:tcBorders>
              <w:top w:val="nil"/>
              <w:left w:val="nil"/>
              <w:bottom w:val="nil"/>
              <w:right w:val="nil"/>
            </w:tcBorders>
            <w:shd w:val="clear" w:color="auto" w:fill="auto"/>
            <w:noWrap/>
            <w:vAlign w:val="bottom"/>
          </w:tcPr>
          <w:p w14:paraId="7D348DF7" w14:textId="6D027EBE" w:rsidR="00015A86" w:rsidRPr="007239A6" w:rsidRDefault="00015A86" w:rsidP="004C356D">
            <w:pPr>
              <w:spacing w:after="0" w:line="240" w:lineRule="auto"/>
              <w:jc w:val="right"/>
              <w:rPr>
                <w:color w:val="000000"/>
                <w:sz w:val="22"/>
                <w:szCs w:val="22"/>
                <w:lang w:bidi="ar-SA"/>
              </w:rPr>
            </w:pPr>
            <w:r w:rsidRPr="007239A6">
              <w:rPr>
                <w:sz w:val="20"/>
                <w:szCs w:val="20"/>
              </w:rPr>
              <w:t xml:space="preserve">52 </w:t>
            </w:r>
          </w:p>
        </w:tc>
        <w:tc>
          <w:tcPr>
            <w:tcW w:w="1650" w:type="dxa"/>
            <w:tcBorders>
              <w:top w:val="nil"/>
              <w:left w:val="nil"/>
              <w:bottom w:val="nil"/>
              <w:right w:val="nil"/>
            </w:tcBorders>
            <w:shd w:val="clear" w:color="auto" w:fill="auto"/>
            <w:noWrap/>
            <w:vAlign w:val="bottom"/>
          </w:tcPr>
          <w:p w14:paraId="64372DA5" w14:textId="19B60500" w:rsidR="00015A86" w:rsidRPr="007239A6" w:rsidRDefault="00015A86" w:rsidP="004C356D">
            <w:pPr>
              <w:spacing w:after="0" w:line="240" w:lineRule="auto"/>
              <w:jc w:val="right"/>
              <w:rPr>
                <w:color w:val="000000"/>
                <w:sz w:val="22"/>
                <w:szCs w:val="22"/>
                <w:lang w:bidi="ar-SA"/>
              </w:rPr>
            </w:pPr>
            <w:r w:rsidRPr="007239A6">
              <w:rPr>
                <w:sz w:val="20"/>
                <w:szCs w:val="20"/>
              </w:rPr>
              <w:t>1023.6</w:t>
            </w:r>
          </w:p>
        </w:tc>
        <w:tc>
          <w:tcPr>
            <w:tcW w:w="1289" w:type="dxa"/>
            <w:tcBorders>
              <w:top w:val="nil"/>
              <w:left w:val="nil"/>
              <w:bottom w:val="nil"/>
              <w:right w:val="nil"/>
            </w:tcBorders>
            <w:shd w:val="clear" w:color="auto" w:fill="auto"/>
            <w:noWrap/>
            <w:vAlign w:val="bottom"/>
          </w:tcPr>
          <w:p w14:paraId="33DF08F4" w14:textId="042BBFBE" w:rsidR="00015A86" w:rsidRPr="007239A6" w:rsidRDefault="00015A86" w:rsidP="004C356D">
            <w:pPr>
              <w:spacing w:after="0" w:line="240" w:lineRule="auto"/>
              <w:jc w:val="right"/>
              <w:rPr>
                <w:color w:val="000000"/>
                <w:sz w:val="22"/>
                <w:szCs w:val="22"/>
                <w:lang w:bidi="ar-SA"/>
              </w:rPr>
            </w:pPr>
            <w:r w:rsidRPr="007239A6">
              <w:rPr>
                <w:sz w:val="20"/>
                <w:szCs w:val="20"/>
              </w:rPr>
              <w:t xml:space="preserve">80 </w:t>
            </w:r>
          </w:p>
        </w:tc>
        <w:tc>
          <w:tcPr>
            <w:tcW w:w="1769" w:type="dxa"/>
            <w:tcBorders>
              <w:top w:val="nil"/>
              <w:left w:val="nil"/>
              <w:bottom w:val="nil"/>
              <w:right w:val="nil"/>
            </w:tcBorders>
            <w:vAlign w:val="bottom"/>
          </w:tcPr>
          <w:p w14:paraId="3B1A6D0A" w14:textId="079D29EF" w:rsidR="00015A86" w:rsidRPr="00A54231" w:rsidRDefault="00015A86" w:rsidP="004C356D">
            <w:pPr>
              <w:spacing w:after="0" w:line="240" w:lineRule="auto"/>
              <w:jc w:val="right"/>
              <w:rPr>
                <w:sz w:val="20"/>
                <w:szCs w:val="20"/>
              </w:rPr>
            </w:pPr>
            <w:r w:rsidRPr="00A54231">
              <w:rPr>
                <w:color w:val="000000"/>
                <w:sz w:val="20"/>
                <w:szCs w:val="20"/>
              </w:rPr>
              <w:t>-105.29</w:t>
            </w:r>
          </w:p>
        </w:tc>
      </w:tr>
      <w:tr w:rsidR="00015A86" w:rsidRPr="007239A6" w14:paraId="7F963F33" w14:textId="7FD5EB46" w:rsidTr="00181ACD">
        <w:trPr>
          <w:trHeight w:val="288"/>
        </w:trPr>
        <w:tc>
          <w:tcPr>
            <w:tcW w:w="1586" w:type="dxa"/>
            <w:tcBorders>
              <w:top w:val="nil"/>
              <w:left w:val="nil"/>
              <w:bottom w:val="nil"/>
              <w:right w:val="nil"/>
            </w:tcBorders>
            <w:shd w:val="clear" w:color="auto" w:fill="auto"/>
            <w:noWrap/>
            <w:vAlign w:val="bottom"/>
            <w:hideMark/>
          </w:tcPr>
          <w:p w14:paraId="76FFF230"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Plainfield</w:t>
            </w:r>
          </w:p>
        </w:tc>
        <w:tc>
          <w:tcPr>
            <w:tcW w:w="1261" w:type="dxa"/>
            <w:tcBorders>
              <w:top w:val="nil"/>
              <w:left w:val="nil"/>
              <w:bottom w:val="nil"/>
              <w:right w:val="nil"/>
            </w:tcBorders>
            <w:shd w:val="clear" w:color="auto" w:fill="auto"/>
            <w:noWrap/>
            <w:vAlign w:val="bottom"/>
          </w:tcPr>
          <w:p w14:paraId="53FB0516" w14:textId="2425CDAD" w:rsidR="00015A86" w:rsidRPr="007239A6" w:rsidRDefault="00015A86" w:rsidP="004C356D">
            <w:pPr>
              <w:spacing w:after="0" w:line="240" w:lineRule="auto"/>
              <w:jc w:val="right"/>
              <w:rPr>
                <w:color w:val="000000"/>
                <w:sz w:val="22"/>
                <w:szCs w:val="22"/>
                <w:lang w:bidi="ar-SA"/>
              </w:rPr>
            </w:pPr>
            <w:r w:rsidRPr="007239A6">
              <w:rPr>
                <w:sz w:val="20"/>
                <w:szCs w:val="20"/>
              </w:rPr>
              <w:t>1,285.2</w:t>
            </w:r>
          </w:p>
        </w:tc>
        <w:tc>
          <w:tcPr>
            <w:tcW w:w="1293" w:type="dxa"/>
            <w:tcBorders>
              <w:top w:val="nil"/>
              <w:left w:val="nil"/>
              <w:bottom w:val="nil"/>
              <w:right w:val="nil"/>
            </w:tcBorders>
            <w:shd w:val="clear" w:color="auto" w:fill="auto"/>
            <w:noWrap/>
            <w:vAlign w:val="bottom"/>
          </w:tcPr>
          <w:p w14:paraId="5FFEFB53" w14:textId="13C53A95" w:rsidR="00015A86" w:rsidRPr="007239A6" w:rsidRDefault="00015A86" w:rsidP="004C356D">
            <w:pPr>
              <w:spacing w:after="0" w:line="240" w:lineRule="auto"/>
              <w:jc w:val="right"/>
              <w:rPr>
                <w:color w:val="000000"/>
                <w:sz w:val="22"/>
                <w:szCs w:val="22"/>
                <w:lang w:bidi="ar-SA"/>
              </w:rPr>
            </w:pPr>
            <w:r w:rsidRPr="007239A6">
              <w:rPr>
                <w:sz w:val="20"/>
                <w:szCs w:val="20"/>
              </w:rPr>
              <w:t xml:space="preserve">84 </w:t>
            </w:r>
          </w:p>
        </w:tc>
        <w:tc>
          <w:tcPr>
            <w:tcW w:w="1650" w:type="dxa"/>
            <w:tcBorders>
              <w:top w:val="nil"/>
              <w:left w:val="nil"/>
              <w:bottom w:val="nil"/>
              <w:right w:val="nil"/>
            </w:tcBorders>
            <w:shd w:val="clear" w:color="auto" w:fill="auto"/>
            <w:noWrap/>
            <w:vAlign w:val="bottom"/>
          </w:tcPr>
          <w:p w14:paraId="53FC934A" w14:textId="76EA9CE6" w:rsidR="00015A86" w:rsidRPr="007239A6" w:rsidRDefault="00015A86" w:rsidP="004C356D">
            <w:pPr>
              <w:spacing w:after="0" w:line="240" w:lineRule="auto"/>
              <w:jc w:val="right"/>
              <w:rPr>
                <w:color w:val="000000"/>
                <w:sz w:val="22"/>
                <w:szCs w:val="22"/>
                <w:lang w:bidi="ar-SA"/>
              </w:rPr>
            </w:pPr>
            <w:r w:rsidRPr="007239A6">
              <w:rPr>
                <w:sz w:val="20"/>
                <w:szCs w:val="20"/>
              </w:rPr>
              <w:t>991.4</w:t>
            </w:r>
          </w:p>
        </w:tc>
        <w:tc>
          <w:tcPr>
            <w:tcW w:w="1289" w:type="dxa"/>
            <w:tcBorders>
              <w:top w:val="nil"/>
              <w:left w:val="nil"/>
              <w:bottom w:val="nil"/>
              <w:right w:val="nil"/>
            </w:tcBorders>
            <w:shd w:val="clear" w:color="auto" w:fill="auto"/>
            <w:noWrap/>
            <w:vAlign w:val="bottom"/>
          </w:tcPr>
          <w:p w14:paraId="1BAB6C8E" w14:textId="1D6798CB" w:rsidR="00015A86" w:rsidRPr="007239A6" w:rsidRDefault="00015A86" w:rsidP="004C356D">
            <w:pPr>
              <w:spacing w:after="0" w:line="240" w:lineRule="auto"/>
              <w:jc w:val="right"/>
              <w:rPr>
                <w:color w:val="000000"/>
                <w:sz w:val="22"/>
                <w:szCs w:val="22"/>
                <w:lang w:bidi="ar-SA"/>
              </w:rPr>
            </w:pPr>
            <w:r w:rsidRPr="007239A6">
              <w:rPr>
                <w:sz w:val="20"/>
                <w:szCs w:val="20"/>
              </w:rPr>
              <w:t xml:space="preserve">65 </w:t>
            </w:r>
          </w:p>
        </w:tc>
        <w:tc>
          <w:tcPr>
            <w:tcW w:w="1769" w:type="dxa"/>
            <w:tcBorders>
              <w:top w:val="nil"/>
              <w:left w:val="nil"/>
              <w:bottom w:val="nil"/>
              <w:right w:val="nil"/>
            </w:tcBorders>
            <w:vAlign w:val="bottom"/>
          </w:tcPr>
          <w:p w14:paraId="13B28D87" w14:textId="4556FF09" w:rsidR="00015A86" w:rsidRPr="00A54231" w:rsidRDefault="00015A86" w:rsidP="004C356D">
            <w:pPr>
              <w:spacing w:after="0" w:line="240" w:lineRule="auto"/>
              <w:jc w:val="right"/>
              <w:rPr>
                <w:sz w:val="20"/>
                <w:szCs w:val="20"/>
              </w:rPr>
            </w:pPr>
            <w:r w:rsidRPr="00A54231">
              <w:rPr>
                <w:color w:val="000000"/>
                <w:sz w:val="20"/>
                <w:szCs w:val="20"/>
              </w:rPr>
              <w:t>365.61</w:t>
            </w:r>
          </w:p>
        </w:tc>
      </w:tr>
      <w:tr w:rsidR="00015A86" w:rsidRPr="007239A6" w14:paraId="64B72BD2" w14:textId="43EC2C3D" w:rsidTr="00181ACD">
        <w:trPr>
          <w:trHeight w:val="288"/>
        </w:trPr>
        <w:tc>
          <w:tcPr>
            <w:tcW w:w="1586" w:type="dxa"/>
            <w:tcBorders>
              <w:top w:val="nil"/>
              <w:left w:val="nil"/>
              <w:bottom w:val="nil"/>
              <w:right w:val="nil"/>
            </w:tcBorders>
            <w:shd w:val="clear" w:color="auto" w:fill="auto"/>
            <w:noWrap/>
            <w:vAlign w:val="bottom"/>
            <w:hideMark/>
          </w:tcPr>
          <w:p w14:paraId="4203939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Plainville</w:t>
            </w:r>
          </w:p>
        </w:tc>
        <w:tc>
          <w:tcPr>
            <w:tcW w:w="1261" w:type="dxa"/>
            <w:tcBorders>
              <w:top w:val="nil"/>
              <w:left w:val="nil"/>
              <w:bottom w:val="nil"/>
              <w:right w:val="nil"/>
            </w:tcBorders>
            <w:shd w:val="clear" w:color="auto" w:fill="auto"/>
            <w:noWrap/>
            <w:vAlign w:val="bottom"/>
          </w:tcPr>
          <w:p w14:paraId="1E410E40" w14:textId="5950351F" w:rsidR="00015A86" w:rsidRPr="007239A6" w:rsidRDefault="00015A86" w:rsidP="004C356D">
            <w:pPr>
              <w:spacing w:after="0" w:line="240" w:lineRule="auto"/>
              <w:jc w:val="right"/>
              <w:rPr>
                <w:color w:val="000000"/>
                <w:sz w:val="22"/>
                <w:szCs w:val="22"/>
                <w:lang w:bidi="ar-SA"/>
              </w:rPr>
            </w:pPr>
            <w:r w:rsidRPr="007239A6">
              <w:rPr>
                <w:sz w:val="20"/>
                <w:szCs w:val="20"/>
              </w:rPr>
              <w:t>3,144.8</w:t>
            </w:r>
          </w:p>
        </w:tc>
        <w:tc>
          <w:tcPr>
            <w:tcW w:w="1293" w:type="dxa"/>
            <w:tcBorders>
              <w:top w:val="nil"/>
              <w:left w:val="nil"/>
              <w:bottom w:val="nil"/>
              <w:right w:val="nil"/>
            </w:tcBorders>
            <w:shd w:val="clear" w:color="auto" w:fill="auto"/>
            <w:noWrap/>
            <w:vAlign w:val="bottom"/>
          </w:tcPr>
          <w:p w14:paraId="40CC684B" w14:textId="10652DD7" w:rsidR="00015A86" w:rsidRPr="007239A6" w:rsidRDefault="00015A86" w:rsidP="004C356D">
            <w:pPr>
              <w:spacing w:after="0" w:line="240" w:lineRule="auto"/>
              <w:jc w:val="right"/>
              <w:rPr>
                <w:color w:val="000000"/>
                <w:sz w:val="22"/>
                <w:szCs w:val="22"/>
                <w:lang w:bidi="ar-SA"/>
              </w:rPr>
            </w:pPr>
            <w:r w:rsidRPr="007239A6">
              <w:rPr>
                <w:sz w:val="20"/>
                <w:szCs w:val="20"/>
              </w:rPr>
              <w:t xml:space="preserve">177 </w:t>
            </w:r>
          </w:p>
        </w:tc>
        <w:tc>
          <w:tcPr>
            <w:tcW w:w="1650" w:type="dxa"/>
            <w:tcBorders>
              <w:top w:val="nil"/>
              <w:left w:val="nil"/>
              <w:bottom w:val="nil"/>
              <w:right w:val="nil"/>
            </w:tcBorders>
            <w:shd w:val="clear" w:color="auto" w:fill="auto"/>
            <w:noWrap/>
            <w:vAlign w:val="bottom"/>
          </w:tcPr>
          <w:p w14:paraId="7CC9E42D" w14:textId="219223D6" w:rsidR="00015A86" w:rsidRPr="007239A6" w:rsidRDefault="00015A86" w:rsidP="004C356D">
            <w:pPr>
              <w:spacing w:after="0" w:line="240" w:lineRule="auto"/>
              <w:jc w:val="right"/>
              <w:rPr>
                <w:color w:val="000000"/>
                <w:sz w:val="22"/>
                <w:szCs w:val="22"/>
                <w:lang w:bidi="ar-SA"/>
              </w:rPr>
            </w:pPr>
            <w:r w:rsidRPr="007239A6">
              <w:rPr>
                <w:sz w:val="20"/>
                <w:szCs w:val="20"/>
              </w:rPr>
              <w:t>2511.9</w:t>
            </w:r>
          </w:p>
        </w:tc>
        <w:tc>
          <w:tcPr>
            <w:tcW w:w="1289" w:type="dxa"/>
            <w:tcBorders>
              <w:top w:val="nil"/>
              <w:left w:val="nil"/>
              <w:bottom w:val="nil"/>
              <w:right w:val="nil"/>
            </w:tcBorders>
            <w:shd w:val="clear" w:color="auto" w:fill="auto"/>
            <w:noWrap/>
            <w:vAlign w:val="bottom"/>
          </w:tcPr>
          <w:p w14:paraId="684397DE" w14:textId="2A5D6323" w:rsidR="00015A86" w:rsidRPr="007239A6" w:rsidRDefault="00015A86" w:rsidP="004C356D">
            <w:pPr>
              <w:spacing w:after="0" w:line="240" w:lineRule="auto"/>
              <w:jc w:val="right"/>
              <w:rPr>
                <w:color w:val="000000"/>
                <w:sz w:val="22"/>
                <w:szCs w:val="22"/>
                <w:lang w:bidi="ar-SA"/>
              </w:rPr>
            </w:pPr>
            <w:r w:rsidRPr="007239A6">
              <w:rPr>
                <w:sz w:val="20"/>
                <w:szCs w:val="20"/>
              </w:rPr>
              <w:t xml:space="preserve">141 </w:t>
            </w:r>
          </w:p>
        </w:tc>
        <w:tc>
          <w:tcPr>
            <w:tcW w:w="1769" w:type="dxa"/>
            <w:tcBorders>
              <w:top w:val="nil"/>
              <w:left w:val="nil"/>
              <w:bottom w:val="nil"/>
              <w:right w:val="nil"/>
            </w:tcBorders>
            <w:vAlign w:val="bottom"/>
          </w:tcPr>
          <w:p w14:paraId="3BFBD469" w14:textId="78B2D273" w:rsidR="00015A86" w:rsidRPr="00A54231" w:rsidRDefault="00015A86" w:rsidP="004C356D">
            <w:pPr>
              <w:spacing w:after="0" w:line="240" w:lineRule="auto"/>
              <w:jc w:val="right"/>
              <w:rPr>
                <w:sz w:val="20"/>
                <w:szCs w:val="20"/>
              </w:rPr>
            </w:pPr>
            <w:r w:rsidRPr="00A54231">
              <w:rPr>
                <w:color w:val="000000"/>
                <w:sz w:val="20"/>
                <w:szCs w:val="20"/>
              </w:rPr>
              <w:t>264.31</w:t>
            </w:r>
          </w:p>
        </w:tc>
      </w:tr>
      <w:tr w:rsidR="00015A86" w:rsidRPr="007239A6" w14:paraId="439A8401" w14:textId="4710A5F9" w:rsidTr="00181ACD">
        <w:trPr>
          <w:trHeight w:val="288"/>
        </w:trPr>
        <w:tc>
          <w:tcPr>
            <w:tcW w:w="1586" w:type="dxa"/>
            <w:tcBorders>
              <w:top w:val="nil"/>
              <w:left w:val="nil"/>
              <w:bottom w:val="nil"/>
              <w:right w:val="nil"/>
            </w:tcBorders>
            <w:shd w:val="clear" w:color="auto" w:fill="auto"/>
            <w:noWrap/>
            <w:vAlign w:val="bottom"/>
            <w:hideMark/>
          </w:tcPr>
          <w:p w14:paraId="6218FCA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Plymouth</w:t>
            </w:r>
          </w:p>
        </w:tc>
        <w:tc>
          <w:tcPr>
            <w:tcW w:w="1261" w:type="dxa"/>
            <w:tcBorders>
              <w:top w:val="nil"/>
              <w:left w:val="nil"/>
              <w:bottom w:val="nil"/>
              <w:right w:val="nil"/>
            </w:tcBorders>
            <w:shd w:val="clear" w:color="auto" w:fill="auto"/>
            <w:noWrap/>
            <w:vAlign w:val="bottom"/>
          </w:tcPr>
          <w:p w14:paraId="73A1FCBE" w14:textId="7512C6D7" w:rsidR="00015A86" w:rsidRPr="007239A6" w:rsidRDefault="00015A86" w:rsidP="004C356D">
            <w:pPr>
              <w:spacing w:after="0" w:line="240" w:lineRule="auto"/>
              <w:jc w:val="right"/>
              <w:rPr>
                <w:color w:val="000000"/>
                <w:sz w:val="22"/>
                <w:szCs w:val="22"/>
                <w:lang w:bidi="ar-SA"/>
              </w:rPr>
            </w:pPr>
            <w:r w:rsidRPr="007239A6">
              <w:rPr>
                <w:sz w:val="20"/>
                <w:szCs w:val="20"/>
              </w:rPr>
              <w:t>617.1</w:t>
            </w:r>
          </w:p>
        </w:tc>
        <w:tc>
          <w:tcPr>
            <w:tcW w:w="1293" w:type="dxa"/>
            <w:tcBorders>
              <w:top w:val="nil"/>
              <w:left w:val="nil"/>
              <w:bottom w:val="nil"/>
              <w:right w:val="nil"/>
            </w:tcBorders>
            <w:shd w:val="clear" w:color="auto" w:fill="auto"/>
            <w:noWrap/>
            <w:vAlign w:val="bottom"/>
          </w:tcPr>
          <w:p w14:paraId="2869EFF3" w14:textId="149C3E11" w:rsidR="00015A86" w:rsidRPr="007239A6" w:rsidRDefault="00015A86" w:rsidP="004C356D">
            <w:pPr>
              <w:spacing w:after="0" w:line="240" w:lineRule="auto"/>
              <w:jc w:val="right"/>
              <w:rPr>
                <w:color w:val="000000"/>
                <w:sz w:val="22"/>
                <w:szCs w:val="22"/>
                <w:lang w:bidi="ar-SA"/>
              </w:rPr>
            </w:pPr>
            <w:r w:rsidRPr="007239A6">
              <w:rPr>
                <w:sz w:val="20"/>
                <w:szCs w:val="20"/>
              </w:rPr>
              <w:t xml:space="preserve">51 </w:t>
            </w:r>
          </w:p>
        </w:tc>
        <w:tc>
          <w:tcPr>
            <w:tcW w:w="1650" w:type="dxa"/>
            <w:tcBorders>
              <w:top w:val="nil"/>
              <w:left w:val="nil"/>
              <w:bottom w:val="nil"/>
              <w:right w:val="nil"/>
            </w:tcBorders>
            <w:shd w:val="clear" w:color="auto" w:fill="auto"/>
            <w:noWrap/>
            <w:vAlign w:val="bottom"/>
          </w:tcPr>
          <w:p w14:paraId="0326F88D" w14:textId="7E757B04" w:rsidR="00015A86" w:rsidRPr="007239A6" w:rsidRDefault="00015A86" w:rsidP="004C356D">
            <w:pPr>
              <w:spacing w:after="0" w:line="240" w:lineRule="auto"/>
              <w:jc w:val="right"/>
              <w:rPr>
                <w:color w:val="000000"/>
                <w:sz w:val="22"/>
                <w:szCs w:val="22"/>
                <w:lang w:bidi="ar-SA"/>
              </w:rPr>
            </w:pPr>
            <w:r w:rsidRPr="007239A6">
              <w:rPr>
                <w:sz w:val="20"/>
                <w:szCs w:val="20"/>
              </w:rPr>
              <w:t>852.1</w:t>
            </w:r>
          </w:p>
        </w:tc>
        <w:tc>
          <w:tcPr>
            <w:tcW w:w="1289" w:type="dxa"/>
            <w:tcBorders>
              <w:top w:val="nil"/>
              <w:left w:val="nil"/>
              <w:bottom w:val="nil"/>
              <w:right w:val="nil"/>
            </w:tcBorders>
            <w:shd w:val="clear" w:color="auto" w:fill="auto"/>
            <w:noWrap/>
            <w:vAlign w:val="bottom"/>
          </w:tcPr>
          <w:p w14:paraId="0919E057" w14:textId="5BB102D1" w:rsidR="00015A86" w:rsidRPr="007239A6" w:rsidRDefault="00015A86" w:rsidP="004C356D">
            <w:pPr>
              <w:spacing w:after="0" w:line="240" w:lineRule="auto"/>
              <w:jc w:val="right"/>
              <w:rPr>
                <w:color w:val="000000"/>
                <w:sz w:val="22"/>
                <w:szCs w:val="22"/>
                <w:lang w:bidi="ar-SA"/>
              </w:rPr>
            </w:pPr>
            <w:r w:rsidRPr="007239A6">
              <w:rPr>
                <w:sz w:val="20"/>
                <w:szCs w:val="20"/>
              </w:rPr>
              <w:t xml:space="preserve">70 </w:t>
            </w:r>
          </w:p>
        </w:tc>
        <w:tc>
          <w:tcPr>
            <w:tcW w:w="1769" w:type="dxa"/>
            <w:tcBorders>
              <w:top w:val="nil"/>
              <w:left w:val="nil"/>
              <w:bottom w:val="nil"/>
              <w:right w:val="nil"/>
            </w:tcBorders>
            <w:vAlign w:val="bottom"/>
          </w:tcPr>
          <w:p w14:paraId="1E92AE3E" w14:textId="6A8E9246" w:rsidR="00015A86" w:rsidRPr="00A54231" w:rsidRDefault="00015A86" w:rsidP="004C356D">
            <w:pPr>
              <w:spacing w:after="0" w:line="240" w:lineRule="auto"/>
              <w:jc w:val="right"/>
              <w:rPr>
                <w:sz w:val="20"/>
                <w:szCs w:val="20"/>
              </w:rPr>
            </w:pPr>
            <w:r w:rsidRPr="00A54231">
              <w:rPr>
                <w:color w:val="000000"/>
                <w:sz w:val="20"/>
                <w:szCs w:val="20"/>
              </w:rPr>
              <w:t>402.44</w:t>
            </w:r>
          </w:p>
        </w:tc>
      </w:tr>
      <w:tr w:rsidR="00015A86" w:rsidRPr="007239A6" w14:paraId="232A3498" w14:textId="7C333DF6" w:rsidTr="00181ACD">
        <w:trPr>
          <w:trHeight w:val="288"/>
        </w:trPr>
        <w:tc>
          <w:tcPr>
            <w:tcW w:w="1586" w:type="dxa"/>
            <w:tcBorders>
              <w:top w:val="nil"/>
              <w:left w:val="nil"/>
              <w:bottom w:val="nil"/>
              <w:right w:val="nil"/>
            </w:tcBorders>
            <w:shd w:val="clear" w:color="auto" w:fill="auto"/>
            <w:noWrap/>
            <w:vAlign w:val="bottom"/>
            <w:hideMark/>
          </w:tcPr>
          <w:p w14:paraId="19C6EA8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Pomfret</w:t>
            </w:r>
          </w:p>
        </w:tc>
        <w:tc>
          <w:tcPr>
            <w:tcW w:w="1261" w:type="dxa"/>
            <w:tcBorders>
              <w:top w:val="nil"/>
              <w:left w:val="nil"/>
              <w:bottom w:val="nil"/>
              <w:right w:val="nil"/>
            </w:tcBorders>
            <w:shd w:val="clear" w:color="auto" w:fill="auto"/>
            <w:noWrap/>
            <w:vAlign w:val="bottom"/>
          </w:tcPr>
          <w:p w14:paraId="7F20713E" w14:textId="6C632B7A" w:rsidR="00015A86" w:rsidRPr="007239A6" w:rsidRDefault="00015A86" w:rsidP="004C356D">
            <w:pPr>
              <w:spacing w:after="0" w:line="240" w:lineRule="auto"/>
              <w:jc w:val="right"/>
              <w:rPr>
                <w:color w:val="000000"/>
                <w:sz w:val="22"/>
                <w:szCs w:val="22"/>
                <w:lang w:bidi="ar-SA"/>
              </w:rPr>
            </w:pPr>
            <w:r w:rsidRPr="007239A6">
              <w:rPr>
                <w:sz w:val="20"/>
                <w:szCs w:val="20"/>
              </w:rPr>
              <w:t>179.6</w:t>
            </w:r>
          </w:p>
        </w:tc>
        <w:tc>
          <w:tcPr>
            <w:tcW w:w="1293" w:type="dxa"/>
            <w:tcBorders>
              <w:top w:val="nil"/>
              <w:left w:val="nil"/>
              <w:bottom w:val="nil"/>
              <w:right w:val="nil"/>
            </w:tcBorders>
            <w:shd w:val="clear" w:color="auto" w:fill="auto"/>
            <w:noWrap/>
            <w:vAlign w:val="bottom"/>
          </w:tcPr>
          <w:p w14:paraId="1AA551CF" w14:textId="4905C50D" w:rsidR="00015A86" w:rsidRPr="007239A6" w:rsidRDefault="00015A86" w:rsidP="004C356D">
            <w:pPr>
              <w:spacing w:after="0" w:line="240" w:lineRule="auto"/>
              <w:jc w:val="right"/>
              <w:rPr>
                <w:color w:val="000000"/>
                <w:sz w:val="22"/>
                <w:szCs w:val="22"/>
                <w:lang w:bidi="ar-SA"/>
              </w:rPr>
            </w:pPr>
            <w:r w:rsidRPr="007239A6">
              <w:rPr>
                <w:sz w:val="20"/>
                <w:szCs w:val="20"/>
              </w:rPr>
              <w:t xml:space="preserve">43 </w:t>
            </w:r>
          </w:p>
        </w:tc>
        <w:tc>
          <w:tcPr>
            <w:tcW w:w="1650" w:type="dxa"/>
            <w:tcBorders>
              <w:top w:val="nil"/>
              <w:left w:val="nil"/>
              <w:bottom w:val="nil"/>
              <w:right w:val="nil"/>
            </w:tcBorders>
            <w:shd w:val="clear" w:color="auto" w:fill="auto"/>
            <w:noWrap/>
            <w:vAlign w:val="bottom"/>
          </w:tcPr>
          <w:p w14:paraId="53403675" w14:textId="7BFD4415" w:rsidR="00015A86" w:rsidRPr="007239A6" w:rsidRDefault="00015A86" w:rsidP="004C356D">
            <w:pPr>
              <w:spacing w:after="0" w:line="240" w:lineRule="auto"/>
              <w:jc w:val="right"/>
              <w:rPr>
                <w:color w:val="000000"/>
                <w:sz w:val="22"/>
                <w:szCs w:val="22"/>
                <w:lang w:bidi="ar-SA"/>
              </w:rPr>
            </w:pPr>
            <w:r w:rsidRPr="007239A6">
              <w:rPr>
                <w:sz w:val="20"/>
                <w:szCs w:val="20"/>
              </w:rPr>
              <w:t>316.7</w:t>
            </w:r>
          </w:p>
        </w:tc>
        <w:tc>
          <w:tcPr>
            <w:tcW w:w="1289" w:type="dxa"/>
            <w:tcBorders>
              <w:top w:val="nil"/>
              <w:left w:val="nil"/>
              <w:bottom w:val="nil"/>
              <w:right w:val="nil"/>
            </w:tcBorders>
            <w:shd w:val="clear" w:color="auto" w:fill="auto"/>
            <w:noWrap/>
            <w:vAlign w:val="bottom"/>
          </w:tcPr>
          <w:p w14:paraId="6176128C" w14:textId="30C5E23F" w:rsidR="00015A86" w:rsidRPr="007239A6" w:rsidRDefault="00015A86" w:rsidP="004C356D">
            <w:pPr>
              <w:spacing w:after="0" w:line="240" w:lineRule="auto"/>
              <w:jc w:val="right"/>
              <w:rPr>
                <w:color w:val="000000"/>
                <w:sz w:val="22"/>
                <w:szCs w:val="22"/>
                <w:lang w:bidi="ar-SA"/>
              </w:rPr>
            </w:pPr>
            <w:r w:rsidRPr="007239A6">
              <w:rPr>
                <w:sz w:val="20"/>
                <w:szCs w:val="20"/>
              </w:rPr>
              <w:t xml:space="preserve">75 </w:t>
            </w:r>
          </w:p>
        </w:tc>
        <w:tc>
          <w:tcPr>
            <w:tcW w:w="1769" w:type="dxa"/>
            <w:tcBorders>
              <w:top w:val="nil"/>
              <w:left w:val="nil"/>
              <w:bottom w:val="nil"/>
              <w:right w:val="nil"/>
            </w:tcBorders>
            <w:vAlign w:val="bottom"/>
          </w:tcPr>
          <w:p w14:paraId="3E016468" w14:textId="474CB6AA" w:rsidR="00015A86" w:rsidRPr="00A54231" w:rsidRDefault="00015A86" w:rsidP="004C356D">
            <w:pPr>
              <w:spacing w:after="0" w:line="240" w:lineRule="auto"/>
              <w:jc w:val="right"/>
              <w:rPr>
                <w:sz w:val="20"/>
                <w:szCs w:val="20"/>
              </w:rPr>
            </w:pPr>
            <w:r w:rsidRPr="00A54231">
              <w:rPr>
                <w:color w:val="000000"/>
                <w:sz w:val="20"/>
                <w:szCs w:val="20"/>
              </w:rPr>
              <w:t>153.75</w:t>
            </w:r>
          </w:p>
        </w:tc>
      </w:tr>
      <w:tr w:rsidR="00015A86" w:rsidRPr="007239A6" w14:paraId="7EBAB520" w14:textId="5675CA70" w:rsidTr="00181ACD">
        <w:trPr>
          <w:trHeight w:val="288"/>
        </w:trPr>
        <w:tc>
          <w:tcPr>
            <w:tcW w:w="1586" w:type="dxa"/>
            <w:tcBorders>
              <w:top w:val="nil"/>
              <w:left w:val="nil"/>
              <w:bottom w:val="nil"/>
              <w:right w:val="nil"/>
            </w:tcBorders>
            <w:shd w:val="clear" w:color="auto" w:fill="auto"/>
            <w:noWrap/>
            <w:vAlign w:val="bottom"/>
            <w:hideMark/>
          </w:tcPr>
          <w:p w14:paraId="253066F0"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Portland</w:t>
            </w:r>
          </w:p>
        </w:tc>
        <w:tc>
          <w:tcPr>
            <w:tcW w:w="1261" w:type="dxa"/>
            <w:tcBorders>
              <w:top w:val="nil"/>
              <w:left w:val="nil"/>
              <w:bottom w:val="nil"/>
              <w:right w:val="nil"/>
            </w:tcBorders>
            <w:shd w:val="clear" w:color="auto" w:fill="auto"/>
            <w:noWrap/>
            <w:vAlign w:val="bottom"/>
          </w:tcPr>
          <w:p w14:paraId="4CE9D61C" w14:textId="3387CD73" w:rsidR="00015A86" w:rsidRPr="007239A6" w:rsidRDefault="00015A86" w:rsidP="004C356D">
            <w:pPr>
              <w:spacing w:after="0" w:line="240" w:lineRule="auto"/>
              <w:jc w:val="right"/>
              <w:rPr>
                <w:color w:val="000000"/>
                <w:sz w:val="22"/>
                <w:szCs w:val="22"/>
                <w:lang w:bidi="ar-SA"/>
              </w:rPr>
            </w:pPr>
            <w:r w:rsidRPr="007239A6">
              <w:rPr>
                <w:sz w:val="20"/>
                <w:szCs w:val="20"/>
              </w:rPr>
              <w:t>676.1</w:t>
            </w:r>
          </w:p>
        </w:tc>
        <w:tc>
          <w:tcPr>
            <w:tcW w:w="1293" w:type="dxa"/>
            <w:tcBorders>
              <w:top w:val="nil"/>
              <w:left w:val="nil"/>
              <w:bottom w:val="nil"/>
              <w:right w:val="nil"/>
            </w:tcBorders>
            <w:shd w:val="clear" w:color="auto" w:fill="auto"/>
            <w:noWrap/>
            <w:vAlign w:val="bottom"/>
          </w:tcPr>
          <w:p w14:paraId="41C7D09B" w14:textId="7D656A5F" w:rsidR="00015A86" w:rsidRPr="007239A6" w:rsidRDefault="00015A86" w:rsidP="004C356D">
            <w:pPr>
              <w:spacing w:after="0" w:line="240" w:lineRule="auto"/>
              <w:jc w:val="right"/>
              <w:rPr>
                <w:color w:val="000000"/>
                <w:sz w:val="22"/>
                <w:szCs w:val="22"/>
                <w:lang w:bidi="ar-SA"/>
              </w:rPr>
            </w:pPr>
            <w:r w:rsidRPr="007239A6">
              <w:rPr>
                <w:sz w:val="20"/>
                <w:szCs w:val="20"/>
              </w:rPr>
              <w:t xml:space="preserve">71 </w:t>
            </w:r>
          </w:p>
        </w:tc>
        <w:tc>
          <w:tcPr>
            <w:tcW w:w="1650" w:type="dxa"/>
            <w:tcBorders>
              <w:top w:val="nil"/>
              <w:left w:val="nil"/>
              <w:bottom w:val="nil"/>
              <w:right w:val="nil"/>
            </w:tcBorders>
            <w:shd w:val="clear" w:color="auto" w:fill="auto"/>
            <w:noWrap/>
            <w:vAlign w:val="bottom"/>
          </w:tcPr>
          <w:p w14:paraId="299A9B62" w14:textId="3E29CEBE" w:rsidR="00015A86" w:rsidRPr="007239A6" w:rsidRDefault="00015A86" w:rsidP="004C356D">
            <w:pPr>
              <w:spacing w:after="0" w:line="240" w:lineRule="auto"/>
              <w:jc w:val="right"/>
              <w:rPr>
                <w:color w:val="000000"/>
                <w:sz w:val="22"/>
                <w:szCs w:val="22"/>
                <w:lang w:bidi="ar-SA"/>
              </w:rPr>
            </w:pPr>
            <w:r w:rsidRPr="007239A6">
              <w:rPr>
                <w:sz w:val="20"/>
                <w:szCs w:val="20"/>
              </w:rPr>
              <w:t>820.7</w:t>
            </w:r>
          </w:p>
        </w:tc>
        <w:tc>
          <w:tcPr>
            <w:tcW w:w="1289" w:type="dxa"/>
            <w:tcBorders>
              <w:top w:val="nil"/>
              <w:left w:val="nil"/>
              <w:bottom w:val="nil"/>
              <w:right w:val="nil"/>
            </w:tcBorders>
            <w:shd w:val="clear" w:color="auto" w:fill="auto"/>
            <w:noWrap/>
            <w:vAlign w:val="bottom"/>
          </w:tcPr>
          <w:p w14:paraId="2B47C69C" w14:textId="328547F4" w:rsidR="00015A86" w:rsidRPr="007239A6" w:rsidRDefault="00015A86" w:rsidP="004C356D">
            <w:pPr>
              <w:spacing w:after="0" w:line="240" w:lineRule="auto"/>
              <w:jc w:val="right"/>
              <w:rPr>
                <w:color w:val="000000"/>
                <w:sz w:val="22"/>
                <w:szCs w:val="22"/>
                <w:lang w:bidi="ar-SA"/>
              </w:rPr>
            </w:pPr>
            <w:r w:rsidRPr="007239A6">
              <w:rPr>
                <w:sz w:val="20"/>
                <w:szCs w:val="20"/>
              </w:rPr>
              <w:t xml:space="preserve">87 </w:t>
            </w:r>
          </w:p>
        </w:tc>
        <w:tc>
          <w:tcPr>
            <w:tcW w:w="1769" w:type="dxa"/>
            <w:tcBorders>
              <w:top w:val="nil"/>
              <w:left w:val="nil"/>
              <w:bottom w:val="nil"/>
              <w:right w:val="nil"/>
            </w:tcBorders>
            <w:vAlign w:val="bottom"/>
          </w:tcPr>
          <w:p w14:paraId="6B602BC3" w14:textId="0F59D380" w:rsidR="00015A86" w:rsidRPr="00A54231" w:rsidRDefault="00015A86" w:rsidP="004C356D">
            <w:pPr>
              <w:spacing w:after="0" w:line="240" w:lineRule="auto"/>
              <w:jc w:val="right"/>
              <w:rPr>
                <w:sz w:val="20"/>
                <w:szCs w:val="20"/>
              </w:rPr>
            </w:pPr>
            <w:r w:rsidRPr="00A54231">
              <w:rPr>
                <w:color w:val="000000"/>
                <w:sz w:val="20"/>
                <w:szCs w:val="20"/>
              </w:rPr>
              <w:t>145.21</w:t>
            </w:r>
          </w:p>
        </w:tc>
      </w:tr>
      <w:tr w:rsidR="00015A86" w:rsidRPr="007239A6" w14:paraId="37120DBE" w14:textId="637BC828" w:rsidTr="00181ACD">
        <w:trPr>
          <w:trHeight w:val="288"/>
        </w:trPr>
        <w:tc>
          <w:tcPr>
            <w:tcW w:w="1586" w:type="dxa"/>
            <w:tcBorders>
              <w:top w:val="nil"/>
              <w:left w:val="nil"/>
              <w:bottom w:val="nil"/>
              <w:right w:val="nil"/>
            </w:tcBorders>
            <w:shd w:val="clear" w:color="auto" w:fill="auto"/>
            <w:noWrap/>
            <w:vAlign w:val="bottom"/>
            <w:hideMark/>
          </w:tcPr>
          <w:p w14:paraId="5BC37AEB"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Preston</w:t>
            </w:r>
          </w:p>
        </w:tc>
        <w:tc>
          <w:tcPr>
            <w:tcW w:w="1261" w:type="dxa"/>
            <w:tcBorders>
              <w:top w:val="nil"/>
              <w:left w:val="nil"/>
              <w:bottom w:val="nil"/>
              <w:right w:val="nil"/>
            </w:tcBorders>
            <w:shd w:val="clear" w:color="auto" w:fill="auto"/>
            <w:noWrap/>
            <w:vAlign w:val="bottom"/>
          </w:tcPr>
          <w:p w14:paraId="754F7198" w14:textId="7BE17E6E" w:rsidR="00015A86" w:rsidRPr="007239A6" w:rsidRDefault="00015A86" w:rsidP="004C356D">
            <w:pPr>
              <w:spacing w:after="0" w:line="240" w:lineRule="auto"/>
              <w:jc w:val="right"/>
              <w:rPr>
                <w:color w:val="000000"/>
                <w:sz w:val="22"/>
                <w:szCs w:val="22"/>
                <w:lang w:bidi="ar-SA"/>
              </w:rPr>
            </w:pPr>
            <w:r w:rsidRPr="007239A6">
              <w:rPr>
                <w:sz w:val="20"/>
                <w:szCs w:val="20"/>
              </w:rPr>
              <w:t>145.6</w:t>
            </w:r>
          </w:p>
        </w:tc>
        <w:tc>
          <w:tcPr>
            <w:tcW w:w="1293" w:type="dxa"/>
            <w:tcBorders>
              <w:top w:val="nil"/>
              <w:left w:val="nil"/>
              <w:bottom w:val="nil"/>
              <w:right w:val="nil"/>
            </w:tcBorders>
            <w:shd w:val="clear" w:color="auto" w:fill="auto"/>
            <w:noWrap/>
            <w:vAlign w:val="bottom"/>
          </w:tcPr>
          <w:p w14:paraId="03C5C776" w14:textId="36AEB8DF" w:rsidR="00015A86" w:rsidRPr="007239A6" w:rsidRDefault="00015A86" w:rsidP="004C356D">
            <w:pPr>
              <w:spacing w:after="0" w:line="240" w:lineRule="auto"/>
              <w:jc w:val="right"/>
              <w:rPr>
                <w:color w:val="000000"/>
                <w:sz w:val="22"/>
                <w:szCs w:val="22"/>
                <w:lang w:bidi="ar-SA"/>
              </w:rPr>
            </w:pPr>
            <w:r w:rsidRPr="007239A6">
              <w:rPr>
                <w:sz w:val="20"/>
                <w:szCs w:val="20"/>
              </w:rPr>
              <w:t xml:space="preserve">31 </w:t>
            </w:r>
          </w:p>
        </w:tc>
        <w:tc>
          <w:tcPr>
            <w:tcW w:w="1650" w:type="dxa"/>
            <w:tcBorders>
              <w:top w:val="nil"/>
              <w:left w:val="nil"/>
              <w:bottom w:val="nil"/>
              <w:right w:val="nil"/>
            </w:tcBorders>
            <w:shd w:val="clear" w:color="auto" w:fill="auto"/>
            <w:noWrap/>
            <w:vAlign w:val="bottom"/>
          </w:tcPr>
          <w:p w14:paraId="5581BB6E" w14:textId="64ED2544" w:rsidR="00015A86" w:rsidRPr="007239A6" w:rsidRDefault="00015A86" w:rsidP="004C356D">
            <w:pPr>
              <w:spacing w:after="0" w:line="240" w:lineRule="auto"/>
              <w:jc w:val="right"/>
              <w:rPr>
                <w:color w:val="000000"/>
                <w:sz w:val="22"/>
                <w:szCs w:val="22"/>
                <w:lang w:bidi="ar-SA"/>
              </w:rPr>
            </w:pPr>
            <w:r w:rsidRPr="007239A6">
              <w:rPr>
                <w:sz w:val="20"/>
                <w:szCs w:val="20"/>
              </w:rPr>
              <w:t>389.2</w:t>
            </w:r>
          </w:p>
        </w:tc>
        <w:tc>
          <w:tcPr>
            <w:tcW w:w="1289" w:type="dxa"/>
            <w:tcBorders>
              <w:top w:val="nil"/>
              <w:left w:val="nil"/>
              <w:bottom w:val="nil"/>
              <w:right w:val="nil"/>
            </w:tcBorders>
            <w:shd w:val="clear" w:color="auto" w:fill="auto"/>
            <w:noWrap/>
            <w:vAlign w:val="bottom"/>
          </w:tcPr>
          <w:p w14:paraId="6D004253" w14:textId="3E2636E7" w:rsidR="00015A86" w:rsidRPr="007239A6" w:rsidRDefault="00015A86" w:rsidP="004C356D">
            <w:pPr>
              <w:spacing w:after="0" w:line="240" w:lineRule="auto"/>
              <w:jc w:val="right"/>
              <w:rPr>
                <w:color w:val="000000"/>
                <w:sz w:val="22"/>
                <w:szCs w:val="22"/>
                <w:lang w:bidi="ar-SA"/>
              </w:rPr>
            </w:pPr>
            <w:r w:rsidRPr="007239A6">
              <w:rPr>
                <w:sz w:val="20"/>
                <w:szCs w:val="20"/>
              </w:rPr>
              <w:t xml:space="preserve">82 </w:t>
            </w:r>
          </w:p>
        </w:tc>
        <w:tc>
          <w:tcPr>
            <w:tcW w:w="1769" w:type="dxa"/>
            <w:tcBorders>
              <w:top w:val="nil"/>
              <w:left w:val="nil"/>
              <w:bottom w:val="nil"/>
              <w:right w:val="nil"/>
            </w:tcBorders>
            <w:vAlign w:val="bottom"/>
          </w:tcPr>
          <w:p w14:paraId="75797B8F" w14:textId="7C80703B" w:rsidR="00015A86" w:rsidRPr="00A54231" w:rsidRDefault="00015A86" w:rsidP="004C356D">
            <w:pPr>
              <w:spacing w:after="0" w:line="240" w:lineRule="auto"/>
              <w:jc w:val="right"/>
              <w:rPr>
                <w:sz w:val="20"/>
                <w:szCs w:val="20"/>
              </w:rPr>
            </w:pPr>
            <w:r w:rsidRPr="00A54231">
              <w:rPr>
                <w:color w:val="000000"/>
                <w:sz w:val="20"/>
                <w:szCs w:val="20"/>
              </w:rPr>
              <w:t>73.67</w:t>
            </w:r>
          </w:p>
        </w:tc>
      </w:tr>
      <w:tr w:rsidR="00015A86" w:rsidRPr="007239A6" w14:paraId="03E6C4E2" w14:textId="50860AB8" w:rsidTr="00181ACD">
        <w:trPr>
          <w:trHeight w:val="288"/>
        </w:trPr>
        <w:tc>
          <w:tcPr>
            <w:tcW w:w="1586" w:type="dxa"/>
            <w:tcBorders>
              <w:top w:val="nil"/>
              <w:left w:val="nil"/>
              <w:bottom w:val="nil"/>
              <w:right w:val="nil"/>
            </w:tcBorders>
            <w:shd w:val="clear" w:color="auto" w:fill="auto"/>
            <w:noWrap/>
            <w:vAlign w:val="bottom"/>
            <w:hideMark/>
          </w:tcPr>
          <w:p w14:paraId="4AA6020C"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Prospect</w:t>
            </w:r>
          </w:p>
        </w:tc>
        <w:tc>
          <w:tcPr>
            <w:tcW w:w="1261" w:type="dxa"/>
            <w:tcBorders>
              <w:top w:val="nil"/>
              <w:left w:val="nil"/>
              <w:bottom w:val="nil"/>
              <w:right w:val="nil"/>
            </w:tcBorders>
            <w:shd w:val="clear" w:color="auto" w:fill="auto"/>
            <w:noWrap/>
            <w:vAlign w:val="bottom"/>
          </w:tcPr>
          <w:p w14:paraId="5DA95FE6" w14:textId="14BC3102" w:rsidR="00015A86" w:rsidRPr="007239A6" w:rsidRDefault="00015A86" w:rsidP="004C356D">
            <w:pPr>
              <w:spacing w:after="0" w:line="240" w:lineRule="auto"/>
              <w:jc w:val="right"/>
              <w:rPr>
                <w:color w:val="000000"/>
                <w:sz w:val="22"/>
                <w:szCs w:val="22"/>
                <w:lang w:bidi="ar-SA"/>
              </w:rPr>
            </w:pPr>
            <w:r w:rsidRPr="007239A6">
              <w:rPr>
                <w:sz w:val="20"/>
                <w:szCs w:val="20"/>
              </w:rPr>
              <w:t>577.6</w:t>
            </w:r>
          </w:p>
        </w:tc>
        <w:tc>
          <w:tcPr>
            <w:tcW w:w="1293" w:type="dxa"/>
            <w:tcBorders>
              <w:top w:val="nil"/>
              <w:left w:val="nil"/>
              <w:bottom w:val="nil"/>
              <w:right w:val="nil"/>
            </w:tcBorders>
            <w:shd w:val="clear" w:color="auto" w:fill="auto"/>
            <w:noWrap/>
            <w:vAlign w:val="bottom"/>
          </w:tcPr>
          <w:p w14:paraId="45D0D6B7" w14:textId="67F70E50" w:rsidR="00015A86" w:rsidRPr="007239A6" w:rsidRDefault="00015A86" w:rsidP="004C356D">
            <w:pPr>
              <w:spacing w:after="0" w:line="240" w:lineRule="auto"/>
              <w:jc w:val="right"/>
              <w:rPr>
                <w:color w:val="000000"/>
                <w:sz w:val="22"/>
                <w:szCs w:val="22"/>
                <w:lang w:bidi="ar-SA"/>
              </w:rPr>
            </w:pPr>
            <w:r w:rsidRPr="007239A6">
              <w:rPr>
                <w:sz w:val="20"/>
                <w:szCs w:val="20"/>
              </w:rPr>
              <w:t xml:space="preserve">61 </w:t>
            </w:r>
          </w:p>
        </w:tc>
        <w:tc>
          <w:tcPr>
            <w:tcW w:w="1650" w:type="dxa"/>
            <w:tcBorders>
              <w:top w:val="nil"/>
              <w:left w:val="nil"/>
              <w:bottom w:val="nil"/>
              <w:right w:val="nil"/>
            </w:tcBorders>
            <w:shd w:val="clear" w:color="auto" w:fill="auto"/>
            <w:noWrap/>
            <w:vAlign w:val="bottom"/>
          </w:tcPr>
          <w:p w14:paraId="77CA145A" w14:textId="78BB7E29" w:rsidR="00015A86" w:rsidRPr="007239A6" w:rsidRDefault="00015A86" w:rsidP="004C356D">
            <w:pPr>
              <w:spacing w:after="0" w:line="240" w:lineRule="auto"/>
              <w:jc w:val="right"/>
              <w:rPr>
                <w:color w:val="000000"/>
                <w:sz w:val="22"/>
                <w:szCs w:val="22"/>
                <w:lang w:bidi="ar-SA"/>
              </w:rPr>
            </w:pPr>
            <w:r w:rsidRPr="007239A6">
              <w:rPr>
                <w:sz w:val="20"/>
                <w:szCs w:val="20"/>
              </w:rPr>
              <w:t>709.3</w:t>
            </w:r>
          </w:p>
        </w:tc>
        <w:tc>
          <w:tcPr>
            <w:tcW w:w="1289" w:type="dxa"/>
            <w:tcBorders>
              <w:top w:val="nil"/>
              <w:left w:val="nil"/>
              <w:bottom w:val="nil"/>
              <w:right w:val="nil"/>
            </w:tcBorders>
            <w:shd w:val="clear" w:color="auto" w:fill="auto"/>
            <w:noWrap/>
            <w:vAlign w:val="bottom"/>
          </w:tcPr>
          <w:p w14:paraId="1E7BB3CA" w14:textId="5B151EE6" w:rsidR="00015A86" w:rsidRPr="007239A6" w:rsidRDefault="00015A86" w:rsidP="004C356D">
            <w:pPr>
              <w:spacing w:after="0" w:line="240" w:lineRule="auto"/>
              <w:jc w:val="right"/>
              <w:rPr>
                <w:color w:val="000000"/>
                <w:sz w:val="22"/>
                <w:szCs w:val="22"/>
                <w:lang w:bidi="ar-SA"/>
              </w:rPr>
            </w:pPr>
            <w:r w:rsidRPr="007239A6">
              <w:rPr>
                <w:sz w:val="20"/>
                <w:szCs w:val="20"/>
              </w:rPr>
              <w:t xml:space="preserve">75 </w:t>
            </w:r>
          </w:p>
        </w:tc>
        <w:tc>
          <w:tcPr>
            <w:tcW w:w="1769" w:type="dxa"/>
            <w:tcBorders>
              <w:top w:val="nil"/>
              <w:left w:val="nil"/>
              <w:bottom w:val="nil"/>
              <w:right w:val="nil"/>
            </w:tcBorders>
            <w:vAlign w:val="bottom"/>
          </w:tcPr>
          <w:p w14:paraId="1E195A44" w14:textId="5238D8F6" w:rsidR="00015A86" w:rsidRPr="00A54231" w:rsidRDefault="00015A86" w:rsidP="004C356D">
            <w:pPr>
              <w:spacing w:after="0" w:line="240" w:lineRule="auto"/>
              <w:jc w:val="right"/>
              <w:rPr>
                <w:sz w:val="20"/>
                <w:szCs w:val="20"/>
              </w:rPr>
            </w:pPr>
            <w:r w:rsidRPr="00A54231">
              <w:rPr>
                <w:color w:val="000000"/>
                <w:sz w:val="20"/>
                <w:szCs w:val="20"/>
              </w:rPr>
              <w:t>57.85</w:t>
            </w:r>
          </w:p>
        </w:tc>
      </w:tr>
      <w:tr w:rsidR="00015A86" w:rsidRPr="007239A6" w14:paraId="4AC2AC04" w14:textId="4DA89D5F" w:rsidTr="00181ACD">
        <w:trPr>
          <w:trHeight w:val="288"/>
        </w:trPr>
        <w:tc>
          <w:tcPr>
            <w:tcW w:w="1586" w:type="dxa"/>
            <w:tcBorders>
              <w:top w:val="nil"/>
              <w:left w:val="nil"/>
              <w:bottom w:val="nil"/>
              <w:right w:val="nil"/>
            </w:tcBorders>
            <w:shd w:val="clear" w:color="auto" w:fill="auto"/>
            <w:noWrap/>
            <w:vAlign w:val="bottom"/>
            <w:hideMark/>
          </w:tcPr>
          <w:p w14:paraId="471BCE3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Putnam</w:t>
            </w:r>
          </w:p>
        </w:tc>
        <w:tc>
          <w:tcPr>
            <w:tcW w:w="1261" w:type="dxa"/>
            <w:tcBorders>
              <w:top w:val="nil"/>
              <w:left w:val="nil"/>
              <w:bottom w:val="nil"/>
              <w:right w:val="nil"/>
            </w:tcBorders>
            <w:shd w:val="clear" w:color="auto" w:fill="auto"/>
            <w:noWrap/>
            <w:vAlign w:val="bottom"/>
          </w:tcPr>
          <w:p w14:paraId="10C22191" w14:textId="12B0D4B3" w:rsidR="00015A86" w:rsidRPr="007239A6" w:rsidRDefault="00015A86" w:rsidP="004C356D">
            <w:pPr>
              <w:spacing w:after="0" w:line="240" w:lineRule="auto"/>
              <w:jc w:val="right"/>
              <w:rPr>
                <w:color w:val="000000"/>
                <w:sz w:val="22"/>
                <w:szCs w:val="22"/>
                <w:lang w:bidi="ar-SA"/>
              </w:rPr>
            </w:pPr>
            <w:r w:rsidRPr="007239A6">
              <w:rPr>
                <w:sz w:val="20"/>
                <w:szCs w:val="20"/>
              </w:rPr>
              <w:t>1,730.8</w:t>
            </w:r>
          </w:p>
        </w:tc>
        <w:tc>
          <w:tcPr>
            <w:tcW w:w="1293" w:type="dxa"/>
            <w:tcBorders>
              <w:top w:val="nil"/>
              <w:left w:val="nil"/>
              <w:bottom w:val="nil"/>
              <w:right w:val="nil"/>
            </w:tcBorders>
            <w:shd w:val="clear" w:color="auto" w:fill="auto"/>
            <w:noWrap/>
            <w:vAlign w:val="bottom"/>
          </w:tcPr>
          <w:p w14:paraId="028E8382" w14:textId="0BED01F6" w:rsidR="00015A86" w:rsidRPr="007239A6" w:rsidRDefault="00015A86" w:rsidP="004C356D">
            <w:pPr>
              <w:spacing w:after="0" w:line="240" w:lineRule="auto"/>
              <w:jc w:val="right"/>
              <w:rPr>
                <w:color w:val="000000"/>
                <w:sz w:val="22"/>
                <w:szCs w:val="22"/>
                <w:lang w:bidi="ar-SA"/>
              </w:rPr>
            </w:pPr>
            <w:r w:rsidRPr="007239A6">
              <w:rPr>
                <w:sz w:val="20"/>
                <w:szCs w:val="20"/>
              </w:rPr>
              <w:t xml:space="preserve">181 </w:t>
            </w:r>
          </w:p>
        </w:tc>
        <w:tc>
          <w:tcPr>
            <w:tcW w:w="1650" w:type="dxa"/>
            <w:tcBorders>
              <w:top w:val="nil"/>
              <w:left w:val="nil"/>
              <w:bottom w:val="nil"/>
              <w:right w:val="nil"/>
            </w:tcBorders>
            <w:shd w:val="clear" w:color="auto" w:fill="auto"/>
            <w:noWrap/>
            <w:vAlign w:val="bottom"/>
          </w:tcPr>
          <w:p w14:paraId="3057BECF" w14:textId="4BE3F0A4" w:rsidR="00015A86" w:rsidRPr="007239A6" w:rsidRDefault="00015A86" w:rsidP="004C356D">
            <w:pPr>
              <w:spacing w:after="0" w:line="240" w:lineRule="auto"/>
              <w:jc w:val="right"/>
              <w:rPr>
                <w:color w:val="000000"/>
                <w:sz w:val="22"/>
                <w:szCs w:val="22"/>
                <w:lang w:bidi="ar-SA"/>
              </w:rPr>
            </w:pPr>
            <w:r w:rsidRPr="007239A6">
              <w:rPr>
                <w:sz w:val="20"/>
                <w:szCs w:val="20"/>
              </w:rPr>
              <w:t>1018.8</w:t>
            </w:r>
          </w:p>
        </w:tc>
        <w:tc>
          <w:tcPr>
            <w:tcW w:w="1289" w:type="dxa"/>
            <w:tcBorders>
              <w:top w:val="nil"/>
              <w:left w:val="nil"/>
              <w:bottom w:val="nil"/>
              <w:right w:val="nil"/>
            </w:tcBorders>
            <w:shd w:val="clear" w:color="auto" w:fill="auto"/>
            <w:noWrap/>
            <w:vAlign w:val="bottom"/>
          </w:tcPr>
          <w:p w14:paraId="313FE7F7" w14:textId="544F355F" w:rsidR="00015A86" w:rsidRPr="007239A6" w:rsidRDefault="00015A86" w:rsidP="004C356D">
            <w:pPr>
              <w:spacing w:after="0" w:line="240" w:lineRule="auto"/>
              <w:jc w:val="right"/>
              <w:rPr>
                <w:color w:val="000000"/>
                <w:sz w:val="22"/>
                <w:szCs w:val="22"/>
                <w:lang w:bidi="ar-SA"/>
              </w:rPr>
            </w:pPr>
            <w:r w:rsidRPr="007239A6">
              <w:rPr>
                <w:sz w:val="20"/>
                <w:szCs w:val="20"/>
              </w:rPr>
              <w:t xml:space="preserve">107 </w:t>
            </w:r>
          </w:p>
        </w:tc>
        <w:tc>
          <w:tcPr>
            <w:tcW w:w="1769" w:type="dxa"/>
            <w:tcBorders>
              <w:top w:val="nil"/>
              <w:left w:val="nil"/>
              <w:bottom w:val="nil"/>
              <w:right w:val="nil"/>
            </w:tcBorders>
            <w:vAlign w:val="bottom"/>
          </w:tcPr>
          <w:p w14:paraId="12CC227F" w14:textId="0F084C28" w:rsidR="00015A86" w:rsidRPr="00A54231" w:rsidRDefault="00015A86" w:rsidP="004C356D">
            <w:pPr>
              <w:spacing w:after="0" w:line="240" w:lineRule="auto"/>
              <w:jc w:val="right"/>
              <w:rPr>
                <w:sz w:val="20"/>
                <w:szCs w:val="20"/>
              </w:rPr>
            </w:pPr>
            <w:r w:rsidRPr="00A54231">
              <w:rPr>
                <w:color w:val="000000"/>
                <w:sz w:val="20"/>
                <w:szCs w:val="20"/>
              </w:rPr>
              <w:t>507.16</w:t>
            </w:r>
          </w:p>
        </w:tc>
      </w:tr>
      <w:tr w:rsidR="00015A86" w:rsidRPr="007239A6" w14:paraId="597C6980" w14:textId="3C542DF7" w:rsidTr="00181ACD">
        <w:trPr>
          <w:trHeight w:val="288"/>
        </w:trPr>
        <w:tc>
          <w:tcPr>
            <w:tcW w:w="1586" w:type="dxa"/>
            <w:tcBorders>
              <w:top w:val="nil"/>
              <w:left w:val="nil"/>
              <w:bottom w:val="nil"/>
              <w:right w:val="nil"/>
            </w:tcBorders>
            <w:shd w:val="clear" w:color="auto" w:fill="auto"/>
            <w:noWrap/>
            <w:vAlign w:val="bottom"/>
            <w:hideMark/>
          </w:tcPr>
          <w:p w14:paraId="294DEFBE"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Redding</w:t>
            </w:r>
          </w:p>
        </w:tc>
        <w:tc>
          <w:tcPr>
            <w:tcW w:w="1261" w:type="dxa"/>
            <w:tcBorders>
              <w:top w:val="nil"/>
              <w:left w:val="nil"/>
              <w:bottom w:val="nil"/>
              <w:right w:val="nil"/>
            </w:tcBorders>
            <w:shd w:val="clear" w:color="auto" w:fill="auto"/>
            <w:noWrap/>
            <w:vAlign w:val="bottom"/>
          </w:tcPr>
          <w:p w14:paraId="2DF32125" w14:textId="24DC88A2" w:rsidR="00015A86" w:rsidRPr="007239A6" w:rsidRDefault="00015A86" w:rsidP="004C356D">
            <w:pPr>
              <w:spacing w:after="0" w:line="240" w:lineRule="auto"/>
              <w:jc w:val="right"/>
              <w:rPr>
                <w:color w:val="000000"/>
                <w:sz w:val="22"/>
                <w:szCs w:val="22"/>
                <w:lang w:bidi="ar-SA"/>
              </w:rPr>
            </w:pPr>
            <w:r w:rsidRPr="007239A6">
              <w:rPr>
                <w:sz w:val="20"/>
                <w:szCs w:val="20"/>
              </w:rPr>
              <w:t>276.3</w:t>
            </w:r>
          </w:p>
        </w:tc>
        <w:tc>
          <w:tcPr>
            <w:tcW w:w="1293" w:type="dxa"/>
            <w:tcBorders>
              <w:top w:val="nil"/>
              <w:left w:val="nil"/>
              <w:bottom w:val="nil"/>
              <w:right w:val="nil"/>
            </w:tcBorders>
            <w:shd w:val="clear" w:color="auto" w:fill="auto"/>
            <w:noWrap/>
            <w:vAlign w:val="bottom"/>
          </w:tcPr>
          <w:p w14:paraId="634B491A" w14:textId="1E70E740" w:rsidR="00015A86" w:rsidRPr="007239A6" w:rsidRDefault="00015A86" w:rsidP="004C356D">
            <w:pPr>
              <w:spacing w:after="0" w:line="240" w:lineRule="auto"/>
              <w:jc w:val="right"/>
              <w:rPr>
                <w:color w:val="000000"/>
                <w:sz w:val="22"/>
                <w:szCs w:val="22"/>
                <w:lang w:bidi="ar-SA"/>
              </w:rPr>
            </w:pPr>
            <w:r w:rsidRPr="007239A6">
              <w:rPr>
                <w:sz w:val="20"/>
                <w:szCs w:val="20"/>
              </w:rPr>
              <w:t xml:space="preserve">30 </w:t>
            </w:r>
          </w:p>
        </w:tc>
        <w:tc>
          <w:tcPr>
            <w:tcW w:w="1650" w:type="dxa"/>
            <w:tcBorders>
              <w:top w:val="nil"/>
              <w:left w:val="nil"/>
              <w:bottom w:val="nil"/>
              <w:right w:val="nil"/>
            </w:tcBorders>
            <w:shd w:val="clear" w:color="auto" w:fill="auto"/>
            <w:noWrap/>
            <w:vAlign w:val="bottom"/>
          </w:tcPr>
          <w:p w14:paraId="5A406148" w14:textId="0293A643" w:rsidR="00015A86" w:rsidRPr="007239A6" w:rsidRDefault="00015A86" w:rsidP="004C356D">
            <w:pPr>
              <w:spacing w:after="0" w:line="240" w:lineRule="auto"/>
              <w:jc w:val="right"/>
              <w:rPr>
                <w:color w:val="000000"/>
                <w:sz w:val="22"/>
                <w:szCs w:val="22"/>
                <w:lang w:bidi="ar-SA"/>
              </w:rPr>
            </w:pPr>
            <w:r w:rsidRPr="007239A6">
              <w:rPr>
                <w:sz w:val="20"/>
                <w:szCs w:val="20"/>
              </w:rPr>
              <w:t>1123.0</w:t>
            </w:r>
          </w:p>
        </w:tc>
        <w:tc>
          <w:tcPr>
            <w:tcW w:w="1289" w:type="dxa"/>
            <w:tcBorders>
              <w:top w:val="nil"/>
              <w:left w:val="nil"/>
              <w:bottom w:val="nil"/>
              <w:right w:val="nil"/>
            </w:tcBorders>
            <w:shd w:val="clear" w:color="auto" w:fill="auto"/>
            <w:noWrap/>
            <w:vAlign w:val="bottom"/>
          </w:tcPr>
          <w:p w14:paraId="72E0E424" w14:textId="7DBF52DA" w:rsidR="00015A86" w:rsidRPr="007239A6" w:rsidRDefault="00015A86" w:rsidP="004C356D">
            <w:pPr>
              <w:spacing w:after="0" w:line="240" w:lineRule="auto"/>
              <w:jc w:val="right"/>
              <w:rPr>
                <w:color w:val="000000"/>
                <w:sz w:val="22"/>
                <w:szCs w:val="22"/>
                <w:lang w:bidi="ar-SA"/>
              </w:rPr>
            </w:pPr>
            <w:r w:rsidRPr="007239A6">
              <w:rPr>
                <w:sz w:val="20"/>
                <w:szCs w:val="20"/>
              </w:rPr>
              <w:t xml:space="preserve">122 </w:t>
            </w:r>
          </w:p>
        </w:tc>
        <w:tc>
          <w:tcPr>
            <w:tcW w:w="1769" w:type="dxa"/>
            <w:tcBorders>
              <w:top w:val="nil"/>
              <w:left w:val="nil"/>
              <w:bottom w:val="nil"/>
              <w:right w:val="nil"/>
            </w:tcBorders>
            <w:vAlign w:val="bottom"/>
          </w:tcPr>
          <w:p w14:paraId="7855DC9B" w14:textId="5A8FC121" w:rsidR="00015A86" w:rsidRPr="00A54231" w:rsidRDefault="00015A86" w:rsidP="004C356D">
            <w:pPr>
              <w:spacing w:after="0" w:line="240" w:lineRule="auto"/>
              <w:jc w:val="right"/>
              <w:rPr>
                <w:sz w:val="20"/>
                <w:szCs w:val="20"/>
              </w:rPr>
            </w:pPr>
            <w:r w:rsidRPr="00A54231">
              <w:rPr>
                <w:color w:val="000000"/>
                <w:sz w:val="20"/>
                <w:szCs w:val="20"/>
              </w:rPr>
              <w:t>-1248.83</w:t>
            </w:r>
          </w:p>
        </w:tc>
      </w:tr>
      <w:tr w:rsidR="00015A86" w:rsidRPr="007239A6" w14:paraId="4E635F04" w14:textId="10FD2192" w:rsidTr="00181ACD">
        <w:trPr>
          <w:trHeight w:val="288"/>
        </w:trPr>
        <w:tc>
          <w:tcPr>
            <w:tcW w:w="1586" w:type="dxa"/>
            <w:tcBorders>
              <w:top w:val="nil"/>
              <w:left w:val="nil"/>
              <w:bottom w:val="nil"/>
              <w:right w:val="nil"/>
            </w:tcBorders>
            <w:shd w:val="clear" w:color="auto" w:fill="auto"/>
            <w:noWrap/>
            <w:vAlign w:val="bottom"/>
            <w:hideMark/>
          </w:tcPr>
          <w:p w14:paraId="14E84758"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Ridgefield</w:t>
            </w:r>
          </w:p>
        </w:tc>
        <w:tc>
          <w:tcPr>
            <w:tcW w:w="1261" w:type="dxa"/>
            <w:tcBorders>
              <w:top w:val="nil"/>
              <w:left w:val="nil"/>
              <w:bottom w:val="nil"/>
              <w:right w:val="nil"/>
            </w:tcBorders>
            <w:shd w:val="clear" w:color="auto" w:fill="auto"/>
            <w:noWrap/>
            <w:vAlign w:val="bottom"/>
          </w:tcPr>
          <w:p w14:paraId="2E05A767" w14:textId="3B726BC5" w:rsidR="00015A86" w:rsidRPr="007239A6" w:rsidRDefault="00015A86" w:rsidP="004C356D">
            <w:pPr>
              <w:spacing w:after="0" w:line="240" w:lineRule="auto"/>
              <w:jc w:val="right"/>
              <w:rPr>
                <w:color w:val="000000"/>
                <w:sz w:val="22"/>
                <w:szCs w:val="22"/>
                <w:lang w:bidi="ar-SA"/>
              </w:rPr>
            </w:pPr>
            <w:r w:rsidRPr="007239A6">
              <w:rPr>
                <w:sz w:val="20"/>
                <w:szCs w:val="20"/>
              </w:rPr>
              <w:t>3,637.2</w:t>
            </w:r>
          </w:p>
        </w:tc>
        <w:tc>
          <w:tcPr>
            <w:tcW w:w="1293" w:type="dxa"/>
            <w:tcBorders>
              <w:top w:val="nil"/>
              <w:left w:val="nil"/>
              <w:bottom w:val="nil"/>
              <w:right w:val="nil"/>
            </w:tcBorders>
            <w:shd w:val="clear" w:color="auto" w:fill="auto"/>
            <w:noWrap/>
            <w:vAlign w:val="bottom"/>
          </w:tcPr>
          <w:p w14:paraId="29F3E93F" w14:textId="6C645485" w:rsidR="00015A86" w:rsidRPr="007239A6" w:rsidRDefault="00015A86" w:rsidP="004C356D">
            <w:pPr>
              <w:spacing w:after="0" w:line="240" w:lineRule="auto"/>
              <w:jc w:val="right"/>
              <w:rPr>
                <w:color w:val="000000"/>
                <w:sz w:val="22"/>
                <w:szCs w:val="22"/>
                <w:lang w:bidi="ar-SA"/>
              </w:rPr>
            </w:pPr>
            <w:r w:rsidRPr="007239A6">
              <w:rPr>
                <w:sz w:val="20"/>
                <w:szCs w:val="20"/>
              </w:rPr>
              <w:t xml:space="preserve">146 </w:t>
            </w:r>
          </w:p>
        </w:tc>
        <w:tc>
          <w:tcPr>
            <w:tcW w:w="1650" w:type="dxa"/>
            <w:tcBorders>
              <w:top w:val="nil"/>
              <w:left w:val="nil"/>
              <w:bottom w:val="nil"/>
              <w:right w:val="nil"/>
            </w:tcBorders>
            <w:shd w:val="clear" w:color="auto" w:fill="auto"/>
            <w:noWrap/>
            <w:vAlign w:val="bottom"/>
          </w:tcPr>
          <w:p w14:paraId="0D47CCAA" w14:textId="755E1448" w:rsidR="00015A86" w:rsidRPr="007239A6" w:rsidRDefault="00015A86" w:rsidP="004C356D">
            <w:pPr>
              <w:spacing w:after="0" w:line="240" w:lineRule="auto"/>
              <w:jc w:val="right"/>
              <w:rPr>
                <w:color w:val="000000"/>
                <w:sz w:val="22"/>
                <w:szCs w:val="22"/>
                <w:lang w:bidi="ar-SA"/>
              </w:rPr>
            </w:pPr>
            <w:r w:rsidRPr="007239A6">
              <w:rPr>
                <w:sz w:val="20"/>
                <w:szCs w:val="20"/>
              </w:rPr>
              <w:t>4053.0</w:t>
            </w:r>
          </w:p>
        </w:tc>
        <w:tc>
          <w:tcPr>
            <w:tcW w:w="1289" w:type="dxa"/>
            <w:tcBorders>
              <w:top w:val="nil"/>
              <w:left w:val="nil"/>
              <w:bottom w:val="nil"/>
              <w:right w:val="nil"/>
            </w:tcBorders>
            <w:shd w:val="clear" w:color="auto" w:fill="auto"/>
            <w:noWrap/>
            <w:vAlign w:val="bottom"/>
          </w:tcPr>
          <w:p w14:paraId="168340C5" w14:textId="2FDA7121" w:rsidR="00015A86" w:rsidRPr="007239A6" w:rsidRDefault="00015A86" w:rsidP="004C356D">
            <w:pPr>
              <w:spacing w:after="0" w:line="240" w:lineRule="auto"/>
              <w:jc w:val="right"/>
              <w:rPr>
                <w:color w:val="000000"/>
                <w:sz w:val="22"/>
                <w:szCs w:val="22"/>
                <w:lang w:bidi="ar-SA"/>
              </w:rPr>
            </w:pPr>
            <w:r w:rsidRPr="007239A6">
              <w:rPr>
                <w:sz w:val="20"/>
                <w:szCs w:val="20"/>
              </w:rPr>
              <w:t xml:space="preserve">163 </w:t>
            </w:r>
          </w:p>
        </w:tc>
        <w:tc>
          <w:tcPr>
            <w:tcW w:w="1769" w:type="dxa"/>
            <w:tcBorders>
              <w:top w:val="nil"/>
              <w:left w:val="nil"/>
              <w:bottom w:val="nil"/>
              <w:right w:val="nil"/>
            </w:tcBorders>
            <w:vAlign w:val="bottom"/>
          </w:tcPr>
          <w:p w14:paraId="6E9F13D0" w14:textId="5006FFDA" w:rsidR="00015A86" w:rsidRPr="00A54231" w:rsidRDefault="00015A86" w:rsidP="004C356D">
            <w:pPr>
              <w:spacing w:after="0" w:line="240" w:lineRule="auto"/>
              <w:jc w:val="right"/>
              <w:rPr>
                <w:sz w:val="20"/>
                <w:szCs w:val="20"/>
              </w:rPr>
            </w:pPr>
            <w:r w:rsidRPr="00A54231">
              <w:rPr>
                <w:color w:val="000000"/>
                <w:sz w:val="20"/>
                <w:szCs w:val="20"/>
              </w:rPr>
              <w:t>-1441.92</w:t>
            </w:r>
          </w:p>
        </w:tc>
      </w:tr>
      <w:tr w:rsidR="00015A86" w:rsidRPr="007239A6" w14:paraId="1C9C3E32" w14:textId="67C810AA" w:rsidTr="00181ACD">
        <w:trPr>
          <w:trHeight w:val="288"/>
        </w:trPr>
        <w:tc>
          <w:tcPr>
            <w:tcW w:w="1586" w:type="dxa"/>
            <w:tcBorders>
              <w:top w:val="nil"/>
              <w:left w:val="nil"/>
              <w:bottom w:val="nil"/>
              <w:right w:val="nil"/>
            </w:tcBorders>
            <w:shd w:val="clear" w:color="auto" w:fill="auto"/>
            <w:noWrap/>
            <w:vAlign w:val="bottom"/>
            <w:hideMark/>
          </w:tcPr>
          <w:p w14:paraId="55410401"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Rocky Hill</w:t>
            </w:r>
          </w:p>
        </w:tc>
        <w:tc>
          <w:tcPr>
            <w:tcW w:w="1261" w:type="dxa"/>
            <w:tcBorders>
              <w:top w:val="nil"/>
              <w:left w:val="nil"/>
              <w:bottom w:val="nil"/>
              <w:right w:val="nil"/>
            </w:tcBorders>
            <w:shd w:val="clear" w:color="auto" w:fill="auto"/>
            <w:noWrap/>
            <w:vAlign w:val="bottom"/>
          </w:tcPr>
          <w:p w14:paraId="3A437541" w14:textId="2F9D31E5" w:rsidR="00015A86" w:rsidRPr="007239A6" w:rsidRDefault="00015A86" w:rsidP="004C356D">
            <w:pPr>
              <w:spacing w:after="0" w:line="240" w:lineRule="auto"/>
              <w:jc w:val="right"/>
              <w:rPr>
                <w:color w:val="000000"/>
                <w:sz w:val="22"/>
                <w:szCs w:val="22"/>
                <w:lang w:bidi="ar-SA"/>
              </w:rPr>
            </w:pPr>
            <w:r w:rsidRPr="007239A6">
              <w:rPr>
                <w:sz w:val="20"/>
                <w:szCs w:val="20"/>
              </w:rPr>
              <w:t>2,820.9</w:t>
            </w:r>
          </w:p>
        </w:tc>
        <w:tc>
          <w:tcPr>
            <w:tcW w:w="1293" w:type="dxa"/>
            <w:tcBorders>
              <w:top w:val="nil"/>
              <w:left w:val="nil"/>
              <w:bottom w:val="nil"/>
              <w:right w:val="nil"/>
            </w:tcBorders>
            <w:shd w:val="clear" w:color="auto" w:fill="auto"/>
            <w:noWrap/>
            <w:vAlign w:val="bottom"/>
          </w:tcPr>
          <w:p w14:paraId="48F5FEC0" w14:textId="600B5D16" w:rsidR="00015A86" w:rsidRPr="007239A6" w:rsidRDefault="00015A86" w:rsidP="004C356D">
            <w:pPr>
              <w:spacing w:after="0" w:line="240" w:lineRule="auto"/>
              <w:jc w:val="right"/>
              <w:rPr>
                <w:color w:val="000000"/>
                <w:sz w:val="22"/>
                <w:szCs w:val="22"/>
                <w:lang w:bidi="ar-SA"/>
              </w:rPr>
            </w:pPr>
            <w:r w:rsidRPr="007239A6">
              <w:rPr>
                <w:sz w:val="20"/>
                <w:szCs w:val="20"/>
              </w:rPr>
              <w:t xml:space="preserve">143 </w:t>
            </w:r>
          </w:p>
        </w:tc>
        <w:tc>
          <w:tcPr>
            <w:tcW w:w="1650" w:type="dxa"/>
            <w:tcBorders>
              <w:top w:val="nil"/>
              <w:left w:val="nil"/>
              <w:bottom w:val="nil"/>
              <w:right w:val="nil"/>
            </w:tcBorders>
            <w:shd w:val="clear" w:color="auto" w:fill="auto"/>
            <w:noWrap/>
            <w:vAlign w:val="bottom"/>
          </w:tcPr>
          <w:p w14:paraId="203AF82C" w14:textId="353CF3FD" w:rsidR="00015A86" w:rsidRPr="007239A6" w:rsidRDefault="00015A86" w:rsidP="004C356D">
            <w:pPr>
              <w:spacing w:after="0" w:line="240" w:lineRule="auto"/>
              <w:jc w:val="right"/>
              <w:rPr>
                <w:color w:val="000000"/>
                <w:sz w:val="22"/>
                <w:szCs w:val="22"/>
                <w:lang w:bidi="ar-SA"/>
              </w:rPr>
            </w:pPr>
            <w:r w:rsidRPr="007239A6">
              <w:rPr>
                <w:sz w:val="20"/>
                <w:szCs w:val="20"/>
              </w:rPr>
              <w:t>3537.0</w:t>
            </w:r>
          </w:p>
        </w:tc>
        <w:tc>
          <w:tcPr>
            <w:tcW w:w="1289" w:type="dxa"/>
            <w:tcBorders>
              <w:top w:val="nil"/>
              <w:left w:val="nil"/>
              <w:bottom w:val="nil"/>
              <w:right w:val="nil"/>
            </w:tcBorders>
            <w:shd w:val="clear" w:color="auto" w:fill="auto"/>
            <w:noWrap/>
            <w:vAlign w:val="bottom"/>
          </w:tcPr>
          <w:p w14:paraId="114F8375" w14:textId="6A32C33F" w:rsidR="00015A86" w:rsidRPr="007239A6" w:rsidRDefault="00015A86" w:rsidP="004C356D">
            <w:pPr>
              <w:spacing w:after="0" w:line="240" w:lineRule="auto"/>
              <w:jc w:val="right"/>
              <w:rPr>
                <w:color w:val="000000"/>
                <w:sz w:val="22"/>
                <w:szCs w:val="22"/>
                <w:lang w:bidi="ar-SA"/>
              </w:rPr>
            </w:pPr>
            <w:r w:rsidRPr="007239A6">
              <w:rPr>
                <w:sz w:val="20"/>
                <w:szCs w:val="20"/>
              </w:rPr>
              <w:t xml:space="preserve">179 </w:t>
            </w:r>
          </w:p>
        </w:tc>
        <w:tc>
          <w:tcPr>
            <w:tcW w:w="1769" w:type="dxa"/>
            <w:tcBorders>
              <w:top w:val="nil"/>
              <w:left w:val="nil"/>
              <w:bottom w:val="nil"/>
              <w:right w:val="nil"/>
            </w:tcBorders>
            <w:vAlign w:val="bottom"/>
          </w:tcPr>
          <w:p w14:paraId="4C5147B2" w14:textId="7CD495EA" w:rsidR="00015A86" w:rsidRPr="00A54231" w:rsidRDefault="00015A86" w:rsidP="004C356D">
            <w:pPr>
              <w:spacing w:after="0" w:line="240" w:lineRule="auto"/>
              <w:jc w:val="right"/>
              <w:rPr>
                <w:sz w:val="20"/>
                <w:szCs w:val="20"/>
              </w:rPr>
            </w:pPr>
            <w:r w:rsidRPr="00A54231">
              <w:rPr>
                <w:color w:val="000000"/>
                <w:sz w:val="20"/>
                <w:szCs w:val="20"/>
              </w:rPr>
              <w:t>22.32</w:t>
            </w:r>
          </w:p>
        </w:tc>
      </w:tr>
      <w:tr w:rsidR="00015A86" w:rsidRPr="007239A6" w14:paraId="27EDC263" w14:textId="65385DA4" w:rsidTr="00181ACD">
        <w:trPr>
          <w:trHeight w:val="288"/>
        </w:trPr>
        <w:tc>
          <w:tcPr>
            <w:tcW w:w="1586" w:type="dxa"/>
            <w:tcBorders>
              <w:top w:val="nil"/>
              <w:left w:val="nil"/>
              <w:bottom w:val="nil"/>
              <w:right w:val="nil"/>
            </w:tcBorders>
            <w:shd w:val="clear" w:color="auto" w:fill="auto"/>
            <w:noWrap/>
            <w:vAlign w:val="bottom"/>
            <w:hideMark/>
          </w:tcPr>
          <w:p w14:paraId="310AD876"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Roxbury</w:t>
            </w:r>
          </w:p>
        </w:tc>
        <w:tc>
          <w:tcPr>
            <w:tcW w:w="1261" w:type="dxa"/>
            <w:tcBorders>
              <w:top w:val="nil"/>
              <w:left w:val="nil"/>
              <w:bottom w:val="nil"/>
              <w:right w:val="nil"/>
            </w:tcBorders>
            <w:shd w:val="clear" w:color="auto" w:fill="auto"/>
            <w:noWrap/>
            <w:vAlign w:val="bottom"/>
          </w:tcPr>
          <w:p w14:paraId="081EE79C" w14:textId="3C8FE30D" w:rsidR="00015A86" w:rsidRPr="007239A6" w:rsidRDefault="00015A86" w:rsidP="004C356D">
            <w:pPr>
              <w:spacing w:after="0" w:line="240" w:lineRule="auto"/>
              <w:jc w:val="right"/>
              <w:rPr>
                <w:color w:val="000000"/>
                <w:sz w:val="22"/>
                <w:szCs w:val="22"/>
                <w:lang w:bidi="ar-SA"/>
              </w:rPr>
            </w:pPr>
            <w:r w:rsidRPr="007239A6">
              <w:rPr>
                <w:sz w:val="20"/>
                <w:szCs w:val="20"/>
              </w:rPr>
              <w:t>56.5</w:t>
            </w:r>
          </w:p>
        </w:tc>
        <w:tc>
          <w:tcPr>
            <w:tcW w:w="1293" w:type="dxa"/>
            <w:tcBorders>
              <w:top w:val="nil"/>
              <w:left w:val="nil"/>
              <w:bottom w:val="nil"/>
              <w:right w:val="nil"/>
            </w:tcBorders>
            <w:shd w:val="clear" w:color="auto" w:fill="auto"/>
            <w:noWrap/>
            <w:vAlign w:val="bottom"/>
          </w:tcPr>
          <w:p w14:paraId="24A7FCC0" w14:textId="2EFF0F0D" w:rsidR="00015A86" w:rsidRPr="007239A6" w:rsidRDefault="00015A86" w:rsidP="004C356D">
            <w:pPr>
              <w:spacing w:after="0" w:line="240" w:lineRule="auto"/>
              <w:jc w:val="right"/>
              <w:rPr>
                <w:color w:val="000000"/>
                <w:sz w:val="22"/>
                <w:szCs w:val="22"/>
                <w:lang w:bidi="ar-SA"/>
              </w:rPr>
            </w:pPr>
            <w:r w:rsidRPr="007239A6">
              <w:rPr>
                <w:sz w:val="20"/>
                <w:szCs w:val="20"/>
              </w:rPr>
              <w:t xml:space="preserve">25 </w:t>
            </w:r>
          </w:p>
        </w:tc>
        <w:tc>
          <w:tcPr>
            <w:tcW w:w="1650" w:type="dxa"/>
            <w:tcBorders>
              <w:top w:val="nil"/>
              <w:left w:val="nil"/>
              <w:bottom w:val="nil"/>
              <w:right w:val="nil"/>
            </w:tcBorders>
            <w:shd w:val="clear" w:color="auto" w:fill="auto"/>
            <w:noWrap/>
            <w:vAlign w:val="bottom"/>
          </w:tcPr>
          <w:p w14:paraId="5B982A9D" w14:textId="7E68F59E" w:rsidR="00015A86" w:rsidRPr="007239A6" w:rsidRDefault="00015A86" w:rsidP="004C356D">
            <w:pPr>
              <w:spacing w:after="0" w:line="240" w:lineRule="auto"/>
              <w:jc w:val="right"/>
              <w:rPr>
                <w:color w:val="000000"/>
                <w:sz w:val="22"/>
                <w:szCs w:val="22"/>
                <w:lang w:bidi="ar-SA"/>
              </w:rPr>
            </w:pPr>
            <w:r w:rsidRPr="007239A6">
              <w:rPr>
                <w:sz w:val="20"/>
                <w:szCs w:val="20"/>
              </w:rPr>
              <w:t>213.8</w:t>
            </w:r>
          </w:p>
        </w:tc>
        <w:tc>
          <w:tcPr>
            <w:tcW w:w="1289" w:type="dxa"/>
            <w:tcBorders>
              <w:top w:val="nil"/>
              <w:left w:val="nil"/>
              <w:bottom w:val="nil"/>
              <w:right w:val="nil"/>
            </w:tcBorders>
            <w:shd w:val="clear" w:color="auto" w:fill="auto"/>
            <w:noWrap/>
            <w:vAlign w:val="bottom"/>
          </w:tcPr>
          <w:p w14:paraId="77A7B335" w14:textId="387933EF" w:rsidR="00015A86" w:rsidRPr="007239A6" w:rsidRDefault="00015A86" w:rsidP="004C356D">
            <w:pPr>
              <w:spacing w:after="0" w:line="240" w:lineRule="auto"/>
              <w:jc w:val="right"/>
              <w:rPr>
                <w:color w:val="000000"/>
                <w:sz w:val="22"/>
                <w:szCs w:val="22"/>
                <w:lang w:bidi="ar-SA"/>
              </w:rPr>
            </w:pPr>
            <w:r w:rsidRPr="007239A6">
              <w:rPr>
                <w:sz w:val="20"/>
                <w:szCs w:val="20"/>
              </w:rPr>
              <w:t xml:space="preserve">93 </w:t>
            </w:r>
          </w:p>
        </w:tc>
        <w:tc>
          <w:tcPr>
            <w:tcW w:w="1769" w:type="dxa"/>
            <w:tcBorders>
              <w:top w:val="nil"/>
              <w:left w:val="nil"/>
              <w:bottom w:val="nil"/>
              <w:right w:val="nil"/>
            </w:tcBorders>
            <w:vAlign w:val="bottom"/>
          </w:tcPr>
          <w:p w14:paraId="01BE96AA" w14:textId="3ADED743" w:rsidR="00015A86" w:rsidRPr="00A54231" w:rsidRDefault="00015A86" w:rsidP="004C356D">
            <w:pPr>
              <w:spacing w:after="0" w:line="240" w:lineRule="auto"/>
              <w:jc w:val="right"/>
              <w:rPr>
                <w:sz w:val="20"/>
                <w:szCs w:val="20"/>
              </w:rPr>
            </w:pPr>
            <w:r w:rsidRPr="00A54231">
              <w:rPr>
                <w:color w:val="000000"/>
                <w:sz w:val="20"/>
                <w:szCs w:val="20"/>
              </w:rPr>
              <w:t>-2608.41</w:t>
            </w:r>
          </w:p>
        </w:tc>
      </w:tr>
      <w:tr w:rsidR="00015A86" w:rsidRPr="007239A6" w14:paraId="744C3C41" w14:textId="07A6A53E" w:rsidTr="00181ACD">
        <w:trPr>
          <w:trHeight w:val="288"/>
        </w:trPr>
        <w:tc>
          <w:tcPr>
            <w:tcW w:w="1586" w:type="dxa"/>
            <w:tcBorders>
              <w:top w:val="nil"/>
              <w:left w:val="nil"/>
              <w:bottom w:val="nil"/>
              <w:right w:val="nil"/>
            </w:tcBorders>
            <w:shd w:val="clear" w:color="auto" w:fill="auto"/>
            <w:noWrap/>
            <w:vAlign w:val="bottom"/>
            <w:hideMark/>
          </w:tcPr>
          <w:p w14:paraId="6747262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Salem</w:t>
            </w:r>
          </w:p>
        </w:tc>
        <w:tc>
          <w:tcPr>
            <w:tcW w:w="1261" w:type="dxa"/>
            <w:tcBorders>
              <w:top w:val="nil"/>
              <w:left w:val="nil"/>
              <w:bottom w:val="nil"/>
              <w:right w:val="nil"/>
            </w:tcBorders>
            <w:shd w:val="clear" w:color="auto" w:fill="auto"/>
            <w:noWrap/>
            <w:vAlign w:val="bottom"/>
          </w:tcPr>
          <w:p w14:paraId="2F8EC759" w14:textId="770640C9" w:rsidR="00015A86" w:rsidRPr="007239A6" w:rsidRDefault="00015A86" w:rsidP="004C356D">
            <w:pPr>
              <w:spacing w:after="0" w:line="240" w:lineRule="auto"/>
              <w:jc w:val="right"/>
              <w:rPr>
                <w:color w:val="000000"/>
                <w:sz w:val="22"/>
                <w:szCs w:val="22"/>
                <w:lang w:bidi="ar-SA"/>
              </w:rPr>
            </w:pPr>
            <w:r w:rsidRPr="007239A6">
              <w:rPr>
                <w:sz w:val="20"/>
                <w:szCs w:val="20"/>
              </w:rPr>
              <w:t>172.0</w:t>
            </w:r>
          </w:p>
        </w:tc>
        <w:tc>
          <w:tcPr>
            <w:tcW w:w="1293" w:type="dxa"/>
            <w:tcBorders>
              <w:top w:val="nil"/>
              <w:left w:val="nil"/>
              <w:bottom w:val="nil"/>
              <w:right w:val="nil"/>
            </w:tcBorders>
            <w:shd w:val="clear" w:color="auto" w:fill="auto"/>
            <w:noWrap/>
            <w:vAlign w:val="bottom"/>
          </w:tcPr>
          <w:p w14:paraId="13826D2A" w14:textId="09F13B72" w:rsidR="00015A86" w:rsidRPr="007239A6" w:rsidRDefault="00015A86" w:rsidP="004C356D">
            <w:pPr>
              <w:spacing w:after="0" w:line="240" w:lineRule="auto"/>
              <w:jc w:val="right"/>
              <w:rPr>
                <w:color w:val="000000"/>
                <w:sz w:val="22"/>
                <w:szCs w:val="22"/>
                <w:lang w:bidi="ar-SA"/>
              </w:rPr>
            </w:pPr>
            <w:r w:rsidRPr="007239A6">
              <w:rPr>
                <w:sz w:val="20"/>
                <w:szCs w:val="20"/>
              </w:rPr>
              <w:t xml:space="preserve">41 </w:t>
            </w:r>
          </w:p>
        </w:tc>
        <w:tc>
          <w:tcPr>
            <w:tcW w:w="1650" w:type="dxa"/>
            <w:tcBorders>
              <w:top w:val="nil"/>
              <w:left w:val="nil"/>
              <w:bottom w:val="nil"/>
              <w:right w:val="nil"/>
            </w:tcBorders>
            <w:shd w:val="clear" w:color="auto" w:fill="auto"/>
            <w:noWrap/>
            <w:vAlign w:val="bottom"/>
          </w:tcPr>
          <w:p w14:paraId="0DA290D8" w14:textId="1BA39DE5" w:rsidR="00015A86" w:rsidRPr="007239A6" w:rsidRDefault="00015A86" w:rsidP="004C356D">
            <w:pPr>
              <w:spacing w:after="0" w:line="240" w:lineRule="auto"/>
              <w:jc w:val="right"/>
              <w:rPr>
                <w:color w:val="000000"/>
                <w:sz w:val="22"/>
                <w:szCs w:val="22"/>
                <w:lang w:bidi="ar-SA"/>
              </w:rPr>
            </w:pPr>
            <w:r w:rsidRPr="007239A6">
              <w:rPr>
                <w:sz w:val="20"/>
                <w:szCs w:val="20"/>
              </w:rPr>
              <w:t>331.4</w:t>
            </w:r>
          </w:p>
        </w:tc>
        <w:tc>
          <w:tcPr>
            <w:tcW w:w="1289" w:type="dxa"/>
            <w:tcBorders>
              <w:top w:val="nil"/>
              <w:left w:val="nil"/>
              <w:bottom w:val="nil"/>
              <w:right w:val="nil"/>
            </w:tcBorders>
            <w:shd w:val="clear" w:color="auto" w:fill="auto"/>
            <w:noWrap/>
            <w:vAlign w:val="bottom"/>
          </w:tcPr>
          <w:p w14:paraId="309B64DE" w14:textId="1CCA2ED2" w:rsidR="00015A86" w:rsidRPr="007239A6" w:rsidRDefault="00015A86" w:rsidP="004C356D">
            <w:pPr>
              <w:spacing w:after="0" w:line="240" w:lineRule="auto"/>
              <w:jc w:val="right"/>
              <w:rPr>
                <w:color w:val="000000"/>
                <w:sz w:val="22"/>
                <w:szCs w:val="22"/>
                <w:lang w:bidi="ar-SA"/>
              </w:rPr>
            </w:pPr>
            <w:r w:rsidRPr="007239A6">
              <w:rPr>
                <w:sz w:val="20"/>
                <w:szCs w:val="20"/>
              </w:rPr>
              <w:t xml:space="preserve">79 </w:t>
            </w:r>
          </w:p>
        </w:tc>
        <w:tc>
          <w:tcPr>
            <w:tcW w:w="1769" w:type="dxa"/>
            <w:tcBorders>
              <w:top w:val="nil"/>
              <w:left w:val="nil"/>
              <w:bottom w:val="nil"/>
              <w:right w:val="nil"/>
            </w:tcBorders>
            <w:vAlign w:val="bottom"/>
          </w:tcPr>
          <w:p w14:paraId="5BDF4AB9" w14:textId="7F8C8945" w:rsidR="00015A86" w:rsidRPr="00A54231" w:rsidRDefault="00015A86" w:rsidP="004C356D">
            <w:pPr>
              <w:spacing w:after="0" w:line="240" w:lineRule="auto"/>
              <w:jc w:val="right"/>
              <w:rPr>
                <w:sz w:val="20"/>
                <w:szCs w:val="20"/>
              </w:rPr>
            </w:pPr>
            <w:r w:rsidRPr="00A54231">
              <w:rPr>
                <w:color w:val="000000"/>
                <w:sz w:val="20"/>
                <w:szCs w:val="20"/>
              </w:rPr>
              <w:t>-112.06</w:t>
            </w:r>
          </w:p>
        </w:tc>
      </w:tr>
      <w:tr w:rsidR="00015A86" w:rsidRPr="007239A6" w14:paraId="71B4BBA2" w14:textId="20427FE0" w:rsidTr="00181ACD">
        <w:trPr>
          <w:trHeight w:val="288"/>
        </w:trPr>
        <w:tc>
          <w:tcPr>
            <w:tcW w:w="1586" w:type="dxa"/>
            <w:tcBorders>
              <w:top w:val="nil"/>
              <w:left w:val="nil"/>
              <w:bottom w:val="nil"/>
              <w:right w:val="nil"/>
            </w:tcBorders>
            <w:shd w:val="clear" w:color="auto" w:fill="auto"/>
            <w:noWrap/>
            <w:vAlign w:val="bottom"/>
            <w:hideMark/>
          </w:tcPr>
          <w:p w14:paraId="2BB08FB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Salisbury</w:t>
            </w:r>
          </w:p>
        </w:tc>
        <w:tc>
          <w:tcPr>
            <w:tcW w:w="1261" w:type="dxa"/>
            <w:tcBorders>
              <w:top w:val="nil"/>
              <w:left w:val="nil"/>
              <w:bottom w:val="nil"/>
              <w:right w:val="nil"/>
            </w:tcBorders>
            <w:shd w:val="clear" w:color="auto" w:fill="auto"/>
            <w:noWrap/>
            <w:vAlign w:val="bottom"/>
          </w:tcPr>
          <w:p w14:paraId="2F86FE88" w14:textId="45F061C5" w:rsidR="00015A86" w:rsidRPr="007239A6" w:rsidRDefault="00015A86" w:rsidP="004C356D">
            <w:pPr>
              <w:spacing w:after="0" w:line="240" w:lineRule="auto"/>
              <w:jc w:val="right"/>
              <w:rPr>
                <w:color w:val="000000"/>
                <w:sz w:val="22"/>
                <w:szCs w:val="22"/>
                <w:lang w:bidi="ar-SA"/>
              </w:rPr>
            </w:pPr>
            <w:r w:rsidRPr="007239A6">
              <w:rPr>
                <w:sz w:val="20"/>
                <w:szCs w:val="20"/>
              </w:rPr>
              <w:t>367.1</w:t>
            </w:r>
          </w:p>
        </w:tc>
        <w:tc>
          <w:tcPr>
            <w:tcW w:w="1293" w:type="dxa"/>
            <w:tcBorders>
              <w:top w:val="nil"/>
              <w:left w:val="nil"/>
              <w:bottom w:val="nil"/>
              <w:right w:val="nil"/>
            </w:tcBorders>
            <w:shd w:val="clear" w:color="auto" w:fill="auto"/>
            <w:noWrap/>
            <w:vAlign w:val="bottom"/>
          </w:tcPr>
          <w:p w14:paraId="68DF7C13" w14:textId="0682301A" w:rsidR="00015A86" w:rsidRPr="007239A6" w:rsidRDefault="00015A86" w:rsidP="004C356D">
            <w:pPr>
              <w:spacing w:after="0" w:line="240" w:lineRule="auto"/>
              <w:jc w:val="right"/>
              <w:rPr>
                <w:color w:val="000000"/>
                <w:sz w:val="22"/>
                <w:szCs w:val="22"/>
                <w:lang w:bidi="ar-SA"/>
              </w:rPr>
            </w:pPr>
            <w:r w:rsidRPr="007239A6">
              <w:rPr>
                <w:sz w:val="20"/>
                <w:szCs w:val="20"/>
              </w:rPr>
              <w:t xml:space="preserve">99 </w:t>
            </w:r>
          </w:p>
        </w:tc>
        <w:tc>
          <w:tcPr>
            <w:tcW w:w="1650" w:type="dxa"/>
            <w:tcBorders>
              <w:top w:val="nil"/>
              <w:left w:val="nil"/>
              <w:bottom w:val="nil"/>
              <w:right w:val="nil"/>
            </w:tcBorders>
            <w:shd w:val="clear" w:color="auto" w:fill="auto"/>
            <w:noWrap/>
            <w:vAlign w:val="bottom"/>
          </w:tcPr>
          <w:p w14:paraId="60A7C87B" w14:textId="6EED1874" w:rsidR="00015A86" w:rsidRPr="007239A6" w:rsidRDefault="00015A86" w:rsidP="004C356D">
            <w:pPr>
              <w:spacing w:after="0" w:line="240" w:lineRule="auto"/>
              <w:jc w:val="right"/>
              <w:rPr>
                <w:color w:val="000000"/>
                <w:sz w:val="22"/>
                <w:szCs w:val="22"/>
                <w:lang w:bidi="ar-SA"/>
              </w:rPr>
            </w:pPr>
            <w:r w:rsidRPr="007239A6">
              <w:rPr>
                <w:sz w:val="20"/>
                <w:szCs w:val="20"/>
              </w:rPr>
              <w:t>644.3</w:t>
            </w:r>
          </w:p>
        </w:tc>
        <w:tc>
          <w:tcPr>
            <w:tcW w:w="1289" w:type="dxa"/>
            <w:tcBorders>
              <w:top w:val="nil"/>
              <w:left w:val="nil"/>
              <w:bottom w:val="nil"/>
              <w:right w:val="nil"/>
            </w:tcBorders>
            <w:shd w:val="clear" w:color="auto" w:fill="auto"/>
            <w:noWrap/>
            <w:vAlign w:val="bottom"/>
          </w:tcPr>
          <w:p w14:paraId="1FC2FFE3" w14:textId="1372DD59" w:rsidR="00015A86" w:rsidRPr="007239A6" w:rsidRDefault="00015A86" w:rsidP="004C356D">
            <w:pPr>
              <w:spacing w:after="0" w:line="240" w:lineRule="auto"/>
              <w:jc w:val="right"/>
              <w:rPr>
                <w:color w:val="000000"/>
                <w:sz w:val="22"/>
                <w:szCs w:val="22"/>
                <w:lang w:bidi="ar-SA"/>
              </w:rPr>
            </w:pPr>
            <w:r w:rsidRPr="007239A6">
              <w:rPr>
                <w:sz w:val="20"/>
                <w:szCs w:val="20"/>
              </w:rPr>
              <w:t xml:space="preserve">173 </w:t>
            </w:r>
          </w:p>
        </w:tc>
        <w:tc>
          <w:tcPr>
            <w:tcW w:w="1769" w:type="dxa"/>
            <w:tcBorders>
              <w:top w:val="nil"/>
              <w:left w:val="nil"/>
              <w:bottom w:val="nil"/>
              <w:right w:val="nil"/>
            </w:tcBorders>
            <w:vAlign w:val="bottom"/>
          </w:tcPr>
          <w:p w14:paraId="091DA491" w14:textId="06125F2A" w:rsidR="00015A86" w:rsidRPr="00A54231" w:rsidRDefault="00015A86" w:rsidP="004C356D">
            <w:pPr>
              <w:spacing w:after="0" w:line="240" w:lineRule="auto"/>
              <w:jc w:val="right"/>
              <w:rPr>
                <w:sz w:val="20"/>
                <w:szCs w:val="20"/>
              </w:rPr>
            </w:pPr>
            <w:r w:rsidRPr="00A54231">
              <w:rPr>
                <w:color w:val="000000"/>
                <w:sz w:val="20"/>
                <w:szCs w:val="20"/>
              </w:rPr>
              <w:t>-2552.76</w:t>
            </w:r>
          </w:p>
        </w:tc>
      </w:tr>
      <w:tr w:rsidR="00015A86" w:rsidRPr="007239A6" w14:paraId="2E21D3AF" w14:textId="513EF530" w:rsidTr="00181ACD">
        <w:trPr>
          <w:trHeight w:val="288"/>
        </w:trPr>
        <w:tc>
          <w:tcPr>
            <w:tcW w:w="1586" w:type="dxa"/>
            <w:tcBorders>
              <w:top w:val="nil"/>
              <w:left w:val="nil"/>
              <w:bottom w:val="nil"/>
              <w:right w:val="nil"/>
            </w:tcBorders>
            <w:shd w:val="clear" w:color="auto" w:fill="auto"/>
            <w:noWrap/>
            <w:vAlign w:val="bottom"/>
            <w:hideMark/>
          </w:tcPr>
          <w:p w14:paraId="3D8F1D54"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Scotland</w:t>
            </w:r>
          </w:p>
        </w:tc>
        <w:tc>
          <w:tcPr>
            <w:tcW w:w="1261" w:type="dxa"/>
            <w:tcBorders>
              <w:top w:val="nil"/>
              <w:left w:val="nil"/>
              <w:bottom w:val="nil"/>
              <w:right w:val="nil"/>
            </w:tcBorders>
            <w:shd w:val="clear" w:color="auto" w:fill="auto"/>
            <w:noWrap/>
            <w:vAlign w:val="bottom"/>
          </w:tcPr>
          <w:p w14:paraId="3664F383" w14:textId="31E39B0F" w:rsidR="00015A86" w:rsidRPr="007239A6" w:rsidRDefault="00015A86" w:rsidP="004C356D">
            <w:pPr>
              <w:spacing w:after="0" w:line="240" w:lineRule="auto"/>
              <w:jc w:val="right"/>
              <w:rPr>
                <w:color w:val="000000"/>
                <w:sz w:val="22"/>
                <w:szCs w:val="22"/>
                <w:lang w:bidi="ar-SA"/>
              </w:rPr>
            </w:pPr>
            <w:r w:rsidRPr="007239A6">
              <w:rPr>
                <w:sz w:val="20"/>
                <w:szCs w:val="20"/>
              </w:rPr>
              <w:t>9.4</w:t>
            </w:r>
          </w:p>
        </w:tc>
        <w:tc>
          <w:tcPr>
            <w:tcW w:w="1293" w:type="dxa"/>
            <w:tcBorders>
              <w:top w:val="nil"/>
              <w:left w:val="nil"/>
              <w:bottom w:val="nil"/>
              <w:right w:val="nil"/>
            </w:tcBorders>
            <w:shd w:val="clear" w:color="auto" w:fill="auto"/>
            <w:noWrap/>
            <w:vAlign w:val="bottom"/>
          </w:tcPr>
          <w:p w14:paraId="59DEB3D1" w14:textId="4B7C04F3" w:rsidR="00015A86" w:rsidRPr="007239A6" w:rsidRDefault="00015A86" w:rsidP="004C356D">
            <w:pPr>
              <w:spacing w:after="0" w:line="240" w:lineRule="auto"/>
              <w:jc w:val="right"/>
              <w:rPr>
                <w:color w:val="000000"/>
                <w:sz w:val="22"/>
                <w:szCs w:val="22"/>
                <w:lang w:bidi="ar-SA"/>
              </w:rPr>
            </w:pPr>
            <w:r w:rsidRPr="007239A6">
              <w:rPr>
                <w:sz w:val="20"/>
                <w:szCs w:val="20"/>
              </w:rPr>
              <w:t xml:space="preserve">5 </w:t>
            </w:r>
          </w:p>
        </w:tc>
        <w:tc>
          <w:tcPr>
            <w:tcW w:w="1650" w:type="dxa"/>
            <w:tcBorders>
              <w:top w:val="nil"/>
              <w:left w:val="nil"/>
              <w:bottom w:val="nil"/>
              <w:right w:val="nil"/>
            </w:tcBorders>
            <w:shd w:val="clear" w:color="auto" w:fill="auto"/>
            <w:noWrap/>
            <w:vAlign w:val="bottom"/>
          </w:tcPr>
          <w:p w14:paraId="4FA540DA" w14:textId="18D0182C" w:rsidR="00015A86" w:rsidRPr="007239A6" w:rsidRDefault="00015A86" w:rsidP="004C356D">
            <w:pPr>
              <w:spacing w:after="0" w:line="240" w:lineRule="auto"/>
              <w:jc w:val="right"/>
              <w:rPr>
                <w:color w:val="000000"/>
                <w:sz w:val="22"/>
                <w:szCs w:val="22"/>
                <w:lang w:bidi="ar-SA"/>
              </w:rPr>
            </w:pPr>
            <w:r w:rsidRPr="007239A6">
              <w:rPr>
                <w:sz w:val="20"/>
                <w:szCs w:val="20"/>
              </w:rPr>
              <w:t>72.4</w:t>
            </w:r>
          </w:p>
        </w:tc>
        <w:tc>
          <w:tcPr>
            <w:tcW w:w="1289" w:type="dxa"/>
            <w:tcBorders>
              <w:top w:val="nil"/>
              <w:left w:val="nil"/>
              <w:bottom w:val="nil"/>
              <w:right w:val="nil"/>
            </w:tcBorders>
            <w:shd w:val="clear" w:color="auto" w:fill="auto"/>
            <w:noWrap/>
            <w:vAlign w:val="bottom"/>
          </w:tcPr>
          <w:p w14:paraId="11B5C291" w14:textId="38A25582" w:rsidR="00015A86" w:rsidRPr="007239A6" w:rsidRDefault="00015A86" w:rsidP="004C356D">
            <w:pPr>
              <w:spacing w:after="0" w:line="240" w:lineRule="auto"/>
              <w:jc w:val="right"/>
              <w:rPr>
                <w:color w:val="000000"/>
                <w:sz w:val="22"/>
                <w:szCs w:val="22"/>
                <w:lang w:bidi="ar-SA"/>
              </w:rPr>
            </w:pPr>
            <w:r w:rsidRPr="007239A6">
              <w:rPr>
                <w:sz w:val="20"/>
                <w:szCs w:val="20"/>
              </w:rPr>
              <w:t xml:space="preserve">42 </w:t>
            </w:r>
          </w:p>
        </w:tc>
        <w:tc>
          <w:tcPr>
            <w:tcW w:w="1769" w:type="dxa"/>
            <w:tcBorders>
              <w:top w:val="nil"/>
              <w:left w:val="nil"/>
              <w:bottom w:val="nil"/>
              <w:right w:val="nil"/>
            </w:tcBorders>
            <w:vAlign w:val="bottom"/>
          </w:tcPr>
          <w:p w14:paraId="7D677968" w14:textId="76F70A9D" w:rsidR="00015A86" w:rsidRPr="00A54231" w:rsidRDefault="00015A86" w:rsidP="004C356D">
            <w:pPr>
              <w:spacing w:after="0" w:line="240" w:lineRule="auto"/>
              <w:jc w:val="right"/>
              <w:rPr>
                <w:sz w:val="20"/>
                <w:szCs w:val="20"/>
              </w:rPr>
            </w:pPr>
            <w:r w:rsidRPr="00A54231">
              <w:rPr>
                <w:color w:val="000000"/>
                <w:sz w:val="20"/>
                <w:szCs w:val="20"/>
              </w:rPr>
              <w:t>236.53</w:t>
            </w:r>
          </w:p>
        </w:tc>
      </w:tr>
      <w:tr w:rsidR="00015A86" w:rsidRPr="007239A6" w14:paraId="1400AAAD" w14:textId="05A98B4A" w:rsidTr="00181ACD">
        <w:trPr>
          <w:trHeight w:val="288"/>
        </w:trPr>
        <w:tc>
          <w:tcPr>
            <w:tcW w:w="1586" w:type="dxa"/>
            <w:tcBorders>
              <w:top w:val="nil"/>
              <w:left w:val="nil"/>
              <w:bottom w:val="nil"/>
              <w:right w:val="nil"/>
            </w:tcBorders>
            <w:shd w:val="clear" w:color="auto" w:fill="auto"/>
            <w:noWrap/>
            <w:vAlign w:val="bottom"/>
            <w:hideMark/>
          </w:tcPr>
          <w:p w14:paraId="62C2A7C1"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Seymour</w:t>
            </w:r>
          </w:p>
        </w:tc>
        <w:tc>
          <w:tcPr>
            <w:tcW w:w="1261" w:type="dxa"/>
            <w:tcBorders>
              <w:top w:val="nil"/>
              <w:left w:val="nil"/>
              <w:bottom w:val="nil"/>
              <w:right w:val="nil"/>
            </w:tcBorders>
            <w:shd w:val="clear" w:color="auto" w:fill="auto"/>
            <w:noWrap/>
            <w:vAlign w:val="bottom"/>
          </w:tcPr>
          <w:p w14:paraId="60AA8661" w14:textId="03C055C9" w:rsidR="00015A86" w:rsidRPr="007239A6" w:rsidRDefault="00015A86" w:rsidP="004C356D">
            <w:pPr>
              <w:spacing w:after="0" w:line="240" w:lineRule="auto"/>
              <w:jc w:val="right"/>
              <w:rPr>
                <w:color w:val="000000"/>
                <w:sz w:val="22"/>
                <w:szCs w:val="22"/>
                <w:lang w:bidi="ar-SA"/>
              </w:rPr>
            </w:pPr>
            <w:r w:rsidRPr="007239A6">
              <w:rPr>
                <w:sz w:val="20"/>
                <w:szCs w:val="20"/>
              </w:rPr>
              <w:t>1,098.6</w:t>
            </w:r>
          </w:p>
        </w:tc>
        <w:tc>
          <w:tcPr>
            <w:tcW w:w="1293" w:type="dxa"/>
            <w:tcBorders>
              <w:top w:val="nil"/>
              <w:left w:val="nil"/>
              <w:bottom w:val="nil"/>
              <w:right w:val="nil"/>
            </w:tcBorders>
            <w:shd w:val="clear" w:color="auto" w:fill="auto"/>
            <w:noWrap/>
            <w:vAlign w:val="bottom"/>
          </w:tcPr>
          <w:p w14:paraId="08F22D54" w14:textId="6FD6BE42" w:rsidR="00015A86" w:rsidRPr="007239A6" w:rsidRDefault="00015A86" w:rsidP="004C356D">
            <w:pPr>
              <w:spacing w:after="0" w:line="240" w:lineRule="auto"/>
              <w:jc w:val="right"/>
              <w:rPr>
                <w:color w:val="000000"/>
                <w:sz w:val="22"/>
                <w:szCs w:val="22"/>
                <w:lang w:bidi="ar-SA"/>
              </w:rPr>
            </w:pPr>
            <w:r w:rsidRPr="007239A6">
              <w:rPr>
                <w:sz w:val="20"/>
                <w:szCs w:val="20"/>
              </w:rPr>
              <w:t xml:space="preserve">66 </w:t>
            </w:r>
          </w:p>
        </w:tc>
        <w:tc>
          <w:tcPr>
            <w:tcW w:w="1650" w:type="dxa"/>
            <w:tcBorders>
              <w:top w:val="nil"/>
              <w:left w:val="nil"/>
              <w:bottom w:val="nil"/>
              <w:right w:val="nil"/>
            </w:tcBorders>
            <w:shd w:val="clear" w:color="auto" w:fill="auto"/>
            <w:noWrap/>
            <w:vAlign w:val="bottom"/>
          </w:tcPr>
          <w:p w14:paraId="4DC1AD2E" w14:textId="023C178C" w:rsidR="00015A86" w:rsidRPr="007239A6" w:rsidRDefault="00015A86" w:rsidP="004C356D">
            <w:pPr>
              <w:spacing w:after="0" w:line="240" w:lineRule="auto"/>
              <w:jc w:val="right"/>
              <w:rPr>
                <w:color w:val="000000"/>
                <w:sz w:val="22"/>
                <w:szCs w:val="22"/>
                <w:lang w:bidi="ar-SA"/>
              </w:rPr>
            </w:pPr>
            <w:r w:rsidRPr="007239A6">
              <w:rPr>
                <w:sz w:val="20"/>
                <w:szCs w:val="20"/>
              </w:rPr>
              <w:t>1358.3</w:t>
            </w:r>
          </w:p>
        </w:tc>
        <w:tc>
          <w:tcPr>
            <w:tcW w:w="1289" w:type="dxa"/>
            <w:tcBorders>
              <w:top w:val="nil"/>
              <w:left w:val="nil"/>
              <w:bottom w:val="nil"/>
              <w:right w:val="nil"/>
            </w:tcBorders>
            <w:shd w:val="clear" w:color="auto" w:fill="auto"/>
            <w:noWrap/>
            <w:vAlign w:val="bottom"/>
          </w:tcPr>
          <w:p w14:paraId="1A1DAA5C" w14:textId="46B71C37" w:rsidR="00015A86" w:rsidRPr="007239A6" w:rsidRDefault="00015A86" w:rsidP="004C356D">
            <w:pPr>
              <w:spacing w:after="0" w:line="240" w:lineRule="auto"/>
              <w:jc w:val="right"/>
              <w:rPr>
                <w:color w:val="000000"/>
                <w:sz w:val="22"/>
                <w:szCs w:val="22"/>
                <w:lang w:bidi="ar-SA"/>
              </w:rPr>
            </w:pPr>
            <w:r w:rsidRPr="007239A6">
              <w:rPr>
                <w:sz w:val="20"/>
                <w:szCs w:val="20"/>
              </w:rPr>
              <w:t xml:space="preserve">82 </w:t>
            </w:r>
          </w:p>
        </w:tc>
        <w:tc>
          <w:tcPr>
            <w:tcW w:w="1769" w:type="dxa"/>
            <w:tcBorders>
              <w:top w:val="nil"/>
              <w:left w:val="nil"/>
              <w:bottom w:val="nil"/>
              <w:right w:val="nil"/>
            </w:tcBorders>
            <w:vAlign w:val="bottom"/>
          </w:tcPr>
          <w:p w14:paraId="4AAF402B" w14:textId="23A9BBBD" w:rsidR="00015A86" w:rsidRPr="00A54231" w:rsidRDefault="00015A86" w:rsidP="004C356D">
            <w:pPr>
              <w:spacing w:after="0" w:line="240" w:lineRule="auto"/>
              <w:jc w:val="right"/>
              <w:rPr>
                <w:sz w:val="20"/>
                <w:szCs w:val="20"/>
              </w:rPr>
            </w:pPr>
            <w:r w:rsidRPr="00A54231">
              <w:rPr>
                <w:color w:val="000000"/>
                <w:sz w:val="20"/>
                <w:szCs w:val="20"/>
              </w:rPr>
              <w:t>289.36</w:t>
            </w:r>
          </w:p>
        </w:tc>
      </w:tr>
      <w:tr w:rsidR="00015A86" w:rsidRPr="007239A6" w14:paraId="2D87BBA2" w14:textId="403D7D39" w:rsidTr="00181ACD">
        <w:trPr>
          <w:trHeight w:val="288"/>
        </w:trPr>
        <w:tc>
          <w:tcPr>
            <w:tcW w:w="1586" w:type="dxa"/>
            <w:tcBorders>
              <w:top w:val="nil"/>
              <w:left w:val="nil"/>
              <w:bottom w:val="nil"/>
              <w:right w:val="nil"/>
            </w:tcBorders>
            <w:shd w:val="clear" w:color="auto" w:fill="auto"/>
            <w:noWrap/>
            <w:vAlign w:val="bottom"/>
            <w:hideMark/>
          </w:tcPr>
          <w:p w14:paraId="78A05B5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Sharon</w:t>
            </w:r>
          </w:p>
        </w:tc>
        <w:tc>
          <w:tcPr>
            <w:tcW w:w="1261" w:type="dxa"/>
            <w:tcBorders>
              <w:top w:val="nil"/>
              <w:left w:val="nil"/>
              <w:bottom w:val="nil"/>
              <w:right w:val="nil"/>
            </w:tcBorders>
            <w:shd w:val="clear" w:color="auto" w:fill="auto"/>
            <w:noWrap/>
            <w:vAlign w:val="bottom"/>
          </w:tcPr>
          <w:p w14:paraId="3ADD87DA" w14:textId="04A7B081" w:rsidR="00015A86" w:rsidRPr="007239A6" w:rsidRDefault="00015A86" w:rsidP="004C356D">
            <w:pPr>
              <w:spacing w:after="0" w:line="240" w:lineRule="auto"/>
              <w:jc w:val="right"/>
              <w:rPr>
                <w:color w:val="000000"/>
                <w:sz w:val="22"/>
                <w:szCs w:val="22"/>
                <w:lang w:bidi="ar-SA"/>
              </w:rPr>
            </w:pPr>
            <w:r w:rsidRPr="007239A6">
              <w:rPr>
                <w:sz w:val="20"/>
                <w:szCs w:val="20"/>
              </w:rPr>
              <w:t>177.2</w:t>
            </w:r>
          </w:p>
        </w:tc>
        <w:tc>
          <w:tcPr>
            <w:tcW w:w="1293" w:type="dxa"/>
            <w:tcBorders>
              <w:top w:val="nil"/>
              <w:left w:val="nil"/>
              <w:bottom w:val="nil"/>
              <w:right w:val="nil"/>
            </w:tcBorders>
            <w:shd w:val="clear" w:color="auto" w:fill="auto"/>
            <w:noWrap/>
            <w:vAlign w:val="bottom"/>
          </w:tcPr>
          <w:p w14:paraId="5FB18F49" w14:textId="1C4DDDF8" w:rsidR="00015A86" w:rsidRPr="007239A6" w:rsidRDefault="00015A86" w:rsidP="004C356D">
            <w:pPr>
              <w:spacing w:after="0" w:line="240" w:lineRule="auto"/>
              <w:jc w:val="right"/>
              <w:rPr>
                <w:color w:val="000000"/>
                <w:sz w:val="22"/>
                <w:szCs w:val="22"/>
                <w:lang w:bidi="ar-SA"/>
              </w:rPr>
            </w:pPr>
            <w:r w:rsidRPr="007239A6">
              <w:rPr>
                <w:sz w:val="20"/>
                <w:szCs w:val="20"/>
              </w:rPr>
              <w:t xml:space="preserve">64 </w:t>
            </w:r>
          </w:p>
        </w:tc>
        <w:tc>
          <w:tcPr>
            <w:tcW w:w="1650" w:type="dxa"/>
            <w:tcBorders>
              <w:top w:val="nil"/>
              <w:left w:val="nil"/>
              <w:bottom w:val="nil"/>
              <w:right w:val="nil"/>
            </w:tcBorders>
            <w:shd w:val="clear" w:color="auto" w:fill="auto"/>
            <w:noWrap/>
            <w:vAlign w:val="bottom"/>
          </w:tcPr>
          <w:p w14:paraId="39D2BC3C" w14:textId="565FF4E1" w:rsidR="00015A86" w:rsidRPr="007239A6" w:rsidRDefault="00015A86" w:rsidP="004C356D">
            <w:pPr>
              <w:spacing w:after="0" w:line="240" w:lineRule="auto"/>
              <w:jc w:val="right"/>
              <w:rPr>
                <w:color w:val="000000"/>
                <w:sz w:val="22"/>
                <w:szCs w:val="22"/>
                <w:lang w:bidi="ar-SA"/>
              </w:rPr>
            </w:pPr>
            <w:r w:rsidRPr="007239A6">
              <w:rPr>
                <w:sz w:val="20"/>
                <w:szCs w:val="20"/>
              </w:rPr>
              <w:t>397.7</w:t>
            </w:r>
          </w:p>
        </w:tc>
        <w:tc>
          <w:tcPr>
            <w:tcW w:w="1289" w:type="dxa"/>
            <w:tcBorders>
              <w:top w:val="nil"/>
              <w:left w:val="nil"/>
              <w:bottom w:val="nil"/>
              <w:right w:val="nil"/>
            </w:tcBorders>
            <w:shd w:val="clear" w:color="auto" w:fill="auto"/>
            <w:noWrap/>
            <w:vAlign w:val="bottom"/>
          </w:tcPr>
          <w:p w14:paraId="648C2608" w14:textId="79C24876" w:rsidR="00015A86" w:rsidRPr="007239A6" w:rsidRDefault="00015A86" w:rsidP="004C356D">
            <w:pPr>
              <w:spacing w:after="0" w:line="240" w:lineRule="auto"/>
              <w:jc w:val="right"/>
              <w:rPr>
                <w:color w:val="000000"/>
                <w:sz w:val="22"/>
                <w:szCs w:val="22"/>
                <w:lang w:bidi="ar-SA"/>
              </w:rPr>
            </w:pPr>
            <w:r w:rsidRPr="007239A6">
              <w:rPr>
                <w:sz w:val="20"/>
                <w:szCs w:val="20"/>
              </w:rPr>
              <w:t xml:space="preserve">144 </w:t>
            </w:r>
          </w:p>
        </w:tc>
        <w:tc>
          <w:tcPr>
            <w:tcW w:w="1769" w:type="dxa"/>
            <w:tcBorders>
              <w:top w:val="nil"/>
              <w:left w:val="nil"/>
              <w:bottom w:val="nil"/>
              <w:right w:val="nil"/>
            </w:tcBorders>
            <w:vAlign w:val="bottom"/>
          </w:tcPr>
          <w:p w14:paraId="38E4934C" w14:textId="6874603E" w:rsidR="00015A86" w:rsidRPr="00A54231" w:rsidRDefault="00015A86" w:rsidP="004C356D">
            <w:pPr>
              <w:spacing w:after="0" w:line="240" w:lineRule="auto"/>
              <w:jc w:val="right"/>
              <w:rPr>
                <w:sz w:val="20"/>
                <w:szCs w:val="20"/>
              </w:rPr>
            </w:pPr>
            <w:r w:rsidRPr="00A54231">
              <w:rPr>
                <w:color w:val="000000"/>
                <w:sz w:val="20"/>
                <w:szCs w:val="20"/>
              </w:rPr>
              <w:t>-2029.29</w:t>
            </w:r>
          </w:p>
        </w:tc>
      </w:tr>
      <w:tr w:rsidR="00015A86" w:rsidRPr="007239A6" w14:paraId="10AE1D68" w14:textId="33F39E61" w:rsidTr="00181ACD">
        <w:trPr>
          <w:trHeight w:val="288"/>
        </w:trPr>
        <w:tc>
          <w:tcPr>
            <w:tcW w:w="1586" w:type="dxa"/>
            <w:tcBorders>
              <w:top w:val="nil"/>
              <w:left w:val="nil"/>
              <w:bottom w:val="nil"/>
              <w:right w:val="nil"/>
            </w:tcBorders>
            <w:shd w:val="clear" w:color="auto" w:fill="auto"/>
            <w:noWrap/>
            <w:vAlign w:val="bottom"/>
            <w:hideMark/>
          </w:tcPr>
          <w:p w14:paraId="4B35FC2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Shelton</w:t>
            </w:r>
          </w:p>
        </w:tc>
        <w:tc>
          <w:tcPr>
            <w:tcW w:w="1261" w:type="dxa"/>
            <w:tcBorders>
              <w:top w:val="nil"/>
              <w:left w:val="nil"/>
              <w:bottom w:val="nil"/>
              <w:right w:val="nil"/>
            </w:tcBorders>
            <w:shd w:val="clear" w:color="auto" w:fill="auto"/>
            <w:noWrap/>
            <w:vAlign w:val="bottom"/>
          </w:tcPr>
          <w:p w14:paraId="71168CB9" w14:textId="302AE5FC" w:rsidR="00015A86" w:rsidRPr="007239A6" w:rsidRDefault="00015A86" w:rsidP="004C356D">
            <w:pPr>
              <w:spacing w:after="0" w:line="240" w:lineRule="auto"/>
              <w:jc w:val="right"/>
              <w:rPr>
                <w:color w:val="000000"/>
                <w:sz w:val="22"/>
                <w:szCs w:val="22"/>
                <w:lang w:bidi="ar-SA"/>
              </w:rPr>
            </w:pPr>
            <w:r w:rsidRPr="007239A6">
              <w:rPr>
                <w:sz w:val="20"/>
                <w:szCs w:val="20"/>
              </w:rPr>
              <w:t>5,671.6</w:t>
            </w:r>
          </w:p>
        </w:tc>
        <w:tc>
          <w:tcPr>
            <w:tcW w:w="1293" w:type="dxa"/>
            <w:tcBorders>
              <w:top w:val="nil"/>
              <w:left w:val="nil"/>
              <w:bottom w:val="nil"/>
              <w:right w:val="nil"/>
            </w:tcBorders>
            <w:shd w:val="clear" w:color="auto" w:fill="auto"/>
            <w:noWrap/>
            <w:vAlign w:val="bottom"/>
          </w:tcPr>
          <w:p w14:paraId="09219663" w14:textId="72492D76" w:rsidR="00015A86" w:rsidRPr="007239A6" w:rsidRDefault="00015A86" w:rsidP="004C356D">
            <w:pPr>
              <w:spacing w:after="0" w:line="240" w:lineRule="auto"/>
              <w:jc w:val="right"/>
              <w:rPr>
                <w:color w:val="000000"/>
                <w:sz w:val="22"/>
                <w:szCs w:val="22"/>
                <w:lang w:bidi="ar-SA"/>
              </w:rPr>
            </w:pPr>
            <w:r w:rsidRPr="007239A6">
              <w:rPr>
                <w:sz w:val="20"/>
                <w:szCs w:val="20"/>
              </w:rPr>
              <w:t xml:space="preserve">142 </w:t>
            </w:r>
          </w:p>
        </w:tc>
        <w:tc>
          <w:tcPr>
            <w:tcW w:w="1650" w:type="dxa"/>
            <w:tcBorders>
              <w:top w:val="nil"/>
              <w:left w:val="nil"/>
              <w:bottom w:val="nil"/>
              <w:right w:val="nil"/>
            </w:tcBorders>
            <w:shd w:val="clear" w:color="auto" w:fill="auto"/>
            <w:noWrap/>
            <w:vAlign w:val="bottom"/>
          </w:tcPr>
          <w:p w14:paraId="68930D22" w14:textId="3A423D39" w:rsidR="00015A86" w:rsidRPr="007239A6" w:rsidRDefault="00015A86" w:rsidP="004C356D">
            <w:pPr>
              <w:spacing w:after="0" w:line="240" w:lineRule="auto"/>
              <w:jc w:val="right"/>
              <w:rPr>
                <w:color w:val="000000"/>
                <w:sz w:val="22"/>
                <w:szCs w:val="22"/>
                <w:lang w:bidi="ar-SA"/>
              </w:rPr>
            </w:pPr>
            <w:r w:rsidRPr="007239A6">
              <w:rPr>
                <w:sz w:val="20"/>
                <w:szCs w:val="20"/>
              </w:rPr>
              <w:t>4850.9</w:t>
            </w:r>
          </w:p>
        </w:tc>
        <w:tc>
          <w:tcPr>
            <w:tcW w:w="1289" w:type="dxa"/>
            <w:tcBorders>
              <w:top w:val="nil"/>
              <w:left w:val="nil"/>
              <w:bottom w:val="nil"/>
              <w:right w:val="nil"/>
            </w:tcBorders>
            <w:shd w:val="clear" w:color="auto" w:fill="auto"/>
            <w:noWrap/>
            <w:vAlign w:val="bottom"/>
          </w:tcPr>
          <w:p w14:paraId="6C6BC1E4" w14:textId="2D62D8F2" w:rsidR="00015A86" w:rsidRPr="007239A6" w:rsidRDefault="00015A86" w:rsidP="004C356D">
            <w:pPr>
              <w:spacing w:after="0" w:line="240" w:lineRule="auto"/>
              <w:jc w:val="right"/>
              <w:rPr>
                <w:color w:val="000000"/>
                <w:sz w:val="22"/>
                <w:szCs w:val="22"/>
                <w:lang w:bidi="ar-SA"/>
              </w:rPr>
            </w:pPr>
            <w:r w:rsidRPr="007239A6">
              <w:rPr>
                <w:sz w:val="20"/>
                <w:szCs w:val="20"/>
              </w:rPr>
              <w:t xml:space="preserve">121 </w:t>
            </w:r>
          </w:p>
        </w:tc>
        <w:tc>
          <w:tcPr>
            <w:tcW w:w="1769" w:type="dxa"/>
            <w:tcBorders>
              <w:top w:val="nil"/>
              <w:left w:val="nil"/>
              <w:bottom w:val="nil"/>
              <w:right w:val="nil"/>
            </w:tcBorders>
            <w:vAlign w:val="bottom"/>
          </w:tcPr>
          <w:p w14:paraId="0D0F1107" w14:textId="4AB46A56" w:rsidR="00015A86" w:rsidRPr="00A54231" w:rsidRDefault="00015A86" w:rsidP="004C356D">
            <w:pPr>
              <w:spacing w:after="0" w:line="240" w:lineRule="auto"/>
              <w:jc w:val="right"/>
              <w:rPr>
                <w:sz w:val="20"/>
                <w:szCs w:val="20"/>
              </w:rPr>
            </w:pPr>
            <w:r w:rsidRPr="00A54231">
              <w:rPr>
                <w:color w:val="000000"/>
                <w:sz w:val="20"/>
                <w:szCs w:val="20"/>
              </w:rPr>
              <w:t>-167.45</w:t>
            </w:r>
          </w:p>
        </w:tc>
      </w:tr>
      <w:tr w:rsidR="00015A86" w:rsidRPr="007239A6" w14:paraId="0D0DB23E" w14:textId="160CE96D" w:rsidTr="00181ACD">
        <w:trPr>
          <w:trHeight w:val="288"/>
        </w:trPr>
        <w:tc>
          <w:tcPr>
            <w:tcW w:w="1586" w:type="dxa"/>
            <w:tcBorders>
              <w:top w:val="nil"/>
              <w:left w:val="nil"/>
              <w:bottom w:val="nil"/>
              <w:right w:val="nil"/>
            </w:tcBorders>
            <w:shd w:val="clear" w:color="auto" w:fill="auto"/>
            <w:noWrap/>
            <w:vAlign w:val="bottom"/>
            <w:hideMark/>
          </w:tcPr>
          <w:p w14:paraId="02AAC61F"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Sherman</w:t>
            </w:r>
          </w:p>
        </w:tc>
        <w:tc>
          <w:tcPr>
            <w:tcW w:w="1261" w:type="dxa"/>
            <w:tcBorders>
              <w:top w:val="nil"/>
              <w:left w:val="nil"/>
              <w:bottom w:val="nil"/>
              <w:right w:val="nil"/>
            </w:tcBorders>
            <w:shd w:val="clear" w:color="auto" w:fill="auto"/>
            <w:noWrap/>
            <w:vAlign w:val="bottom"/>
          </w:tcPr>
          <w:p w14:paraId="6C7F5499" w14:textId="78C5B2F6" w:rsidR="00015A86" w:rsidRPr="007239A6" w:rsidRDefault="00015A86" w:rsidP="004C356D">
            <w:pPr>
              <w:spacing w:after="0" w:line="240" w:lineRule="auto"/>
              <w:jc w:val="right"/>
              <w:rPr>
                <w:color w:val="000000"/>
                <w:sz w:val="22"/>
                <w:szCs w:val="22"/>
                <w:lang w:bidi="ar-SA"/>
              </w:rPr>
            </w:pPr>
            <w:r w:rsidRPr="007239A6">
              <w:rPr>
                <w:sz w:val="20"/>
                <w:szCs w:val="20"/>
              </w:rPr>
              <w:t>94.4</w:t>
            </w:r>
          </w:p>
        </w:tc>
        <w:tc>
          <w:tcPr>
            <w:tcW w:w="1293" w:type="dxa"/>
            <w:tcBorders>
              <w:top w:val="nil"/>
              <w:left w:val="nil"/>
              <w:bottom w:val="nil"/>
              <w:right w:val="nil"/>
            </w:tcBorders>
            <w:shd w:val="clear" w:color="auto" w:fill="auto"/>
            <w:noWrap/>
            <w:vAlign w:val="bottom"/>
          </w:tcPr>
          <w:p w14:paraId="6BDD5A68" w14:textId="7C61F4CF" w:rsidR="00015A86" w:rsidRPr="007239A6" w:rsidRDefault="00015A86" w:rsidP="004C356D">
            <w:pPr>
              <w:spacing w:after="0" w:line="240" w:lineRule="auto"/>
              <w:jc w:val="right"/>
              <w:rPr>
                <w:color w:val="000000"/>
                <w:sz w:val="22"/>
                <w:szCs w:val="22"/>
                <w:lang w:bidi="ar-SA"/>
              </w:rPr>
            </w:pPr>
            <w:r w:rsidRPr="007239A6">
              <w:rPr>
                <w:sz w:val="20"/>
                <w:szCs w:val="20"/>
              </w:rPr>
              <w:t xml:space="preserve">26 </w:t>
            </w:r>
          </w:p>
        </w:tc>
        <w:tc>
          <w:tcPr>
            <w:tcW w:w="1650" w:type="dxa"/>
            <w:tcBorders>
              <w:top w:val="nil"/>
              <w:left w:val="nil"/>
              <w:bottom w:val="nil"/>
              <w:right w:val="nil"/>
            </w:tcBorders>
            <w:shd w:val="clear" w:color="auto" w:fill="auto"/>
            <w:noWrap/>
            <w:vAlign w:val="bottom"/>
          </w:tcPr>
          <w:p w14:paraId="25E23D0C" w14:textId="1A338A40" w:rsidR="00015A86" w:rsidRPr="007239A6" w:rsidRDefault="00015A86" w:rsidP="004C356D">
            <w:pPr>
              <w:spacing w:after="0" w:line="240" w:lineRule="auto"/>
              <w:jc w:val="right"/>
              <w:rPr>
                <w:color w:val="000000"/>
                <w:sz w:val="22"/>
                <w:szCs w:val="22"/>
                <w:lang w:bidi="ar-SA"/>
              </w:rPr>
            </w:pPr>
            <w:r w:rsidRPr="007239A6">
              <w:rPr>
                <w:sz w:val="20"/>
                <w:szCs w:val="20"/>
              </w:rPr>
              <w:t>395.4</w:t>
            </w:r>
          </w:p>
        </w:tc>
        <w:tc>
          <w:tcPr>
            <w:tcW w:w="1289" w:type="dxa"/>
            <w:tcBorders>
              <w:top w:val="nil"/>
              <w:left w:val="nil"/>
              <w:bottom w:val="nil"/>
              <w:right w:val="nil"/>
            </w:tcBorders>
            <w:shd w:val="clear" w:color="auto" w:fill="auto"/>
            <w:noWrap/>
            <w:vAlign w:val="bottom"/>
          </w:tcPr>
          <w:p w14:paraId="734CB32C" w14:textId="44297BFA" w:rsidR="00015A86" w:rsidRPr="007239A6" w:rsidRDefault="00015A86" w:rsidP="004C356D">
            <w:pPr>
              <w:spacing w:after="0" w:line="240" w:lineRule="auto"/>
              <w:jc w:val="right"/>
              <w:rPr>
                <w:color w:val="000000"/>
                <w:sz w:val="22"/>
                <w:szCs w:val="22"/>
                <w:lang w:bidi="ar-SA"/>
              </w:rPr>
            </w:pPr>
            <w:r w:rsidRPr="007239A6">
              <w:rPr>
                <w:sz w:val="20"/>
                <w:szCs w:val="20"/>
              </w:rPr>
              <w:t xml:space="preserve">109 </w:t>
            </w:r>
          </w:p>
        </w:tc>
        <w:tc>
          <w:tcPr>
            <w:tcW w:w="1769" w:type="dxa"/>
            <w:tcBorders>
              <w:top w:val="nil"/>
              <w:left w:val="nil"/>
              <w:bottom w:val="nil"/>
              <w:right w:val="nil"/>
            </w:tcBorders>
            <w:vAlign w:val="bottom"/>
          </w:tcPr>
          <w:p w14:paraId="737E7C0C" w14:textId="33F0EADB" w:rsidR="00015A86" w:rsidRPr="00A54231" w:rsidRDefault="00015A86" w:rsidP="004C356D">
            <w:pPr>
              <w:spacing w:after="0" w:line="240" w:lineRule="auto"/>
              <w:jc w:val="right"/>
              <w:rPr>
                <w:sz w:val="20"/>
                <w:szCs w:val="20"/>
              </w:rPr>
            </w:pPr>
            <w:r w:rsidRPr="00A54231">
              <w:rPr>
                <w:color w:val="000000"/>
                <w:sz w:val="20"/>
                <w:szCs w:val="20"/>
              </w:rPr>
              <w:t>-1404.39</w:t>
            </w:r>
          </w:p>
        </w:tc>
      </w:tr>
      <w:tr w:rsidR="00015A86" w:rsidRPr="007239A6" w14:paraId="2002D243" w14:textId="5669BAF7" w:rsidTr="00181ACD">
        <w:trPr>
          <w:trHeight w:val="288"/>
        </w:trPr>
        <w:tc>
          <w:tcPr>
            <w:tcW w:w="1586" w:type="dxa"/>
            <w:tcBorders>
              <w:top w:val="nil"/>
              <w:left w:val="nil"/>
              <w:bottom w:val="nil"/>
              <w:right w:val="nil"/>
            </w:tcBorders>
            <w:shd w:val="clear" w:color="auto" w:fill="auto"/>
            <w:noWrap/>
            <w:vAlign w:val="bottom"/>
            <w:hideMark/>
          </w:tcPr>
          <w:p w14:paraId="617BB350"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lastRenderedPageBreak/>
              <w:t>Simsbury</w:t>
            </w:r>
          </w:p>
        </w:tc>
        <w:tc>
          <w:tcPr>
            <w:tcW w:w="1261" w:type="dxa"/>
            <w:tcBorders>
              <w:top w:val="nil"/>
              <w:left w:val="nil"/>
              <w:bottom w:val="nil"/>
              <w:right w:val="nil"/>
            </w:tcBorders>
            <w:shd w:val="clear" w:color="auto" w:fill="auto"/>
            <w:noWrap/>
            <w:vAlign w:val="bottom"/>
          </w:tcPr>
          <w:p w14:paraId="619AE624" w14:textId="536F6CF8" w:rsidR="00015A86" w:rsidRPr="007239A6" w:rsidRDefault="00015A86" w:rsidP="004C356D">
            <w:pPr>
              <w:spacing w:after="0" w:line="240" w:lineRule="auto"/>
              <w:jc w:val="right"/>
              <w:rPr>
                <w:color w:val="000000"/>
                <w:sz w:val="22"/>
                <w:szCs w:val="22"/>
                <w:lang w:bidi="ar-SA"/>
              </w:rPr>
            </w:pPr>
            <w:r w:rsidRPr="007239A6">
              <w:rPr>
                <w:sz w:val="20"/>
                <w:szCs w:val="20"/>
              </w:rPr>
              <w:t>3,081.4</w:t>
            </w:r>
          </w:p>
        </w:tc>
        <w:tc>
          <w:tcPr>
            <w:tcW w:w="1293" w:type="dxa"/>
            <w:tcBorders>
              <w:top w:val="nil"/>
              <w:left w:val="nil"/>
              <w:bottom w:val="nil"/>
              <w:right w:val="nil"/>
            </w:tcBorders>
            <w:shd w:val="clear" w:color="auto" w:fill="auto"/>
            <w:noWrap/>
            <w:vAlign w:val="bottom"/>
          </w:tcPr>
          <w:p w14:paraId="0E7BEA5E" w14:textId="54F9AD99" w:rsidR="00015A86" w:rsidRPr="007239A6" w:rsidRDefault="00015A86" w:rsidP="004C356D">
            <w:pPr>
              <w:spacing w:after="0" w:line="240" w:lineRule="auto"/>
              <w:jc w:val="right"/>
              <w:rPr>
                <w:color w:val="000000"/>
                <w:sz w:val="22"/>
                <w:szCs w:val="22"/>
                <w:lang w:bidi="ar-SA"/>
              </w:rPr>
            </w:pPr>
            <w:r w:rsidRPr="007239A6">
              <w:rPr>
                <w:sz w:val="20"/>
                <w:szCs w:val="20"/>
              </w:rPr>
              <w:t xml:space="preserve">131 </w:t>
            </w:r>
          </w:p>
        </w:tc>
        <w:tc>
          <w:tcPr>
            <w:tcW w:w="1650" w:type="dxa"/>
            <w:tcBorders>
              <w:top w:val="nil"/>
              <w:left w:val="nil"/>
              <w:bottom w:val="nil"/>
              <w:right w:val="nil"/>
            </w:tcBorders>
            <w:shd w:val="clear" w:color="auto" w:fill="auto"/>
            <w:noWrap/>
            <w:vAlign w:val="bottom"/>
          </w:tcPr>
          <w:p w14:paraId="42DAD238" w14:textId="464B8B39" w:rsidR="00015A86" w:rsidRPr="007239A6" w:rsidRDefault="00015A86" w:rsidP="004C356D">
            <w:pPr>
              <w:spacing w:after="0" w:line="240" w:lineRule="auto"/>
              <w:jc w:val="right"/>
              <w:rPr>
                <w:color w:val="000000"/>
                <w:sz w:val="22"/>
                <w:szCs w:val="22"/>
                <w:lang w:bidi="ar-SA"/>
              </w:rPr>
            </w:pPr>
            <w:r w:rsidRPr="007239A6">
              <w:rPr>
                <w:sz w:val="20"/>
                <w:szCs w:val="20"/>
              </w:rPr>
              <w:t>2926.6</w:t>
            </w:r>
          </w:p>
        </w:tc>
        <w:tc>
          <w:tcPr>
            <w:tcW w:w="1289" w:type="dxa"/>
            <w:tcBorders>
              <w:top w:val="nil"/>
              <w:left w:val="nil"/>
              <w:bottom w:val="nil"/>
              <w:right w:val="nil"/>
            </w:tcBorders>
            <w:shd w:val="clear" w:color="auto" w:fill="auto"/>
            <w:noWrap/>
            <w:vAlign w:val="bottom"/>
          </w:tcPr>
          <w:p w14:paraId="5FBF7F6A" w14:textId="06860B47" w:rsidR="00015A86" w:rsidRPr="007239A6" w:rsidRDefault="00015A86" w:rsidP="004C356D">
            <w:pPr>
              <w:spacing w:after="0" w:line="240" w:lineRule="auto"/>
              <w:jc w:val="right"/>
              <w:rPr>
                <w:color w:val="000000"/>
                <w:sz w:val="22"/>
                <w:szCs w:val="22"/>
                <w:lang w:bidi="ar-SA"/>
              </w:rPr>
            </w:pPr>
            <w:r w:rsidRPr="007239A6">
              <w:rPr>
                <w:sz w:val="20"/>
                <w:szCs w:val="20"/>
              </w:rPr>
              <w:t xml:space="preserve">124 </w:t>
            </w:r>
          </w:p>
        </w:tc>
        <w:tc>
          <w:tcPr>
            <w:tcW w:w="1769" w:type="dxa"/>
            <w:tcBorders>
              <w:top w:val="nil"/>
              <w:left w:val="nil"/>
              <w:bottom w:val="nil"/>
              <w:right w:val="nil"/>
            </w:tcBorders>
            <w:vAlign w:val="bottom"/>
          </w:tcPr>
          <w:p w14:paraId="109C8321" w14:textId="7B7DC50E" w:rsidR="00015A86" w:rsidRPr="00A54231" w:rsidRDefault="00015A86" w:rsidP="004C356D">
            <w:pPr>
              <w:spacing w:after="0" w:line="240" w:lineRule="auto"/>
              <w:jc w:val="right"/>
              <w:rPr>
                <w:sz w:val="20"/>
                <w:szCs w:val="20"/>
              </w:rPr>
            </w:pPr>
            <w:r w:rsidRPr="00A54231">
              <w:rPr>
                <w:color w:val="000000"/>
                <w:sz w:val="20"/>
                <w:szCs w:val="20"/>
              </w:rPr>
              <w:t>-153.94</w:t>
            </w:r>
          </w:p>
        </w:tc>
      </w:tr>
      <w:tr w:rsidR="00015A86" w:rsidRPr="007239A6" w14:paraId="76EC718D" w14:textId="5F5F3651" w:rsidTr="00181ACD">
        <w:trPr>
          <w:trHeight w:val="288"/>
        </w:trPr>
        <w:tc>
          <w:tcPr>
            <w:tcW w:w="1586" w:type="dxa"/>
            <w:tcBorders>
              <w:top w:val="nil"/>
              <w:left w:val="nil"/>
              <w:bottom w:val="nil"/>
              <w:right w:val="nil"/>
            </w:tcBorders>
            <w:shd w:val="clear" w:color="auto" w:fill="auto"/>
            <w:noWrap/>
            <w:vAlign w:val="bottom"/>
            <w:hideMark/>
          </w:tcPr>
          <w:p w14:paraId="27490BA4"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Somers</w:t>
            </w:r>
          </w:p>
        </w:tc>
        <w:tc>
          <w:tcPr>
            <w:tcW w:w="1261" w:type="dxa"/>
            <w:tcBorders>
              <w:top w:val="nil"/>
              <w:left w:val="nil"/>
              <w:bottom w:val="nil"/>
              <w:right w:val="nil"/>
            </w:tcBorders>
            <w:shd w:val="clear" w:color="auto" w:fill="auto"/>
            <w:noWrap/>
            <w:vAlign w:val="bottom"/>
          </w:tcPr>
          <w:p w14:paraId="38504801" w14:textId="74B44B9E" w:rsidR="00015A86" w:rsidRPr="007239A6" w:rsidRDefault="00015A86" w:rsidP="004C356D">
            <w:pPr>
              <w:spacing w:after="0" w:line="240" w:lineRule="auto"/>
              <w:jc w:val="right"/>
              <w:rPr>
                <w:color w:val="000000"/>
                <w:sz w:val="22"/>
                <w:szCs w:val="22"/>
                <w:lang w:bidi="ar-SA"/>
              </w:rPr>
            </w:pPr>
            <w:r w:rsidRPr="007239A6">
              <w:rPr>
                <w:sz w:val="20"/>
                <w:szCs w:val="20"/>
              </w:rPr>
              <w:t>346.3</w:t>
            </w:r>
          </w:p>
        </w:tc>
        <w:tc>
          <w:tcPr>
            <w:tcW w:w="1293" w:type="dxa"/>
            <w:tcBorders>
              <w:top w:val="nil"/>
              <w:left w:val="nil"/>
              <w:bottom w:val="nil"/>
              <w:right w:val="nil"/>
            </w:tcBorders>
            <w:shd w:val="clear" w:color="auto" w:fill="auto"/>
            <w:noWrap/>
            <w:vAlign w:val="bottom"/>
          </w:tcPr>
          <w:p w14:paraId="7AE71564" w14:textId="09859EED" w:rsidR="00015A86" w:rsidRPr="007239A6" w:rsidRDefault="00015A86" w:rsidP="004C356D">
            <w:pPr>
              <w:spacing w:after="0" w:line="240" w:lineRule="auto"/>
              <w:jc w:val="right"/>
              <w:rPr>
                <w:color w:val="000000"/>
                <w:sz w:val="22"/>
                <w:szCs w:val="22"/>
                <w:lang w:bidi="ar-SA"/>
              </w:rPr>
            </w:pPr>
            <w:r w:rsidRPr="007239A6">
              <w:rPr>
                <w:sz w:val="20"/>
                <w:szCs w:val="20"/>
              </w:rPr>
              <w:t xml:space="preserve">30 </w:t>
            </w:r>
          </w:p>
        </w:tc>
        <w:tc>
          <w:tcPr>
            <w:tcW w:w="1650" w:type="dxa"/>
            <w:tcBorders>
              <w:top w:val="nil"/>
              <w:left w:val="nil"/>
              <w:bottom w:val="nil"/>
              <w:right w:val="nil"/>
            </w:tcBorders>
            <w:shd w:val="clear" w:color="auto" w:fill="auto"/>
            <w:noWrap/>
            <w:vAlign w:val="bottom"/>
          </w:tcPr>
          <w:p w14:paraId="0E2CA507" w14:textId="5B28D89B" w:rsidR="00015A86" w:rsidRPr="007239A6" w:rsidRDefault="00015A86" w:rsidP="004C356D">
            <w:pPr>
              <w:spacing w:after="0" w:line="240" w:lineRule="auto"/>
              <w:jc w:val="right"/>
              <w:rPr>
                <w:color w:val="000000"/>
                <w:sz w:val="22"/>
                <w:szCs w:val="22"/>
                <w:lang w:bidi="ar-SA"/>
              </w:rPr>
            </w:pPr>
            <w:r w:rsidRPr="007239A6">
              <w:rPr>
                <w:sz w:val="20"/>
                <w:szCs w:val="20"/>
              </w:rPr>
              <w:t>1150.1</w:t>
            </w:r>
          </w:p>
        </w:tc>
        <w:tc>
          <w:tcPr>
            <w:tcW w:w="1289" w:type="dxa"/>
            <w:tcBorders>
              <w:top w:val="nil"/>
              <w:left w:val="nil"/>
              <w:bottom w:val="nil"/>
              <w:right w:val="nil"/>
            </w:tcBorders>
            <w:shd w:val="clear" w:color="auto" w:fill="auto"/>
            <w:noWrap/>
            <w:vAlign w:val="bottom"/>
          </w:tcPr>
          <w:p w14:paraId="61C3AF38" w14:textId="5F6B5405" w:rsidR="00015A86" w:rsidRPr="007239A6" w:rsidRDefault="00015A86" w:rsidP="004C356D">
            <w:pPr>
              <w:spacing w:after="0" w:line="240" w:lineRule="auto"/>
              <w:jc w:val="right"/>
              <w:rPr>
                <w:color w:val="000000"/>
                <w:sz w:val="22"/>
                <w:szCs w:val="22"/>
                <w:lang w:bidi="ar-SA"/>
              </w:rPr>
            </w:pPr>
            <w:r w:rsidRPr="007239A6">
              <w:rPr>
                <w:sz w:val="20"/>
                <w:szCs w:val="20"/>
              </w:rPr>
              <w:t xml:space="preserve">100 </w:t>
            </w:r>
          </w:p>
        </w:tc>
        <w:tc>
          <w:tcPr>
            <w:tcW w:w="1769" w:type="dxa"/>
            <w:tcBorders>
              <w:top w:val="nil"/>
              <w:left w:val="nil"/>
              <w:bottom w:val="nil"/>
              <w:right w:val="nil"/>
            </w:tcBorders>
            <w:vAlign w:val="bottom"/>
          </w:tcPr>
          <w:p w14:paraId="2479F646" w14:textId="74EE537E" w:rsidR="00015A86" w:rsidRPr="00A54231" w:rsidRDefault="00015A86" w:rsidP="004C356D">
            <w:pPr>
              <w:spacing w:after="0" w:line="240" w:lineRule="auto"/>
              <w:jc w:val="right"/>
              <w:rPr>
                <w:sz w:val="20"/>
                <w:szCs w:val="20"/>
              </w:rPr>
            </w:pPr>
            <w:r w:rsidRPr="00A54231">
              <w:rPr>
                <w:color w:val="000000"/>
                <w:sz w:val="20"/>
                <w:szCs w:val="20"/>
              </w:rPr>
              <w:t>291.91</w:t>
            </w:r>
          </w:p>
        </w:tc>
      </w:tr>
      <w:tr w:rsidR="00015A86" w:rsidRPr="007239A6" w14:paraId="1A63C3B9" w14:textId="75E9B14B" w:rsidTr="00181ACD">
        <w:trPr>
          <w:trHeight w:val="288"/>
        </w:trPr>
        <w:tc>
          <w:tcPr>
            <w:tcW w:w="1586" w:type="dxa"/>
            <w:tcBorders>
              <w:top w:val="nil"/>
              <w:left w:val="nil"/>
              <w:bottom w:val="nil"/>
              <w:right w:val="nil"/>
            </w:tcBorders>
            <w:shd w:val="clear" w:color="auto" w:fill="auto"/>
            <w:noWrap/>
            <w:vAlign w:val="bottom"/>
            <w:hideMark/>
          </w:tcPr>
          <w:p w14:paraId="67CD159F"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South Windsor</w:t>
            </w:r>
          </w:p>
        </w:tc>
        <w:tc>
          <w:tcPr>
            <w:tcW w:w="1261" w:type="dxa"/>
            <w:tcBorders>
              <w:top w:val="nil"/>
              <w:left w:val="nil"/>
              <w:bottom w:val="nil"/>
              <w:right w:val="nil"/>
            </w:tcBorders>
            <w:shd w:val="clear" w:color="auto" w:fill="auto"/>
            <w:noWrap/>
            <w:vAlign w:val="bottom"/>
          </w:tcPr>
          <w:p w14:paraId="41C36814" w14:textId="43C5F152" w:rsidR="00015A86" w:rsidRPr="007239A6" w:rsidRDefault="00015A86" w:rsidP="004C356D">
            <w:pPr>
              <w:spacing w:after="0" w:line="240" w:lineRule="auto"/>
              <w:jc w:val="right"/>
              <w:rPr>
                <w:color w:val="000000"/>
                <w:sz w:val="22"/>
                <w:szCs w:val="22"/>
                <w:lang w:bidi="ar-SA"/>
              </w:rPr>
            </w:pPr>
            <w:r w:rsidRPr="007239A6">
              <w:rPr>
                <w:sz w:val="20"/>
                <w:szCs w:val="20"/>
              </w:rPr>
              <w:t>3,998.5</w:t>
            </w:r>
          </w:p>
        </w:tc>
        <w:tc>
          <w:tcPr>
            <w:tcW w:w="1293" w:type="dxa"/>
            <w:tcBorders>
              <w:top w:val="nil"/>
              <w:left w:val="nil"/>
              <w:bottom w:val="nil"/>
              <w:right w:val="nil"/>
            </w:tcBorders>
            <w:shd w:val="clear" w:color="auto" w:fill="auto"/>
            <w:noWrap/>
            <w:vAlign w:val="bottom"/>
          </w:tcPr>
          <w:p w14:paraId="007C8FA7" w14:textId="662EA37E" w:rsidR="00015A86" w:rsidRPr="007239A6" w:rsidRDefault="00015A86" w:rsidP="004C356D">
            <w:pPr>
              <w:spacing w:after="0" w:line="240" w:lineRule="auto"/>
              <w:jc w:val="right"/>
              <w:rPr>
                <w:color w:val="000000"/>
                <w:sz w:val="22"/>
                <w:szCs w:val="22"/>
                <w:lang w:bidi="ar-SA"/>
              </w:rPr>
            </w:pPr>
            <w:r w:rsidRPr="007239A6">
              <w:rPr>
                <w:sz w:val="20"/>
                <w:szCs w:val="20"/>
              </w:rPr>
              <w:t xml:space="preserve">155 </w:t>
            </w:r>
          </w:p>
        </w:tc>
        <w:tc>
          <w:tcPr>
            <w:tcW w:w="1650" w:type="dxa"/>
            <w:tcBorders>
              <w:top w:val="nil"/>
              <w:left w:val="nil"/>
              <w:bottom w:val="nil"/>
              <w:right w:val="nil"/>
            </w:tcBorders>
            <w:shd w:val="clear" w:color="auto" w:fill="auto"/>
            <w:noWrap/>
            <w:vAlign w:val="bottom"/>
          </w:tcPr>
          <w:p w14:paraId="459F989D" w14:textId="490A966A" w:rsidR="00015A86" w:rsidRPr="007239A6" w:rsidRDefault="00015A86" w:rsidP="004C356D">
            <w:pPr>
              <w:spacing w:after="0" w:line="240" w:lineRule="auto"/>
              <w:jc w:val="right"/>
              <w:rPr>
                <w:color w:val="000000"/>
                <w:sz w:val="22"/>
                <w:szCs w:val="22"/>
                <w:lang w:bidi="ar-SA"/>
              </w:rPr>
            </w:pPr>
            <w:r w:rsidRPr="007239A6">
              <w:rPr>
                <w:sz w:val="20"/>
                <w:szCs w:val="20"/>
              </w:rPr>
              <w:t>3489.8</w:t>
            </w:r>
          </w:p>
        </w:tc>
        <w:tc>
          <w:tcPr>
            <w:tcW w:w="1289" w:type="dxa"/>
            <w:tcBorders>
              <w:top w:val="nil"/>
              <w:left w:val="nil"/>
              <w:bottom w:val="nil"/>
              <w:right w:val="nil"/>
            </w:tcBorders>
            <w:shd w:val="clear" w:color="auto" w:fill="auto"/>
            <w:noWrap/>
            <w:vAlign w:val="bottom"/>
          </w:tcPr>
          <w:p w14:paraId="16AE998D" w14:textId="33832A9E" w:rsidR="00015A86" w:rsidRPr="007239A6" w:rsidRDefault="00015A86" w:rsidP="004C356D">
            <w:pPr>
              <w:spacing w:after="0" w:line="240" w:lineRule="auto"/>
              <w:jc w:val="right"/>
              <w:rPr>
                <w:color w:val="000000"/>
                <w:sz w:val="22"/>
                <w:szCs w:val="22"/>
                <w:lang w:bidi="ar-SA"/>
              </w:rPr>
            </w:pPr>
            <w:r w:rsidRPr="007239A6">
              <w:rPr>
                <w:sz w:val="20"/>
                <w:szCs w:val="20"/>
              </w:rPr>
              <w:t xml:space="preserve">135 </w:t>
            </w:r>
          </w:p>
        </w:tc>
        <w:tc>
          <w:tcPr>
            <w:tcW w:w="1769" w:type="dxa"/>
            <w:tcBorders>
              <w:top w:val="nil"/>
              <w:left w:val="nil"/>
              <w:bottom w:val="nil"/>
              <w:right w:val="nil"/>
            </w:tcBorders>
            <w:vAlign w:val="bottom"/>
          </w:tcPr>
          <w:p w14:paraId="380EE4EC" w14:textId="613CC903" w:rsidR="00015A86" w:rsidRPr="00A54231" w:rsidRDefault="00015A86" w:rsidP="004C356D">
            <w:pPr>
              <w:spacing w:after="0" w:line="240" w:lineRule="auto"/>
              <w:jc w:val="right"/>
              <w:rPr>
                <w:sz w:val="20"/>
                <w:szCs w:val="20"/>
              </w:rPr>
            </w:pPr>
            <w:r w:rsidRPr="00A54231">
              <w:rPr>
                <w:color w:val="000000"/>
                <w:sz w:val="20"/>
                <w:szCs w:val="20"/>
              </w:rPr>
              <w:t>-46.93</w:t>
            </w:r>
          </w:p>
        </w:tc>
      </w:tr>
      <w:tr w:rsidR="00015A86" w:rsidRPr="007239A6" w14:paraId="2B65DB91" w14:textId="2E70F313" w:rsidTr="00181ACD">
        <w:trPr>
          <w:trHeight w:val="288"/>
        </w:trPr>
        <w:tc>
          <w:tcPr>
            <w:tcW w:w="1586" w:type="dxa"/>
            <w:tcBorders>
              <w:top w:val="nil"/>
              <w:left w:val="nil"/>
              <w:bottom w:val="nil"/>
              <w:right w:val="nil"/>
            </w:tcBorders>
            <w:shd w:val="clear" w:color="auto" w:fill="auto"/>
            <w:noWrap/>
            <w:vAlign w:val="bottom"/>
            <w:hideMark/>
          </w:tcPr>
          <w:p w14:paraId="005856B8"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Southbury</w:t>
            </w:r>
          </w:p>
        </w:tc>
        <w:tc>
          <w:tcPr>
            <w:tcW w:w="1261" w:type="dxa"/>
            <w:tcBorders>
              <w:top w:val="nil"/>
              <w:left w:val="nil"/>
              <w:bottom w:val="nil"/>
              <w:right w:val="nil"/>
            </w:tcBorders>
            <w:shd w:val="clear" w:color="auto" w:fill="auto"/>
            <w:noWrap/>
            <w:vAlign w:val="bottom"/>
          </w:tcPr>
          <w:p w14:paraId="58038165" w14:textId="1BC7B99F" w:rsidR="00015A86" w:rsidRPr="007239A6" w:rsidRDefault="00015A86" w:rsidP="004C356D">
            <w:pPr>
              <w:spacing w:after="0" w:line="240" w:lineRule="auto"/>
              <w:jc w:val="right"/>
              <w:rPr>
                <w:color w:val="000000"/>
                <w:sz w:val="22"/>
                <w:szCs w:val="22"/>
                <w:lang w:bidi="ar-SA"/>
              </w:rPr>
            </w:pPr>
            <w:r w:rsidRPr="007239A6">
              <w:rPr>
                <w:sz w:val="20"/>
                <w:szCs w:val="20"/>
              </w:rPr>
              <w:t>2,992.1</w:t>
            </w:r>
          </w:p>
        </w:tc>
        <w:tc>
          <w:tcPr>
            <w:tcW w:w="1293" w:type="dxa"/>
            <w:tcBorders>
              <w:top w:val="nil"/>
              <w:left w:val="nil"/>
              <w:bottom w:val="nil"/>
              <w:right w:val="nil"/>
            </w:tcBorders>
            <w:shd w:val="clear" w:color="auto" w:fill="auto"/>
            <w:noWrap/>
            <w:vAlign w:val="bottom"/>
          </w:tcPr>
          <w:p w14:paraId="1987F482" w14:textId="2642F7DC" w:rsidR="00015A86" w:rsidRPr="007239A6" w:rsidRDefault="00015A86" w:rsidP="004C356D">
            <w:pPr>
              <w:spacing w:after="0" w:line="240" w:lineRule="auto"/>
              <w:jc w:val="right"/>
              <w:rPr>
                <w:color w:val="000000"/>
                <w:sz w:val="22"/>
                <w:szCs w:val="22"/>
                <w:lang w:bidi="ar-SA"/>
              </w:rPr>
            </w:pPr>
            <w:r w:rsidRPr="007239A6">
              <w:rPr>
                <w:sz w:val="20"/>
                <w:szCs w:val="20"/>
              </w:rPr>
              <w:t xml:space="preserve">151 </w:t>
            </w:r>
          </w:p>
        </w:tc>
        <w:tc>
          <w:tcPr>
            <w:tcW w:w="1650" w:type="dxa"/>
            <w:tcBorders>
              <w:top w:val="nil"/>
              <w:left w:val="nil"/>
              <w:bottom w:val="nil"/>
              <w:right w:val="nil"/>
            </w:tcBorders>
            <w:shd w:val="clear" w:color="auto" w:fill="auto"/>
            <w:noWrap/>
            <w:vAlign w:val="bottom"/>
          </w:tcPr>
          <w:p w14:paraId="0FBBE7E9" w14:textId="36392DC3" w:rsidR="00015A86" w:rsidRPr="007239A6" w:rsidRDefault="00015A86" w:rsidP="004C356D">
            <w:pPr>
              <w:spacing w:after="0" w:line="240" w:lineRule="auto"/>
              <w:jc w:val="right"/>
              <w:rPr>
                <w:color w:val="000000"/>
                <w:sz w:val="22"/>
                <w:szCs w:val="22"/>
                <w:lang w:bidi="ar-SA"/>
              </w:rPr>
            </w:pPr>
            <w:r w:rsidRPr="007239A6">
              <w:rPr>
                <w:sz w:val="20"/>
                <w:szCs w:val="20"/>
              </w:rPr>
              <w:t>2006.0</w:t>
            </w:r>
          </w:p>
        </w:tc>
        <w:tc>
          <w:tcPr>
            <w:tcW w:w="1289" w:type="dxa"/>
            <w:tcBorders>
              <w:top w:val="nil"/>
              <w:left w:val="nil"/>
              <w:bottom w:val="nil"/>
              <w:right w:val="nil"/>
            </w:tcBorders>
            <w:shd w:val="clear" w:color="auto" w:fill="auto"/>
            <w:noWrap/>
            <w:vAlign w:val="bottom"/>
          </w:tcPr>
          <w:p w14:paraId="36BC9077" w14:textId="4A06D154" w:rsidR="00015A86" w:rsidRPr="007239A6" w:rsidRDefault="00015A86" w:rsidP="004C356D">
            <w:pPr>
              <w:spacing w:after="0" w:line="240" w:lineRule="auto"/>
              <w:jc w:val="right"/>
              <w:rPr>
                <w:color w:val="000000"/>
                <w:sz w:val="22"/>
                <w:szCs w:val="22"/>
                <w:lang w:bidi="ar-SA"/>
              </w:rPr>
            </w:pPr>
            <w:r w:rsidRPr="007239A6">
              <w:rPr>
                <w:sz w:val="20"/>
                <w:szCs w:val="20"/>
              </w:rPr>
              <w:t xml:space="preserve">101 </w:t>
            </w:r>
          </w:p>
        </w:tc>
        <w:tc>
          <w:tcPr>
            <w:tcW w:w="1769" w:type="dxa"/>
            <w:tcBorders>
              <w:top w:val="nil"/>
              <w:left w:val="nil"/>
              <w:bottom w:val="nil"/>
              <w:right w:val="nil"/>
            </w:tcBorders>
            <w:vAlign w:val="bottom"/>
          </w:tcPr>
          <w:p w14:paraId="67DDE80B" w14:textId="1882E81A" w:rsidR="00015A86" w:rsidRPr="00A54231" w:rsidRDefault="00015A86" w:rsidP="004C356D">
            <w:pPr>
              <w:spacing w:after="0" w:line="240" w:lineRule="auto"/>
              <w:jc w:val="right"/>
              <w:rPr>
                <w:sz w:val="20"/>
                <w:szCs w:val="20"/>
              </w:rPr>
            </w:pPr>
            <w:r w:rsidRPr="00A54231">
              <w:rPr>
                <w:color w:val="000000"/>
                <w:sz w:val="20"/>
                <w:szCs w:val="20"/>
              </w:rPr>
              <w:t>-198.31</w:t>
            </w:r>
          </w:p>
        </w:tc>
      </w:tr>
      <w:tr w:rsidR="00015A86" w:rsidRPr="007239A6" w14:paraId="754D7B64" w14:textId="471BDB2B" w:rsidTr="00181ACD">
        <w:trPr>
          <w:trHeight w:val="288"/>
        </w:trPr>
        <w:tc>
          <w:tcPr>
            <w:tcW w:w="1586" w:type="dxa"/>
            <w:tcBorders>
              <w:top w:val="nil"/>
              <w:left w:val="nil"/>
              <w:bottom w:val="nil"/>
              <w:right w:val="nil"/>
            </w:tcBorders>
            <w:shd w:val="clear" w:color="auto" w:fill="auto"/>
            <w:noWrap/>
            <w:vAlign w:val="bottom"/>
            <w:hideMark/>
          </w:tcPr>
          <w:p w14:paraId="7DA5046B"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Southington</w:t>
            </w:r>
          </w:p>
        </w:tc>
        <w:tc>
          <w:tcPr>
            <w:tcW w:w="1261" w:type="dxa"/>
            <w:tcBorders>
              <w:top w:val="nil"/>
              <w:left w:val="nil"/>
              <w:bottom w:val="nil"/>
              <w:right w:val="nil"/>
            </w:tcBorders>
            <w:shd w:val="clear" w:color="auto" w:fill="auto"/>
            <w:noWrap/>
            <w:vAlign w:val="bottom"/>
          </w:tcPr>
          <w:p w14:paraId="3EA7664C" w14:textId="5828D2A4" w:rsidR="00015A86" w:rsidRPr="007239A6" w:rsidRDefault="00015A86" w:rsidP="004C356D">
            <w:pPr>
              <w:spacing w:after="0" w:line="240" w:lineRule="auto"/>
              <w:jc w:val="right"/>
              <w:rPr>
                <w:color w:val="000000"/>
                <w:sz w:val="22"/>
                <w:szCs w:val="22"/>
                <w:lang w:bidi="ar-SA"/>
              </w:rPr>
            </w:pPr>
            <w:r w:rsidRPr="007239A6">
              <w:rPr>
                <w:sz w:val="20"/>
                <w:szCs w:val="20"/>
              </w:rPr>
              <w:t>5,968.7</w:t>
            </w:r>
          </w:p>
        </w:tc>
        <w:tc>
          <w:tcPr>
            <w:tcW w:w="1293" w:type="dxa"/>
            <w:tcBorders>
              <w:top w:val="nil"/>
              <w:left w:val="nil"/>
              <w:bottom w:val="nil"/>
              <w:right w:val="nil"/>
            </w:tcBorders>
            <w:shd w:val="clear" w:color="auto" w:fill="auto"/>
            <w:noWrap/>
            <w:vAlign w:val="bottom"/>
          </w:tcPr>
          <w:p w14:paraId="370C3AF7" w14:textId="722B79A7" w:rsidR="00015A86" w:rsidRPr="007239A6" w:rsidRDefault="00015A86" w:rsidP="004C356D">
            <w:pPr>
              <w:spacing w:after="0" w:line="240" w:lineRule="auto"/>
              <w:jc w:val="right"/>
              <w:rPr>
                <w:color w:val="000000"/>
                <w:sz w:val="22"/>
                <w:szCs w:val="22"/>
                <w:lang w:bidi="ar-SA"/>
              </w:rPr>
            </w:pPr>
            <w:r w:rsidRPr="007239A6">
              <w:rPr>
                <w:sz w:val="20"/>
                <w:szCs w:val="20"/>
              </w:rPr>
              <w:t xml:space="preserve">138 </w:t>
            </w:r>
          </w:p>
        </w:tc>
        <w:tc>
          <w:tcPr>
            <w:tcW w:w="1650" w:type="dxa"/>
            <w:tcBorders>
              <w:top w:val="nil"/>
              <w:left w:val="nil"/>
              <w:bottom w:val="nil"/>
              <w:right w:val="nil"/>
            </w:tcBorders>
            <w:shd w:val="clear" w:color="auto" w:fill="auto"/>
            <w:noWrap/>
            <w:vAlign w:val="bottom"/>
          </w:tcPr>
          <w:p w14:paraId="6B3EE8E6" w14:textId="4A9D4FBB" w:rsidR="00015A86" w:rsidRPr="007239A6" w:rsidRDefault="00015A86" w:rsidP="004C356D">
            <w:pPr>
              <w:spacing w:after="0" w:line="240" w:lineRule="auto"/>
              <w:jc w:val="right"/>
              <w:rPr>
                <w:color w:val="000000"/>
                <w:sz w:val="22"/>
                <w:szCs w:val="22"/>
                <w:lang w:bidi="ar-SA"/>
              </w:rPr>
            </w:pPr>
            <w:r w:rsidRPr="007239A6">
              <w:rPr>
                <w:sz w:val="20"/>
                <w:szCs w:val="20"/>
              </w:rPr>
              <w:t>5091.0</w:t>
            </w:r>
          </w:p>
        </w:tc>
        <w:tc>
          <w:tcPr>
            <w:tcW w:w="1289" w:type="dxa"/>
            <w:tcBorders>
              <w:top w:val="nil"/>
              <w:left w:val="nil"/>
              <w:bottom w:val="nil"/>
              <w:right w:val="nil"/>
            </w:tcBorders>
            <w:shd w:val="clear" w:color="auto" w:fill="auto"/>
            <w:noWrap/>
            <w:vAlign w:val="bottom"/>
          </w:tcPr>
          <w:p w14:paraId="6779B138" w14:textId="02996CDE" w:rsidR="00015A86" w:rsidRPr="007239A6" w:rsidRDefault="00015A86" w:rsidP="004C356D">
            <w:pPr>
              <w:spacing w:after="0" w:line="240" w:lineRule="auto"/>
              <w:jc w:val="right"/>
              <w:rPr>
                <w:color w:val="000000"/>
                <w:sz w:val="22"/>
                <w:szCs w:val="22"/>
                <w:lang w:bidi="ar-SA"/>
              </w:rPr>
            </w:pPr>
            <w:r w:rsidRPr="007239A6">
              <w:rPr>
                <w:sz w:val="20"/>
                <w:szCs w:val="20"/>
              </w:rPr>
              <w:t xml:space="preserve">118 </w:t>
            </w:r>
          </w:p>
        </w:tc>
        <w:tc>
          <w:tcPr>
            <w:tcW w:w="1769" w:type="dxa"/>
            <w:tcBorders>
              <w:top w:val="nil"/>
              <w:left w:val="nil"/>
              <w:bottom w:val="nil"/>
              <w:right w:val="nil"/>
            </w:tcBorders>
            <w:vAlign w:val="bottom"/>
          </w:tcPr>
          <w:p w14:paraId="16CE29B1" w14:textId="639B069C" w:rsidR="00015A86" w:rsidRPr="00A54231" w:rsidRDefault="00015A86" w:rsidP="004C356D">
            <w:pPr>
              <w:spacing w:after="0" w:line="240" w:lineRule="auto"/>
              <w:jc w:val="right"/>
              <w:rPr>
                <w:sz w:val="20"/>
                <w:szCs w:val="20"/>
              </w:rPr>
            </w:pPr>
            <w:r w:rsidRPr="00A54231">
              <w:rPr>
                <w:color w:val="000000"/>
                <w:sz w:val="20"/>
                <w:szCs w:val="20"/>
              </w:rPr>
              <w:t>64.04</w:t>
            </w:r>
          </w:p>
        </w:tc>
      </w:tr>
      <w:tr w:rsidR="00015A86" w:rsidRPr="007239A6" w14:paraId="71D07D1B" w14:textId="7E222717" w:rsidTr="00181ACD">
        <w:trPr>
          <w:trHeight w:val="288"/>
        </w:trPr>
        <w:tc>
          <w:tcPr>
            <w:tcW w:w="1586" w:type="dxa"/>
            <w:tcBorders>
              <w:top w:val="nil"/>
              <w:left w:val="nil"/>
              <w:bottom w:val="nil"/>
              <w:right w:val="nil"/>
            </w:tcBorders>
            <w:shd w:val="clear" w:color="auto" w:fill="auto"/>
            <w:noWrap/>
            <w:vAlign w:val="bottom"/>
            <w:hideMark/>
          </w:tcPr>
          <w:p w14:paraId="388395A7"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Sprague</w:t>
            </w:r>
          </w:p>
        </w:tc>
        <w:tc>
          <w:tcPr>
            <w:tcW w:w="1261" w:type="dxa"/>
            <w:tcBorders>
              <w:top w:val="nil"/>
              <w:left w:val="nil"/>
              <w:bottom w:val="nil"/>
              <w:right w:val="nil"/>
            </w:tcBorders>
            <w:shd w:val="clear" w:color="auto" w:fill="auto"/>
            <w:noWrap/>
            <w:vAlign w:val="bottom"/>
          </w:tcPr>
          <w:p w14:paraId="2B10F7EB" w14:textId="3125BB2A" w:rsidR="00015A86" w:rsidRPr="007239A6" w:rsidRDefault="00015A86" w:rsidP="004C356D">
            <w:pPr>
              <w:spacing w:after="0" w:line="240" w:lineRule="auto"/>
              <w:jc w:val="right"/>
              <w:rPr>
                <w:color w:val="000000"/>
                <w:sz w:val="22"/>
                <w:szCs w:val="22"/>
                <w:lang w:bidi="ar-SA"/>
              </w:rPr>
            </w:pPr>
            <w:r w:rsidRPr="007239A6">
              <w:rPr>
                <w:sz w:val="20"/>
                <w:szCs w:val="20"/>
              </w:rPr>
              <w:t>89.6</w:t>
            </w:r>
          </w:p>
        </w:tc>
        <w:tc>
          <w:tcPr>
            <w:tcW w:w="1293" w:type="dxa"/>
            <w:tcBorders>
              <w:top w:val="nil"/>
              <w:left w:val="nil"/>
              <w:bottom w:val="nil"/>
              <w:right w:val="nil"/>
            </w:tcBorders>
            <w:shd w:val="clear" w:color="auto" w:fill="auto"/>
            <w:noWrap/>
            <w:vAlign w:val="bottom"/>
          </w:tcPr>
          <w:p w14:paraId="4503BA74" w14:textId="08E6E77E" w:rsidR="00015A86" w:rsidRPr="007239A6" w:rsidRDefault="00015A86" w:rsidP="004C356D">
            <w:pPr>
              <w:spacing w:after="0" w:line="240" w:lineRule="auto"/>
              <w:jc w:val="right"/>
              <w:rPr>
                <w:color w:val="000000"/>
                <w:sz w:val="22"/>
                <w:szCs w:val="22"/>
                <w:lang w:bidi="ar-SA"/>
              </w:rPr>
            </w:pPr>
            <w:r w:rsidRPr="007239A6">
              <w:rPr>
                <w:sz w:val="20"/>
                <w:szCs w:val="20"/>
              </w:rPr>
              <w:t xml:space="preserve">30 </w:t>
            </w:r>
          </w:p>
        </w:tc>
        <w:tc>
          <w:tcPr>
            <w:tcW w:w="1650" w:type="dxa"/>
            <w:tcBorders>
              <w:top w:val="nil"/>
              <w:left w:val="nil"/>
              <w:bottom w:val="nil"/>
              <w:right w:val="nil"/>
            </w:tcBorders>
            <w:shd w:val="clear" w:color="auto" w:fill="auto"/>
            <w:noWrap/>
            <w:vAlign w:val="bottom"/>
          </w:tcPr>
          <w:p w14:paraId="3B14C3F1" w14:textId="10089420" w:rsidR="00015A86" w:rsidRPr="007239A6" w:rsidRDefault="00015A86" w:rsidP="004C356D">
            <w:pPr>
              <w:spacing w:after="0" w:line="240" w:lineRule="auto"/>
              <w:jc w:val="right"/>
              <w:rPr>
                <w:color w:val="000000"/>
                <w:sz w:val="22"/>
                <w:szCs w:val="22"/>
                <w:lang w:bidi="ar-SA"/>
              </w:rPr>
            </w:pPr>
            <w:r w:rsidRPr="007239A6">
              <w:rPr>
                <w:sz w:val="20"/>
                <w:szCs w:val="20"/>
              </w:rPr>
              <w:t>256.3</w:t>
            </w:r>
          </w:p>
        </w:tc>
        <w:tc>
          <w:tcPr>
            <w:tcW w:w="1289" w:type="dxa"/>
            <w:tcBorders>
              <w:top w:val="nil"/>
              <w:left w:val="nil"/>
              <w:bottom w:val="nil"/>
              <w:right w:val="nil"/>
            </w:tcBorders>
            <w:shd w:val="clear" w:color="auto" w:fill="auto"/>
            <w:noWrap/>
            <w:vAlign w:val="bottom"/>
          </w:tcPr>
          <w:p w14:paraId="26ADB930" w14:textId="52F242F6" w:rsidR="00015A86" w:rsidRPr="007239A6" w:rsidRDefault="00015A86" w:rsidP="004C356D">
            <w:pPr>
              <w:spacing w:after="0" w:line="240" w:lineRule="auto"/>
              <w:jc w:val="right"/>
              <w:rPr>
                <w:color w:val="000000"/>
                <w:sz w:val="22"/>
                <w:szCs w:val="22"/>
                <w:lang w:bidi="ar-SA"/>
              </w:rPr>
            </w:pPr>
            <w:r w:rsidRPr="007239A6">
              <w:rPr>
                <w:sz w:val="20"/>
                <w:szCs w:val="20"/>
              </w:rPr>
              <w:t xml:space="preserve">86 </w:t>
            </w:r>
          </w:p>
        </w:tc>
        <w:tc>
          <w:tcPr>
            <w:tcW w:w="1769" w:type="dxa"/>
            <w:tcBorders>
              <w:top w:val="nil"/>
              <w:left w:val="nil"/>
              <w:bottom w:val="nil"/>
              <w:right w:val="nil"/>
            </w:tcBorders>
            <w:vAlign w:val="bottom"/>
          </w:tcPr>
          <w:p w14:paraId="39588C0F" w14:textId="7DFF0DBC" w:rsidR="00015A86" w:rsidRPr="00A54231" w:rsidRDefault="00015A86" w:rsidP="004C356D">
            <w:pPr>
              <w:spacing w:after="0" w:line="240" w:lineRule="auto"/>
              <w:jc w:val="right"/>
              <w:rPr>
                <w:sz w:val="20"/>
                <w:szCs w:val="20"/>
              </w:rPr>
            </w:pPr>
            <w:r w:rsidRPr="00A54231">
              <w:rPr>
                <w:color w:val="000000"/>
                <w:sz w:val="20"/>
                <w:szCs w:val="20"/>
              </w:rPr>
              <w:t>276.92</w:t>
            </w:r>
          </w:p>
        </w:tc>
      </w:tr>
      <w:tr w:rsidR="00015A86" w:rsidRPr="007239A6" w14:paraId="777E11B1" w14:textId="1501F3F1" w:rsidTr="00181ACD">
        <w:trPr>
          <w:trHeight w:val="288"/>
        </w:trPr>
        <w:tc>
          <w:tcPr>
            <w:tcW w:w="1586" w:type="dxa"/>
            <w:tcBorders>
              <w:top w:val="nil"/>
              <w:left w:val="nil"/>
              <w:bottom w:val="nil"/>
              <w:right w:val="nil"/>
            </w:tcBorders>
            <w:shd w:val="clear" w:color="auto" w:fill="auto"/>
            <w:noWrap/>
            <w:vAlign w:val="bottom"/>
            <w:hideMark/>
          </w:tcPr>
          <w:p w14:paraId="665C6E57"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Stafford</w:t>
            </w:r>
          </w:p>
        </w:tc>
        <w:tc>
          <w:tcPr>
            <w:tcW w:w="1261" w:type="dxa"/>
            <w:tcBorders>
              <w:top w:val="nil"/>
              <w:left w:val="nil"/>
              <w:bottom w:val="nil"/>
              <w:right w:val="nil"/>
            </w:tcBorders>
            <w:shd w:val="clear" w:color="auto" w:fill="auto"/>
            <w:noWrap/>
            <w:vAlign w:val="bottom"/>
          </w:tcPr>
          <w:p w14:paraId="0301F16D" w14:textId="0F8A0F14" w:rsidR="00015A86" w:rsidRPr="007239A6" w:rsidRDefault="00015A86" w:rsidP="004C356D">
            <w:pPr>
              <w:spacing w:after="0" w:line="240" w:lineRule="auto"/>
              <w:jc w:val="right"/>
              <w:rPr>
                <w:color w:val="000000"/>
                <w:sz w:val="22"/>
                <w:szCs w:val="22"/>
                <w:lang w:bidi="ar-SA"/>
              </w:rPr>
            </w:pPr>
            <w:r w:rsidRPr="007239A6">
              <w:rPr>
                <w:sz w:val="20"/>
                <w:szCs w:val="20"/>
              </w:rPr>
              <w:t>682.3</w:t>
            </w:r>
          </w:p>
        </w:tc>
        <w:tc>
          <w:tcPr>
            <w:tcW w:w="1293" w:type="dxa"/>
            <w:tcBorders>
              <w:top w:val="nil"/>
              <w:left w:val="nil"/>
              <w:bottom w:val="nil"/>
              <w:right w:val="nil"/>
            </w:tcBorders>
            <w:shd w:val="clear" w:color="auto" w:fill="auto"/>
            <w:noWrap/>
            <w:vAlign w:val="bottom"/>
          </w:tcPr>
          <w:p w14:paraId="7C9792B3" w14:textId="1D4B8EF0" w:rsidR="00015A86" w:rsidRPr="007239A6" w:rsidRDefault="00015A86" w:rsidP="004C356D">
            <w:pPr>
              <w:spacing w:after="0" w:line="240" w:lineRule="auto"/>
              <w:jc w:val="right"/>
              <w:rPr>
                <w:color w:val="000000"/>
                <w:sz w:val="22"/>
                <w:szCs w:val="22"/>
                <w:lang w:bidi="ar-SA"/>
              </w:rPr>
            </w:pPr>
            <w:r w:rsidRPr="007239A6">
              <w:rPr>
                <w:sz w:val="20"/>
                <w:szCs w:val="20"/>
              </w:rPr>
              <w:t xml:space="preserve">57 </w:t>
            </w:r>
          </w:p>
        </w:tc>
        <w:tc>
          <w:tcPr>
            <w:tcW w:w="1650" w:type="dxa"/>
            <w:tcBorders>
              <w:top w:val="nil"/>
              <w:left w:val="nil"/>
              <w:bottom w:val="nil"/>
              <w:right w:val="nil"/>
            </w:tcBorders>
            <w:shd w:val="clear" w:color="auto" w:fill="auto"/>
            <w:noWrap/>
            <w:vAlign w:val="bottom"/>
          </w:tcPr>
          <w:p w14:paraId="5DE3CE65" w14:textId="34274546" w:rsidR="00015A86" w:rsidRPr="007239A6" w:rsidRDefault="00015A86" w:rsidP="004C356D">
            <w:pPr>
              <w:spacing w:after="0" w:line="240" w:lineRule="auto"/>
              <w:jc w:val="right"/>
              <w:rPr>
                <w:color w:val="000000"/>
                <w:sz w:val="22"/>
                <w:szCs w:val="22"/>
                <w:lang w:bidi="ar-SA"/>
              </w:rPr>
            </w:pPr>
            <w:r w:rsidRPr="007239A6">
              <w:rPr>
                <w:sz w:val="20"/>
                <w:szCs w:val="20"/>
              </w:rPr>
              <w:t>1311.3</w:t>
            </w:r>
          </w:p>
        </w:tc>
        <w:tc>
          <w:tcPr>
            <w:tcW w:w="1289" w:type="dxa"/>
            <w:tcBorders>
              <w:top w:val="nil"/>
              <w:left w:val="nil"/>
              <w:bottom w:val="nil"/>
              <w:right w:val="nil"/>
            </w:tcBorders>
            <w:shd w:val="clear" w:color="auto" w:fill="auto"/>
            <w:noWrap/>
            <w:vAlign w:val="bottom"/>
          </w:tcPr>
          <w:p w14:paraId="0771E2B8" w14:textId="32FFA7B2" w:rsidR="00015A86" w:rsidRPr="007239A6" w:rsidRDefault="00015A86" w:rsidP="004C356D">
            <w:pPr>
              <w:spacing w:after="0" w:line="240" w:lineRule="auto"/>
              <w:jc w:val="right"/>
              <w:rPr>
                <w:color w:val="000000"/>
                <w:sz w:val="22"/>
                <w:szCs w:val="22"/>
                <w:lang w:bidi="ar-SA"/>
              </w:rPr>
            </w:pPr>
            <w:r w:rsidRPr="007239A6">
              <w:rPr>
                <w:sz w:val="20"/>
                <w:szCs w:val="20"/>
              </w:rPr>
              <w:t xml:space="preserve">109 </w:t>
            </w:r>
          </w:p>
        </w:tc>
        <w:tc>
          <w:tcPr>
            <w:tcW w:w="1769" w:type="dxa"/>
            <w:tcBorders>
              <w:top w:val="nil"/>
              <w:left w:val="nil"/>
              <w:bottom w:val="nil"/>
              <w:right w:val="nil"/>
            </w:tcBorders>
            <w:vAlign w:val="bottom"/>
          </w:tcPr>
          <w:p w14:paraId="79B853F1" w14:textId="0379E59D" w:rsidR="00015A86" w:rsidRPr="00A54231" w:rsidRDefault="00015A86" w:rsidP="004C356D">
            <w:pPr>
              <w:spacing w:after="0" w:line="240" w:lineRule="auto"/>
              <w:jc w:val="right"/>
              <w:rPr>
                <w:sz w:val="20"/>
                <w:szCs w:val="20"/>
              </w:rPr>
            </w:pPr>
            <w:r w:rsidRPr="00A54231">
              <w:rPr>
                <w:color w:val="000000"/>
                <w:sz w:val="20"/>
                <w:szCs w:val="20"/>
              </w:rPr>
              <w:t>397.03</w:t>
            </w:r>
          </w:p>
        </w:tc>
      </w:tr>
      <w:tr w:rsidR="00015A86" w:rsidRPr="007239A6" w14:paraId="49C38304" w14:textId="2F793266" w:rsidTr="00181ACD">
        <w:trPr>
          <w:trHeight w:val="288"/>
        </w:trPr>
        <w:tc>
          <w:tcPr>
            <w:tcW w:w="1586" w:type="dxa"/>
            <w:tcBorders>
              <w:top w:val="nil"/>
              <w:left w:val="nil"/>
              <w:bottom w:val="nil"/>
              <w:right w:val="nil"/>
            </w:tcBorders>
            <w:shd w:val="clear" w:color="auto" w:fill="auto"/>
            <w:noWrap/>
            <w:vAlign w:val="bottom"/>
            <w:hideMark/>
          </w:tcPr>
          <w:p w14:paraId="3A79A438"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Stamford</w:t>
            </w:r>
          </w:p>
        </w:tc>
        <w:tc>
          <w:tcPr>
            <w:tcW w:w="1261" w:type="dxa"/>
            <w:tcBorders>
              <w:top w:val="nil"/>
              <w:left w:val="nil"/>
              <w:bottom w:val="nil"/>
              <w:right w:val="nil"/>
            </w:tcBorders>
            <w:shd w:val="clear" w:color="auto" w:fill="auto"/>
            <w:noWrap/>
            <w:vAlign w:val="bottom"/>
          </w:tcPr>
          <w:p w14:paraId="679DC7FE" w14:textId="3E713D6B" w:rsidR="00015A86" w:rsidRPr="007239A6" w:rsidRDefault="00015A86" w:rsidP="004C356D">
            <w:pPr>
              <w:spacing w:after="0" w:line="240" w:lineRule="auto"/>
              <w:jc w:val="right"/>
              <w:rPr>
                <w:color w:val="000000"/>
                <w:sz w:val="22"/>
                <w:szCs w:val="22"/>
                <w:lang w:bidi="ar-SA"/>
              </w:rPr>
            </w:pPr>
            <w:r w:rsidRPr="007239A6">
              <w:rPr>
                <w:sz w:val="20"/>
                <w:szCs w:val="20"/>
              </w:rPr>
              <w:t>19,210.7</w:t>
            </w:r>
          </w:p>
        </w:tc>
        <w:tc>
          <w:tcPr>
            <w:tcW w:w="1293" w:type="dxa"/>
            <w:tcBorders>
              <w:top w:val="nil"/>
              <w:left w:val="nil"/>
              <w:bottom w:val="nil"/>
              <w:right w:val="nil"/>
            </w:tcBorders>
            <w:shd w:val="clear" w:color="auto" w:fill="auto"/>
            <w:noWrap/>
            <w:vAlign w:val="bottom"/>
          </w:tcPr>
          <w:p w14:paraId="2B0E3856" w14:textId="76B74F92" w:rsidR="00015A86" w:rsidRPr="007239A6" w:rsidRDefault="00015A86" w:rsidP="004C356D">
            <w:pPr>
              <w:spacing w:after="0" w:line="240" w:lineRule="auto"/>
              <w:jc w:val="right"/>
              <w:rPr>
                <w:color w:val="000000"/>
                <w:sz w:val="22"/>
                <w:szCs w:val="22"/>
                <w:lang w:bidi="ar-SA"/>
              </w:rPr>
            </w:pPr>
            <w:r w:rsidRPr="007239A6">
              <w:rPr>
                <w:sz w:val="20"/>
                <w:szCs w:val="20"/>
              </w:rPr>
              <w:t xml:space="preserve">155 </w:t>
            </w:r>
          </w:p>
        </w:tc>
        <w:tc>
          <w:tcPr>
            <w:tcW w:w="1650" w:type="dxa"/>
            <w:tcBorders>
              <w:top w:val="nil"/>
              <w:left w:val="nil"/>
              <w:bottom w:val="nil"/>
              <w:right w:val="nil"/>
            </w:tcBorders>
            <w:shd w:val="clear" w:color="auto" w:fill="auto"/>
            <w:noWrap/>
            <w:vAlign w:val="bottom"/>
          </w:tcPr>
          <w:p w14:paraId="5B9405A5" w14:textId="61996A5D" w:rsidR="00015A86" w:rsidRPr="007239A6" w:rsidRDefault="00015A86" w:rsidP="004C356D">
            <w:pPr>
              <w:spacing w:after="0" w:line="240" w:lineRule="auto"/>
              <w:jc w:val="right"/>
              <w:rPr>
                <w:color w:val="000000"/>
                <w:sz w:val="22"/>
                <w:szCs w:val="22"/>
                <w:lang w:bidi="ar-SA"/>
              </w:rPr>
            </w:pPr>
            <w:r w:rsidRPr="007239A6">
              <w:rPr>
                <w:sz w:val="20"/>
                <w:szCs w:val="20"/>
              </w:rPr>
              <w:t>24329.1</w:t>
            </w:r>
          </w:p>
        </w:tc>
        <w:tc>
          <w:tcPr>
            <w:tcW w:w="1289" w:type="dxa"/>
            <w:tcBorders>
              <w:top w:val="nil"/>
              <w:left w:val="nil"/>
              <w:bottom w:val="nil"/>
              <w:right w:val="nil"/>
            </w:tcBorders>
            <w:shd w:val="clear" w:color="auto" w:fill="auto"/>
            <w:noWrap/>
            <w:vAlign w:val="bottom"/>
          </w:tcPr>
          <w:p w14:paraId="58A972F1" w14:textId="14D1175B" w:rsidR="00015A86" w:rsidRPr="007239A6" w:rsidRDefault="00015A86" w:rsidP="004C356D">
            <w:pPr>
              <w:spacing w:after="0" w:line="240" w:lineRule="auto"/>
              <w:jc w:val="right"/>
              <w:rPr>
                <w:color w:val="000000"/>
                <w:sz w:val="22"/>
                <w:szCs w:val="22"/>
                <w:lang w:bidi="ar-SA"/>
              </w:rPr>
            </w:pPr>
            <w:r w:rsidRPr="007239A6">
              <w:rPr>
                <w:sz w:val="20"/>
                <w:szCs w:val="20"/>
              </w:rPr>
              <w:t xml:space="preserve">196 </w:t>
            </w:r>
          </w:p>
        </w:tc>
        <w:tc>
          <w:tcPr>
            <w:tcW w:w="1769" w:type="dxa"/>
            <w:tcBorders>
              <w:top w:val="nil"/>
              <w:left w:val="nil"/>
              <w:bottom w:val="nil"/>
              <w:right w:val="nil"/>
            </w:tcBorders>
            <w:vAlign w:val="bottom"/>
          </w:tcPr>
          <w:p w14:paraId="2B6F6DF0" w14:textId="68CE533D" w:rsidR="00015A86" w:rsidRPr="00A54231" w:rsidRDefault="00015A86" w:rsidP="004C356D">
            <w:pPr>
              <w:spacing w:after="0" w:line="240" w:lineRule="auto"/>
              <w:jc w:val="right"/>
              <w:rPr>
                <w:sz w:val="20"/>
                <w:szCs w:val="20"/>
              </w:rPr>
            </w:pPr>
            <w:r w:rsidRPr="00A54231">
              <w:rPr>
                <w:color w:val="000000"/>
                <w:sz w:val="20"/>
                <w:szCs w:val="20"/>
              </w:rPr>
              <w:t>-503.12</w:t>
            </w:r>
          </w:p>
        </w:tc>
      </w:tr>
      <w:tr w:rsidR="00015A86" w:rsidRPr="007239A6" w14:paraId="1942FAC2" w14:textId="6CD96D79" w:rsidTr="00181ACD">
        <w:trPr>
          <w:trHeight w:val="288"/>
        </w:trPr>
        <w:tc>
          <w:tcPr>
            <w:tcW w:w="1586" w:type="dxa"/>
            <w:tcBorders>
              <w:top w:val="nil"/>
              <w:left w:val="nil"/>
              <w:bottom w:val="nil"/>
              <w:right w:val="nil"/>
            </w:tcBorders>
            <w:shd w:val="clear" w:color="auto" w:fill="auto"/>
            <w:noWrap/>
            <w:vAlign w:val="bottom"/>
            <w:hideMark/>
          </w:tcPr>
          <w:p w14:paraId="6C8613CE"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Sterling</w:t>
            </w:r>
          </w:p>
        </w:tc>
        <w:tc>
          <w:tcPr>
            <w:tcW w:w="1261" w:type="dxa"/>
            <w:tcBorders>
              <w:top w:val="nil"/>
              <w:left w:val="nil"/>
              <w:bottom w:val="nil"/>
              <w:right w:val="nil"/>
            </w:tcBorders>
            <w:shd w:val="clear" w:color="auto" w:fill="auto"/>
            <w:noWrap/>
            <w:vAlign w:val="bottom"/>
          </w:tcPr>
          <w:p w14:paraId="6EB2C07E" w14:textId="194E12D5" w:rsidR="00015A86" w:rsidRPr="007239A6" w:rsidRDefault="00015A86" w:rsidP="004C356D">
            <w:pPr>
              <w:spacing w:after="0" w:line="240" w:lineRule="auto"/>
              <w:jc w:val="right"/>
              <w:rPr>
                <w:color w:val="000000"/>
                <w:sz w:val="22"/>
                <w:szCs w:val="22"/>
                <w:lang w:bidi="ar-SA"/>
              </w:rPr>
            </w:pPr>
            <w:r w:rsidRPr="007239A6">
              <w:rPr>
                <w:sz w:val="20"/>
                <w:szCs w:val="20"/>
              </w:rPr>
              <w:t>36.0</w:t>
            </w:r>
          </w:p>
        </w:tc>
        <w:tc>
          <w:tcPr>
            <w:tcW w:w="1293" w:type="dxa"/>
            <w:tcBorders>
              <w:top w:val="nil"/>
              <w:left w:val="nil"/>
              <w:bottom w:val="nil"/>
              <w:right w:val="nil"/>
            </w:tcBorders>
            <w:shd w:val="clear" w:color="auto" w:fill="auto"/>
            <w:noWrap/>
            <w:vAlign w:val="bottom"/>
          </w:tcPr>
          <w:p w14:paraId="5A8F88F3" w14:textId="717491B1" w:rsidR="00015A86" w:rsidRPr="007239A6" w:rsidRDefault="00015A86" w:rsidP="004C356D">
            <w:pPr>
              <w:spacing w:after="0" w:line="240" w:lineRule="auto"/>
              <w:jc w:val="right"/>
              <w:rPr>
                <w:color w:val="000000"/>
                <w:sz w:val="22"/>
                <w:szCs w:val="22"/>
                <w:lang w:bidi="ar-SA"/>
              </w:rPr>
            </w:pPr>
            <w:r w:rsidRPr="007239A6">
              <w:rPr>
                <w:sz w:val="20"/>
                <w:szCs w:val="20"/>
              </w:rPr>
              <w:t xml:space="preserve">9 </w:t>
            </w:r>
          </w:p>
        </w:tc>
        <w:tc>
          <w:tcPr>
            <w:tcW w:w="1650" w:type="dxa"/>
            <w:tcBorders>
              <w:top w:val="nil"/>
              <w:left w:val="nil"/>
              <w:bottom w:val="nil"/>
              <w:right w:val="nil"/>
            </w:tcBorders>
            <w:shd w:val="clear" w:color="auto" w:fill="auto"/>
            <w:noWrap/>
            <w:vAlign w:val="bottom"/>
          </w:tcPr>
          <w:p w14:paraId="4F85B0C3" w14:textId="55926D1E" w:rsidR="00015A86" w:rsidRPr="007239A6" w:rsidRDefault="00015A86" w:rsidP="004C356D">
            <w:pPr>
              <w:spacing w:after="0" w:line="240" w:lineRule="auto"/>
              <w:jc w:val="right"/>
              <w:rPr>
                <w:color w:val="000000"/>
                <w:sz w:val="22"/>
                <w:szCs w:val="22"/>
                <w:lang w:bidi="ar-SA"/>
              </w:rPr>
            </w:pPr>
            <w:r w:rsidRPr="007239A6">
              <w:rPr>
                <w:sz w:val="20"/>
                <w:szCs w:val="20"/>
              </w:rPr>
              <w:t>168.7</w:t>
            </w:r>
          </w:p>
        </w:tc>
        <w:tc>
          <w:tcPr>
            <w:tcW w:w="1289" w:type="dxa"/>
            <w:tcBorders>
              <w:top w:val="nil"/>
              <w:left w:val="nil"/>
              <w:bottom w:val="nil"/>
              <w:right w:val="nil"/>
            </w:tcBorders>
            <w:shd w:val="clear" w:color="auto" w:fill="auto"/>
            <w:noWrap/>
            <w:vAlign w:val="bottom"/>
          </w:tcPr>
          <w:p w14:paraId="56DB048D" w14:textId="3479C0AC" w:rsidR="00015A86" w:rsidRPr="007239A6" w:rsidRDefault="00015A86" w:rsidP="004C356D">
            <w:pPr>
              <w:spacing w:after="0" w:line="240" w:lineRule="auto"/>
              <w:jc w:val="right"/>
              <w:rPr>
                <w:color w:val="000000"/>
                <w:sz w:val="22"/>
                <w:szCs w:val="22"/>
                <w:lang w:bidi="ar-SA"/>
              </w:rPr>
            </w:pPr>
            <w:r w:rsidRPr="007239A6">
              <w:rPr>
                <w:sz w:val="20"/>
                <w:szCs w:val="20"/>
              </w:rPr>
              <w:t xml:space="preserve">44 </w:t>
            </w:r>
          </w:p>
        </w:tc>
        <w:tc>
          <w:tcPr>
            <w:tcW w:w="1769" w:type="dxa"/>
            <w:tcBorders>
              <w:top w:val="nil"/>
              <w:left w:val="nil"/>
              <w:bottom w:val="nil"/>
              <w:right w:val="nil"/>
            </w:tcBorders>
            <w:vAlign w:val="bottom"/>
          </w:tcPr>
          <w:p w14:paraId="5EAFFE57" w14:textId="4237A953" w:rsidR="00015A86" w:rsidRPr="00A54231" w:rsidRDefault="00015A86" w:rsidP="004C356D">
            <w:pPr>
              <w:spacing w:after="0" w:line="240" w:lineRule="auto"/>
              <w:jc w:val="right"/>
              <w:rPr>
                <w:sz w:val="20"/>
                <w:szCs w:val="20"/>
              </w:rPr>
            </w:pPr>
            <w:r w:rsidRPr="00A54231">
              <w:rPr>
                <w:color w:val="000000"/>
                <w:sz w:val="20"/>
                <w:szCs w:val="20"/>
              </w:rPr>
              <w:t>307.13</w:t>
            </w:r>
          </w:p>
        </w:tc>
      </w:tr>
      <w:tr w:rsidR="00015A86" w:rsidRPr="007239A6" w14:paraId="5C33FC5C" w14:textId="20BD2F24" w:rsidTr="00181ACD">
        <w:trPr>
          <w:trHeight w:val="288"/>
        </w:trPr>
        <w:tc>
          <w:tcPr>
            <w:tcW w:w="1586" w:type="dxa"/>
            <w:tcBorders>
              <w:top w:val="nil"/>
              <w:left w:val="nil"/>
              <w:bottom w:val="nil"/>
              <w:right w:val="nil"/>
            </w:tcBorders>
            <w:shd w:val="clear" w:color="auto" w:fill="auto"/>
            <w:noWrap/>
            <w:vAlign w:val="bottom"/>
            <w:hideMark/>
          </w:tcPr>
          <w:p w14:paraId="399AB4C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Stonington</w:t>
            </w:r>
          </w:p>
        </w:tc>
        <w:tc>
          <w:tcPr>
            <w:tcW w:w="1261" w:type="dxa"/>
            <w:tcBorders>
              <w:top w:val="nil"/>
              <w:left w:val="nil"/>
              <w:bottom w:val="nil"/>
              <w:right w:val="nil"/>
            </w:tcBorders>
            <w:shd w:val="clear" w:color="auto" w:fill="auto"/>
            <w:noWrap/>
            <w:vAlign w:val="bottom"/>
          </w:tcPr>
          <w:p w14:paraId="7F16EB85" w14:textId="63352A80" w:rsidR="00015A86" w:rsidRPr="007239A6" w:rsidRDefault="00015A86" w:rsidP="004C356D">
            <w:pPr>
              <w:spacing w:after="0" w:line="240" w:lineRule="auto"/>
              <w:jc w:val="right"/>
              <w:rPr>
                <w:color w:val="000000"/>
                <w:sz w:val="22"/>
                <w:szCs w:val="22"/>
                <w:lang w:bidi="ar-SA"/>
              </w:rPr>
            </w:pPr>
            <w:r w:rsidRPr="007239A6">
              <w:rPr>
                <w:sz w:val="20"/>
                <w:szCs w:val="20"/>
              </w:rPr>
              <w:t>2,840.8</w:t>
            </w:r>
          </w:p>
        </w:tc>
        <w:tc>
          <w:tcPr>
            <w:tcW w:w="1293" w:type="dxa"/>
            <w:tcBorders>
              <w:top w:val="nil"/>
              <w:left w:val="nil"/>
              <w:bottom w:val="nil"/>
              <w:right w:val="nil"/>
            </w:tcBorders>
            <w:shd w:val="clear" w:color="auto" w:fill="auto"/>
            <w:noWrap/>
            <w:vAlign w:val="bottom"/>
          </w:tcPr>
          <w:p w14:paraId="2D563F5C" w14:textId="200624AB" w:rsidR="00015A86" w:rsidRPr="007239A6" w:rsidRDefault="00015A86" w:rsidP="004C356D">
            <w:pPr>
              <w:spacing w:after="0" w:line="240" w:lineRule="auto"/>
              <w:jc w:val="right"/>
              <w:rPr>
                <w:color w:val="000000"/>
                <w:sz w:val="22"/>
                <w:szCs w:val="22"/>
                <w:lang w:bidi="ar-SA"/>
              </w:rPr>
            </w:pPr>
            <w:r w:rsidRPr="007239A6">
              <w:rPr>
                <w:sz w:val="20"/>
                <w:szCs w:val="20"/>
              </w:rPr>
              <w:t xml:space="preserve">153 </w:t>
            </w:r>
          </w:p>
        </w:tc>
        <w:tc>
          <w:tcPr>
            <w:tcW w:w="1650" w:type="dxa"/>
            <w:tcBorders>
              <w:top w:val="nil"/>
              <w:left w:val="nil"/>
              <w:bottom w:val="nil"/>
              <w:right w:val="nil"/>
            </w:tcBorders>
            <w:shd w:val="clear" w:color="auto" w:fill="auto"/>
            <w:noWrap/>
            <w:vAlign w:val="bottom"/>
          </w:tcPr>
          <w:p w14:paraId="60C97194" w14:textId="6D70F0FC" w:rsidR="00015A86" w:rsidRPr="007239A6" w:rsidRDefault="00015A86" w:rsidP="004C356D">
            <w:pPr>
              <w:spacing w:after="0" w:line="240" w:lineRule="auto"/>
              <w:jc w:val="right"/>
              <w:rPr>
                <w:color w:val="000000"/>
                <w:sz w:val="22"/>
                <w:szCs w:val="22"/>
                <w:lang w:bidi="ar-SA"/>
              </w:rPr>
            </w:pPr>
            <w:r w:rsidRPr="007239A6">
              <w:rPr>
                <w:sz w:val="20"/>
                <w:szCs w:val="20"/>
              </w:rPr>
              <w:t>2076.1</w:t>
            </w:r>
          </w:p>
        </w:tc>
        <w:tc>
          <w:tcPr>
            <w:tcW w:w="1289" w:type="dxa"/>
            <w:tcBorders>
              <w:top w:val="nil"/>
              <w:left w:val="nil"/>
              <w:bottom w:val="nil"/>
              <w:right w:val="nil"/>
            </w:tcBorders>
            <w:shd w:val="clear" w:color="auto" w:fill="auto"/>
            <w:noWrap/>
            <w:vAlign w:val="bottom"/>
          </w:tcPr>
          <w:p w14:paraId="2B172DB5" w14:textId="3DE14C51" w:rsidR="00015A86" w:rsidRPr="007239A6" w:rsidRDefault="00015A86" w:rsidP="004C356D">
            <w:pPr>
              <w:spacing w:after="0" w:line="240" w:lineRule="auto"/>
              <w:jc w:val="right"/>
              <w:rPr>
                <w:color w:val="000000"/>
                <w:sz w:val="22"/>
                <w:szCs w:val="22"/>
                <w:lang w:bidi="ar-SA"/>
              </w:rPr>
            </w:pPr>
            <w:r w:rsidRPr="007239A6">
              <w:rPr>
                <w:sz w:val="20"/>
                <w:szCs w:val="20"/>
              </w:rPr>
              <w:t xml:space="preserve">112 </w:t>
            </w:r>
          </w:p>
        </w:tc>
        <w:tc>
          <w:tcPr>
            <w:tcW w:w="1769" w:type="dxa"/>
            <w:tcBorders>
              <w:top w:val="nil"/>
              <w:left w:val="nil"/>
              <w:bottom w:val="nil"/>
              <w:right w:val="nil"/>
            </w:tcBorders>
            <w:vAlign w:val="bottom"/>
          </w:tcPr>
          <w:p w14:paraId="14E8B113" w14:textId="604F5C57" w:rsidR="00015A86" w:rsidRPr="00A54231" w:rsidRDefault="00015A86" w:rsidP="004C356D">
            <w:pPr>
              <w:spacing w:after="0" w:line="240" w:lineRule="auto"/>
              <w:jc w:val="right"/>
              <w:rPr>
                <w:sz w:val="20"/>
                <w:szCs w:val="20"/>
              </w:rPr>
            </w:pPr>
            <w:r w:rsidRPr="00A54231">
              <w:rPr>
                <w:color w:val="000000"/>
                <w:sz w:val="20"/>
                <w:szCs w:val="20"/>
              </w:rPr>
              <w:t>-875.62</w:t>
            </w:r>
          </w:p>
        </w:tc>
      </w:tr>
      <w:tr w:rsidR="00015A86" w:rsidRPr="007239A6" w14:paraId="31411A35" w14:textId="3DDDEA3D" w:rsidTr="00181ACD">
        <w:trPr>
          <w:trHeight w:val="288"/>
        </w:trPr>
        <w:tc>
          <w:tcPr>
            <w:tcW w:w="1586" w:type="dxa"/>
            <w:tcBorders>
              <w:top w:val="nil"/>
              <w:left w:val="nil"/>
              <w:bottom w:val="nil"/>
              <w:right w:val="nil"/>
            </w:tcBorders>
            <w:shd w:val="clear" w:color="auto" w:fill="auto"/>
            <w:noWrap/>
            <w:vAlign w:val="bottom"/>
            <w:hideMark/>
          </w:tcPr>
          <w:p w14:paraId="5165382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Stratford</w:t>
            </w:r>
          </w:p>
        </w:tc>
        <w:tc>
          <w:tcPr>
            <w:tcW w:w="1261" w:type="dxa"/>
            <w:tcBorders>
              <w:top w:val="nil"/>
              <w:left w:val="nil"/>
              <w:bottom w:val="nil"/>
              <w:right w:val="nil"/>
            </w:tcBorders>
            <w:shd w:val="clear" w:color="auto" w:fill="auto"/>
            <w:noWrap/>
            <w:vAlign w:val="bottom"/>
          </w:tcPr>
          <w:p w14:paraId="3328FF9F" w14:textId="09AC6864" w:rsidR="00015A86" w:rsidRPr="007239A6" w:rsidRDefault="00015A86" w:rsidP="004C356D">
            <w:pPr>
              <w:spacing w:after="0" w:line="240" w:lineRule="auto"/>
              <w:jc w:val="right"/>
              <w:rPr>
                <w:color w:val="000000"/>
                <w:sz w:val="22"/>
                <w:szCs w:val="22"/>
                <w:lang w:bidi="ar-SA"/>
              </w:rPr>
            </w:pPr>
            <w:r w:rsidRPr="007239A6">
              <w:rPr>
                <w:sz w:val="20"/>
                <w:szCs w:val="20"/>
              </w:rPr>
              <w:t>7,665.3</w:t>
            </w:r>
          </w:p>
        </w:tc>
        <w:tc>
          <w:tcPr>
            <w:tcW w:w="1293" w:type="dxa"/>
            <w:tcBorders>
              <w:top w:val="nil"/>
              <w:left w:val="nil"/>
              <w:bottom w:val="nil"/>
              <w:right w:val="nil"/>
            </w:tcBorders>
            <w:shd w:val="clear" w:color="auto" w:fill="auto"/>
            <w:noWrap/>
            <w:vAlign w:val="bottom"/>
          </w:tcPr>
          <w:p w14:paraId="46E35878" w14:textId="26B98738" w:rsidR="00015A86" w:rsidRPr="007239A6" w:rsidRDefault="00015A86" w:rsidP="004C356D">
            <w:pPr>
              <w:spacing w:after="0" w:line="240" w:lineRule="auto"/>
              <w:jc w:val="right"/>
              <w:rPr>
                <w:color w:val="000000"/>
                <w:sz w:val="22"/>
                <w:szCs w:val="22"/>
                <w:lang w:bidi="ar-SA"/>
              </w:rPr>
            </w:pPr>
            <w:r w:rsidRPr="007239A6">
              <w:rPr>
                <w:sz w:val="20"/>
                <w:szCs w:val="20"/>
              </w:rPr>
              <w:t xml:space="preserve">148 </w:t>
            </w:r>
          </w:p>
        </w:tc>
        <w:tc>
          <w:tcPr>
            <w:tcW w:w="1650" w:type="dxa"/>
            <w:tcBorders>
              <w:top w:val="nil"/>
              <w:left w:val="nil"/>
              <w:bottom w:val="nil"/>
              <w:right w:val="nil"/>
            </w:tcBorders>
            <w:shd w:val="clear" w:color="auto" w:fill="auto"/>
            <w:noWrap/>
            <w:vAlign w:val="bottom"/>
          </w:tcPr>
          <w:p w14:paraId="1AC5C80A" w14:textId="20D9F2A1" w:rsidR="00015A86" w:rsidRPr="007239A6" w:rsidRDefault="00015A86" w:rsidP="004C356D">
            <w:pPr>
              <w:spacing w:after="0" w:line="240" w:lineRule="auto"/>
              <w:jc w:val="right"/>
              <w:rPr>
                <w:color w:val="000000"/>
                <w:sz w:val="22"/>
                <w:szCs w:val="22"/>
                <w:lang w:bidi="ar-SA"/>
              </w:rPr>
            </w:pPr>
            <w:r w:rsidRPr="007239A6">
              <w:rPr>
                <w:sz w:val="20"/>
                <w:szCs w:val="20"/>
              </w:rPr>
              <w:t>6379.2</w:t>
            </w:r>
          </w:p>
        </w:tc>
        <w:tc>
          <w:tcPr>
            <w:tcW w:w="1289" w:type="dxa"/>
            <w:tcBorders>
              <w:top w:val="nil"/>
              <w:left w:val="nil"/>
              <w:bottom w:val="nil"/>
              <w:right w:val="nil"/>
            </w:tcBorders>
            <w:shd w:val="clear" w:color="auto" w:fill="auto"/>
            <w:noWrap/>
            <w:vAlign w:val="bottom"/>
          </w:tcPr>
          <w:p w14:paraId="3097F64F" w14:textId="0739A45C" w:rsidR="00015A86" w:rsidRPr="007239A6" w:rsidRDefault="00015A86" w:rsidP="004C356D">
            <w:pPr>
              <w:spacing w:after="0" w:line="240" w:lineRule="auto"/>
              <w:jc w:val="right"/>
              <w:rPr>
                <w:color w:val="000000"/>
                <w:sz w:val="22"/>
                <w:szCs w:val="22"/>
                <w:lang w:bidi="ar-SA"/>
              </w:rPr>
            </w:pPr>
            <w:r w:rsidRPr="007239A6">
              <w:rPr>
                <w:sz w:val="20"/>
                <w:szCs w:val="20"/>
              </w:rPr>
              <w:t xml:space="preserve">123 </w:t>
            </w:r>
          </w:p>
        </w:tc>
        <w:tc>
          <w:tcPr>
            <w:tcW w:w="1769" w:type="dxa"/>
            <w:tcBorders>
              <w:top w:val="nil"/>
              <w:left w:val="nil"/>
              <w:bottom w:val="nil"/>
              <w:right w:val="nil"/>
            </w:tcBorders>
            <w:vAlign w:val="bottom"/>
          </w:tcPr>
          <w:p w14:paraId="32C2E86F" w14:textId="28216FAB" w:rsidR="00015A86" w:rsidRPr="00A54231" w:rsidRDefault="00015A86" w:rsidP="004C356D">
            <w:pPr>
              <w:spacing w:after="0" w:line="240" w:lineRule="auto"/>
              <w:jc w:val="right"/>
              <w:rPr>
                <w:sz w:val="20"/>
                <w:szCs w:val="20"/>
              </w:rPr>
            </w:pPr>
            <w:r w:rsidRPr="00A54231">
              <w:rPr>
                <w:color w:val="000000"/>
                <w:sz w:val="20"/>
                <w:szCs w:val="20"/>
              </w:rPr>
              <w:t>246.09</w:t>
            </w:r>
          </w:p>
        </w:tc>
      </w:tr>
      <w:tr w:rsidR="00015A86" w:rsidRPr="007239A6" w14:paraId="4583550E" w14:textId="7A5BC01D" w:rsidTr="00181ACD">
        <w:trPr>
          <w:trHeight w:val="288"/>
        </w:trPr>
        <w:tc>
          <w:tcPr>
            <w:tcW w:w="1586" w:type="dxa"/>
            <w:tcBorders>
              <w:top w:val="nil"/>
              <w:left w:val="nil"/>
              <w:bottom w:val="nil"/>
              <w:right w:val="nil"/>
            </w:tcBorders>
            <w:shd w:val="clear" w:color="auto" w:fill="auto"/>
            <w:noWrap/>
            <w:vAlign w:val="bottom"/>
            <w:hideMark/>
          </w:tcPr>
          <w:p w14:paraId="29972A4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Suffield</w:t>
            </w:r>
          </w:p>
        </w:tc>
        <w:tc>
          <w:tcPr>
            <w:tcW w:w="1261" w:type="dxa"/>
            <w:tcBorders>
              <w:top w:val="nil"/>
              <w:left w:val="nil"/>
              <w:bottom w:val="nil"/>
              <w:right w:val="nil"/>
            </w:tcBorders>
            <w:shd w:val="clear" w:color="auto" w:fill="auto"/>
            <w:noWrap/>
            <w:vAlign w:val="bottom"/>
          </w:tcPr>
          <w:p w14:paraId="273E13DA" w14:textId="362D696B" w:rsidR="00015A86" w:rsidRPr="007239A6" w:rsidRDefault="00015A86" w:rsidP="004C356D">
            <w:pPr>
              <w:spacing w:after="0" w:line="240" w:lineRule="auto"/>
              <w:jc w:val="right"/>
              <w:rPr>
                <w:color w:val="000000"/>
                <w:sz w:val="22"/>
                <w:szCs w:val="22"/>
                <w:lang w:bidi="ar-SA"/>
              </w:rPr>
            </w:pPr>
            <w:r w:rsidRPr="007239A6">
              <w:rPr>
                <w:sz w:val="20"/>
                <w:szCs w:val="20"/>
              </w:rPr>
              <w:t>477.3</w:t>
            </w:r>
          </w:p>
        </w:tc>
        <w:tc>
          <w:tcPr>
            <w:tcW w:w="1293" w:type="dxa"/>
            <w:tcBorders>
              <w:top w:val="nil"/>
              <w:left w:val="nil"/>
              <w:bottom w:val="nil"/>
              <w:right w:val="nil"/>
            </w:tcBorders>
            <w:shd w:val="clear" w:color="auto" w:fill="auto"/>
            <w:noWrap/>
            <w:vAlign w:val="bottom"/>
          </w:tcPr>
          <w:p w14:paraId="138C6A2A" w14:textId="368533AE" w:rsidR="00015A86" w:rsidRPr="007239A6" w:rsidRDefault="00015A86" w:rsidP="004C356D">
            <w:pPr>
              <w:spacing w:after="0" w:line="240" w:lineRule="auto"/>
              <w:jc w:val="right"/>
              <w:rPr>
                <w:color w:val="000000"/>
                <w:sz w:val="22"/>
                <w:szCs w:val="22"/>
                <w:lang w:bidi="ar-SA"/>
              </w:rPr>
            </w:pPr>
            <w:r w:rsidRPr="007239A6">
              <w:rPr>
                <w:sz w:val="20"/>
                <w:szCs w:val="20"/>
              </w:rPr>
              <w:t xml:space="preserve">30 </w:t>
            </w:r>
          </w:p>
        </w:tc>
        <w:tc>
          <w:tcPr>
            <w:tcW w:w="1650" w:type="dxa"/>
            <w:tcBorders>
              <w:top w:val="nil"/>
              <w:left w:val="nil"/>
              <w:bottom w:val="nil"/>
              <w:right w:val="nil"/>
            </w:tcBorders>
            <w:shd w:val="clear" w:color="auto" w:fill="auto"/>
            <w:noWrap/>
            <w:vAlign w:val="bottom"/>
          </w:tcPr>
          <w:p w14:paraId="0CD18A2E" w14:textId="643DC05C" w:rsidR="00015A86" w:rsidRPr="007239A6" w:rsidRDefault="00015A86" w:rsidP="004C356D">
            <w:pPr>
              <w:spacing w:after="0" w:line="240" w:lineRule="auto"/>
              <w:jc w:val="right"/>
              <w:rPr>
                <w:color w:val="000000"/>
                <w:sz w:val="22"/>
                <w:szCs w:val="22"/>
                <w:lang w:bidi="ar-SA"/>
              </w:rPr>
            </w:pPr>
            <w:r w:rsidRPr="007239A6">
              <w:rPr>
                <w:sz w:val="20"/>
                <w:szCs w:val="20"/>
              </w:rPr>
              <w:t>1679.8</w:t>
            </w:r>
          </w:p>
        </w:tc>
        <w:tc>
          <w:tcPr>
            <w:tcW w:w="1289" w:type="dxa"/>
            <w:tcBorders>
              <w:top w:val="nil"/>
              <w:left w:val="nil"/>
              <w:bottom w:val="nil"/>
              <w:right w:val="nil"/>
            </w:tcBorders>
            <w:shd w:val="clear" w:color="auto" w:fill="auto"/>
            <w:noWrap/>
            <w:vAlign w:val="bottom"/>
          </w:tcPr>
          <w:p w14:paraId="5DAEADAC" w14:textId="4963043C" w:rsidR="00015A86" w:rsidRPr="007239A6" w:rsidRDefault="00015A86" w:rsidP="004C356D">
            <w:pPr>
              <w:spacing w:after="0" w:line="240" w:lineRule="auto"/>
              <w:jc w:val="right"/>
              <w:rPr>
                <w:color w:val="000000"/>
                <w:sz w:val="22"/>
                <w:szCs w:val="22"/>
                <w:lang w:bidi="ar-SA"/>
              </w:rPr>
            </w:pPr>
            <w:r w:rsidRPr="007239A6">
              <w:rPr>
                <w:sz w:val="20"/>
                <w:szCs w:val="20"/>
              </w:rPr>
              <w:t xml:space="preserve">107 </w:t>
            </w:r>
          </w:p>
        </w:tc>
        <w:tc>
          <w:tcPr>
            <w:tcW w:w="1769" w:type="dxa"/>
            <w:tcBorders>
              <w:top w:val="nil"/>
              <w:left w:val="nil"/>
              <w:bottom w:val="nil"/>
              <w:right w:val="nil"/>
            </w:tcBorders>
            <w:vAlign w:val="bottom"/>
          </w:tcPr>
          <w:p w14:paraId="12303DC2" w14:textId="2EEA9B56" w:rsidR="00015A86" w:rsidRPr="00A54231" w:rsidRDefault="00015A86" w:rsidP="004C356D">
            <w:pPr>
              <w:spacing w:after="0" w:line="240" w:lineRule="auto"/>
              <w:jc w:val="right"/>
              <w:rPr>
                <w:sz w:val="20"/>
                <w:szCs w:val="20"/>
              </w:rPr>
            </w:pPr>
            <w:r w:rsidRPr="00A54231">
              <w:rPr>
                <w:color w:val="000000"/>
                <w:sz w:val="20"/>
                <w:szCs w:val="20"/>
              </w:rPr>
              <w:t>74.67</w:t>
            </w:r>
          </w:p>
        </w:tc>
      </w:tr>
      <w:tr w:rsidR="00015A86" w:rsidRPr="007239A6" w14:paraId="61A21134" w14:textId="5FBDF578" w:rsidTr="00181ACD">
        <w:trPr>
          <w:trHeight w:val="288"/>
        </w:trPr>
        <w:tc>
          <w:tcPr>
            <w:tcW w:w="1586" w:type="dxa"/>
            <w:tcBorders>
              <w:top w:val="nil"/>
              <w:left w:val="nil"/>
              <w:bottom w:val="nil"/>
              <w:right w:val="nil"/>
            </w:tcBorders>
            <w:shd w:val="clear" w:color="auto" w:fill="auto"/>
            <w:noWrap/>
            <w:vAlign w:val="bottom"/>
            <w:hideMark/>
          </w:tcPr>
          <w:p w14:paraId="5A62DE6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Thomaston</w:t>
            </w:r>
          </w:p>
        </w:tc>
        <w:tc>
          <w:tcPr>
            <w:tcW w:w="1261" w:type="dxa"/>
            <w:tcBorders>
              <w:top w:val="nil"/>
              <w:left w:val="nil"/>
              <w:bottom w:val="nil"/>
              <w:right w:val="nil"/>
            </w:tcBorders>
            <w:shd w:val="clear" w:color="auto" w:fill="auto"/>
            <w:noWrap/>
            <w:vAlign w:val="bottom"/>
          </w:tcPr>
          <w:p w14:paraId="1DFB6AAB" w14:textId="07320458" w:rsidR="00015A86" w:rsidRPr="007239A6" w:rsidRDefault="00015A86" w:rsidP="004C356D">
            <w:pPr>
              <w:spacing w:after="0" w:line="240" w:lineRule="auto"/>
              <w:jc w:val="right"/>
              <w:rPr>
                <w:color w:val="000000"/>
                <w:sz w:val="22"/>
                <w:szCs w:val="22"/>
                <w:lang w:bidi="ar-SA"/>
              </w:rPr>
            </w:pPr>
            <w:r w:rsidRPr="007239A6">
              <w:rPr>
                <w:sz w:val="20"/>
                <w:szCs w:val="20"/>
              </w:rPr>
              <w:t>818.1</w:t>
            </w:r>
          </w:p>
        </w:tc>
        <w:tc>
          <w:tcPr>
            <w:tcW w:w="1293" w:type="dxa"/>
            <w:tcBorders>
              <w:top w:val="nil"/>
              <w:left w:val="nil"/>
              <w:bottom w:val="nil"/>
              <w:right w:val="nil"/>
            </w:tcBorders>
            <w:shd w:val="clear" w:color="auto" w:fill="auto"/>
            <w:noWrap/>
            <w:vAlign w:val="bottom"/>
          </w:tcPr>
          <w:p w14:paraId="5137D3A6" w14:textId="2F1C66DD" w:rsidR="00015A86" w:rsidRPr="007239A6" w:rsidRDefault="00015A86" w:rsidP="004C356D">
            <w:pPr>
              <w:spacing w:after="0" w:line="240" w:lineRule="auto"/>
              <w:jc w:val="right"/>
              <w:rPr>
                <w:color w:val="000000"/>
                <w:sz w:val="22"/>
                <w:szCs w:val="22"/>
                <w:lang w:bidi="ar-SA"/>
              </w:rPr>
            </w:pPr>
            <w:r w:rsidRPr="007239A6">
              <w:rPr>
                <w:sz w:val="20"/>
                <w:szCs w:val="20"/>
              </w:rPr>
              <w:t xml:space="preserve">104 </w:t>
            </w:r>
          </w:p>
        </w:tc>
        <w:tc>
          <w:tcPr>
            <w:tcW w:w="1650" w:type="dxa"/>
            <w:tcBorders>
              <w:top w:val="nil"/>
              <w:left w:val="nil"/>
              <w:bottom w:val="nil"/>
              <w:right w:val="nil"/>
            </w:tcBorders>
            <w:shd w:val="clear" w:color="auto" w:fill="auto"/>
            <w:noWrap/>
            <w:vAlign w:val="bottom"/>
          </w:tcPr>
          <w:p w14:paraId="65BF639D" w14:textId="30097A44" w:rsidR="00015A86" w:rsidRPr="007239A6" w:rsidRDefault="00015A86" w:rsidP="004C356D">
            <w:pPr>
              <w:spacing w:after="0" w:line="240" w:lineRule="auto"/>
              <w:jc w:val="right"/>
              <w:rPr>
                <w:color w:val="000000"/>
                <w:sz w:val="22"/>
                <w:szCs w:val="22"/>
                <w:lang w:bidi="ar-SA"/>
              </w:rPr>
            </w:pPr>
            <w:r w:rsidRPr="007239A6">
              <w:rPr>
                <w:sz w:val="20"/>
                <w:szCs w:val="20"/>
              </w:rPr>
              <w:t>741.7</w:t>
            </w:r>
          </w:p>
        </w:tc>
        <w:tc>
          <w:tcPr>
            <w:tcW w:w="1289" w:type="dxa"/>
            <w:tcBorders>
              <w:top w:val="nil"/>
              <w:left w:val="nil"/>
              <w:bottom w:val="nil"/>
              <w:right w:val="nil"/>
            </w:tcBorders>
            <w:shd w:val="clear" w:color="auto" w:fill="auto"/>
            <w:noWrap/>
            <w:vAlign w:val="bottom"/>
          </w:tcPr>
          <w:p w14:paraId="7A5D75D8" w14:textId="76A64F14" w:rsidR="00015A86" w:rsidRPr="007239A6" w:rsidRDefault="00015A86" w:rsidP="004C356D">
            <w:pPr>
              <w:spacing w:after="0" w:line="240" w:lineRule="auto"/>
              <w:jc w:val="right"/>
              <w:rPr>
                <w:color w:val="000000"/>
                <w:sz w:val="22"/>
                <w:szCs w:val="22"/>
                <w:lang w:bidi="ar-SA"/>
              </w:rPr>
            </w:pPr>
            <w:r w:rsidRPr="007239A6">
              <w:rPr>
                <w:sz w:val="20"/>
                <w:szCs w:val="20"/>
              </w:rPr>
              <w:t xml:space="preserve">95 </w:t>
            </w:r>
          </w:p>
        </w:tc>
        <w:tc>
          <w:tcPr>
            <w:tcW w:w="1769" w:type="dxa"/>
            <w:tcBorders>
              <w:top w:val="nil"/>
              <w:left w:val="nil"/>
              <w:bottom w:val="nil"/>
              <w:right w:val="nil"/>
            </w:tcBorders>
            <w:vAlign w:val="bottom"/>
          </w:tcPr>
          <w:p w14:paraId="41594AF1" w14:textId="725CF2DB" w:rsidR="00015A86" w:rsidRPr="00A54231" w:rsidRDefault="00015A86" w:rsidP="004C356D">
            <w:pPr>
              <w:spacing w:after="0" w:line="240" w:lineRule="auto"/>
              <w:jc w:val="right"/>
              <w:rPr>
                <w:sz w:val="20"/>
                <w:szCs w:val="20"/>
              </w:rPr>
            </w:pPr>
            <w:r w:rsidRPr="00A54231">
              <w:rPr>
                <w:color w:val="000000"/>
                <w:sz w:val="20"/>
                <w:szCs w:val="20"/>
              </w:rPr>
              <w:t>263.54</w:t>
            </w:r>
          </w:p>
        </w:tc>
      </w:tr>
      <w:tr w:rsidR="00015A86" w:rsidRPr="007239A6" w14:paraId="1D9BD718" w14:textId="199CC802" w:rsidTr="00181ACD">
        <w:trPr>
          <w:trHeight w:val="288"/>
        </w:trPr>
        <w:tc>
          <w:tcPr>
            <w:tcW w:w="1586" w:type="dxa"/>
            <w:tcBorders>
              <w:top w:val="nil"/>
              <w:left w:val="nil"/>
              <w:bottom w:val="nil"/>
              <w:right w:val="nil"/>
            </w:tcBorders>
            <w:shd w:val="clear" w:color="auto" w:fill="auto"/>
            <w:noWrap/>
            <w:vAlign w:val="bottom"/>
            <w:hideMark/>
          </w:tcPr>
          <w:p w14:paraId="217ADAB9"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Thompson</w:t>
            </w:r>
          </w:p>
        </w:tc>
        <w:tc>
          <w:tcPr>
            <w:tcW w:w="1261" w:type="dxa"/>
            <w:tcBorders>
              <w:top w:val="nil"/>
              <w:left w:val="nil"/>
              <w:bottom w:val="nil"/>
              <w:right w:val="nil"/>
            </w:tcBorders>
            <w:shd w:val="clear" w:color="auto" w:fill="auto"/>
            <w:noWrap/>
            <w:vAlign w:val="bottom"/>
          </w:tcPr>
          <w:p w14:paraId="0125B517" w14:textId="24DD489C" w:rsidR="00015A86" w:rsidRPr="007239A6" w:rsidRDefault="00015A86" w:rsidP="004C356D">
            <w:pPr>
              <w:spacing w:after="0" w:line="240" w:lineRule="auto"/>
              <w:jc w:val="right"/>
              <w:rPr>
                <w:color w:val="000000"/>
                <w:sz w:val="22"/>
                <w:szCs w:val="22"/>
                <w:lang w:bidi="ar-SA"/>
              </w:rPr>
            </w:pPr>
            <w:r w:rsidRPr="007239A6">
              <w:rPr>
                <w:sz w:val="20"/>
                <w:szCs w:val="20"/>
              </w:rPr>
              <w:t>199.1</w:t>
            </w:r>
          </w:p>
        </w:tc>
        <w:tc>
          <w:tcPr>
            <w:tcW w:w="1293" w:type="dxa"/>
            <w:tcBorders>
              <w:top w:val="nil"/>
              <w:left w:val="nil"/>
              <w:bottom w:val="nil"/>
              <w:right w:val="nil"/>
            </w:tcBorders>
            <w:shd w:val="clear" w:color="auto" w:fill="auto"/>
            <w:noWrap/>
            <w:vAlign w:val="bottom"/>
          </w:tcPr>
          <w:p w14:paraId="1EA0EA94" w14:textId="6FA2FF27" w:rsidR="00015A86" w:rsidRPr="007239A6" w:rsidRDefault="00015A86" w:rsidP="004C356D">
            <w:pPr>
              <w:spacing w:after="0" w:line="240" w:lineRule="auto"/>
              <w:jc w:val="right"/>
              <w:rPr>
                <w:color w:val="000000"/>
                <w:sz w:val="22"/>
                <w:szCs w:val="22"/>
                <w:lang w:bidi="ar-SA"/>
              </w:rPr>
            </w:pPr>
            <w:r w:rsidRPr="007239A6">
              <w:rPr>
                <w:sz w:val="20"/>
                <w:szCs w:val="20"/>
              </w:rPr>
              <w:t xml:space="preserve">21 </w:t>
            </w:r>
          </w:p>
        </w:tc>
        <w:tc>
          <w:tcPr>
            <w:tcW w:w="1650" w:type="dxa"/>
            <w:tcBorders>
              <w:top w:val="nil"/>
              <w:left w:val="nil"/>
              <w:bottom w:val="nil"/>
              <w:right w:val="nil"/>
            </w:tcBorders>
            <w:shd w:val="clear" w:color="auto" w:fill="auto"/>
            <w:noWrap/>
            <w:vAlign w:val="bottom"/>
          </w:tcPr>
          <w:p w14:paraId="1E540497" w14:textId="76A44B4E" w:rsidR="00015A86" w:rsidRPr="007239A6" w:rsidRDefault="00015A86" w:rsidP="004C356D">
            <w:pPr>
              <w:spacing w:after="0" w:line="240" w:lineRule="auto"/>
              <w:jc w:val="right"/>
              <w:rPr>
                <w:color w:val="000000"/>
                <w:sz w:val="22"/>
                <w:szCs w:val="22"/>
                <w:lang w:bidi="ar-SA"/>
              </w:rPr>
            </w:pPr>
            <w:r w:rsidRPr="007239A6">
              <w:rPr>
                <w:sz w:val="20"/>
                <w:szCs w:val="20"/>
              </w:rPr>
              <w:t>491.8</w:t>
            </w:r>
          </w:p>
        </w:tc>
        <w:tc>
          <w:tcPr>
            <w:tcW w:w="1289" w:type="dxa"/>
            <w:tcBorders>
              <w:top w:val="nil"/>
              <w:left w:val="nil"/>
              <w:bottom w:val="nil"/>
              <w:right w:val="nil"/>
            </w:tcBorders>
            <w:shd w:val="clear" w:color="auto" w:fill="auto"/>
            <w:noWrap/>
            <w:vAlign w:val="bottom"/>
          </w:tcPr>
          <w:p w14:paraId="1840C526" w14:textId="6534B7F0" w:rsidR="00015A86" w:rsidRPr="007239A6" w:rsidRDefault="00015A86" w:rsidP="004C356D">
            <w:pPr>
              <w:spacing w:after="0" w:line="240" w:lineRule="auto"/>
              <w:jc w:val="right"/>
              <w:rPr>
                <w:color w:val="000000"/>
                <w:sz w:val="22"/>
                <w:szCs w:val="22"/>
                <w:lang w:bidi="ar-SA"/>
              </w:rPr>
            </w:pPr>
            <w:r w:rsidRPr="007239A6">
              <w:rPr>
                <w:sz w:val="20"/>
                <w:szCs w:val="20"/>
              </w:rPr>
              <w:t xml:space="preserve">52 </w:t>
            </w:r>
          </w:p>
        </w:tc>
        <w:tc>
          <w:tcPr>
            <w:tcW w:w="1769" w:type="dxa"/>
            <w:tcBorders>
              <w:top w:val="nil"/>
              <w:left w:val="nil"/>
              <w:bottom w:val="nil"/>
              <w:right w:val="nil"/>
            </w:tcBorders>
            <w:vAlign w:val="bottom"/>
          </w:tcPr>
          <w:p w14:paraId="744619C1" w14:textId="3AE42E5A" w:rsidR="00015A86" w:rsidRPr="00A54231" w:rsidRDefault="00015A86" w:rsidP="004C356D">
            <w:pPr>
              <w:spacing w:after="0" w:line="240" w:lineRule="auto"/>
              <w:jc w:val="right"/>
              <w:rPr>
                <w:sz w:val="20"/>
                <w:szCs w:val="20"/>
              </w:rPr>
            </w:pPr>
            <w:r w:rsidRPr="00A54231">
              <w:rPr>
                <w:color w:val="000000"/>
                <w:sz w:val="20"/>
                <w:szCs w:val="20"/>
              </w:rPr>
              <w:t>347.20</w:t>
            </w:r>
          </w:p>
        </w:tc>
      </w:tr>
      <w:tr w:rsidR="00015A86" w:rsidRPr="007239A6" w14:paraId="74F36CE3" w14:textId="4056EB83" w:rsidTr="00181ACD">
        <w:trPr>
          <w:trHeight w:val="288"/>
        </w:trPr>
        <w:tc>
          <w:tcPr>
            <w:tcW w:w="1586" w:type="dxa"/>
            <w:tcBorders>
              <w:top w:val="nil"/>
              <w:left w:val="nil"/>
              <w:bottom w:val="nil"/>
              <w:right w:val="nil"/>
            </w:tcBorders>
            <w:shd w:val="clear" w:color="auto" w:fill="auto"/>
            <w:noWrap/>
            <w:vAlign w:val="bottom"/>
            <w:hideMark/>
          </w:tcPr>
          <w:p w14:paraId="7E977B9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Tolland</w:t>
            </w:r>
          </w:p>
        </w:tc>
        <w:tc>
          <w:tcPr>
            <w:tcW w:w="1261" w:type="dxa"/>
            <w:tcBorders>
              <w:top w:val="nil"/>
              <w:left w:val="nil"/>
              <w:bottom w:val="nil"/>
              <w:right w:val="nil"/>
            </w:tcBorders>
            <w:shd w:val="clear" w:color="auto" w:fill="auto"/>
            <w:noWrap/>
            <w:vAlign w:val="bottom"/>
          </w:tcPr>
          <w:p w14:paraId="146C97AA" w14:textId="58375BB1" w:rsidR="00015A86" w:rsidRPr="007239A6" w:rsidRDefault="00015A86" w:rsidP="004C356D">
            <w:pPr>
              <w:spacing w:after="0" w:line="240" w:lineRule="auto"/>
              <w:jc w:val="right"/>
              <w:rPr>
                <w:color w:val="000000"/>
                <w:sz w:val="22"/>
                <w:szCs w:val="22"/>
                <w:lang w:bidi="ar-SA"/>
              </w:rPr>
            </w:pPr>
            <w:r w:rsidRPr="007239A6">
              <w:rPr>
                <w:sz w:val="20"/>
                <w:szCs w:val="20"/>
              </w:rPr>
              <w:t>801.1</w:t>
            </w:r>
          </w:p>
        </w:tc>
        <w:tc>
          <w:tcPr>
            <w:tcW w:w="1293" w:type="dxa"/>
            <w:tcBorders>
              <w:top w:val="nil"/>
              <w:left w:val="nil"/>
              <w:bottom w:val="nil"/>
              <w:right w:val="nil"/>
            </w:tcBorders>
            <w:shd w:val="clear" w:color="auto" w:fill="auto"/>
            <w:noWrap/>
            <w:vAlign w:val="bottom"/>
          </w:tcPr>
          <w:p w14:paraId="2502FF8B" w14:textId="5B237753" w:rsidR="00015A86" w:rsidRPr="007239A6" w:rsidRDefault="00015A86" w:rsidP="004C356D">
            <w:pPr>
              <w:spacing w:after="0" w:line="240" w:lineRule="auto"/>
              <w:jc w:val="right"/>
              <w:rPr>
                <w:color w:val="000000"/>
                <w:sz w:val="22"/>
                <w:szCs w:val="22"/>
                <w:lang w:bidi="ar-SA"/>
              </w:rPr>
            </w:pPr>
            <w:r w:rsidRPr="007239A6">
              <w:rPr>
                <w:sz w:val="20"/>
                <w:szCs w:val="20"/>
              </w:rPr>
              <w:t xml:space="preserve">53 </w:t>
            </w:r>
          </w:p>
        </w:tc>
        <w:tc>
          <w:tcPr>
            <w:tcW w:w="1650" w:type="dxa"/>
            <w:tcBorders>
              <w:top w:val="nil"/>
              <w:left w:val="nil"/>
              <w:bottom w:val="nil"/>
              <w:right w:val="nil"/>
            </w:tcBorders>
            <w:shd w:val="clear" w:color="auto" w:fill="auto"/>
            <w:noWrap/>
            <w:vAlign w:val="bottom"/>
          </w:tcPr>
          <w:p w14:paraId="7F124678" w14:textId="17E9EFEA" w:rsidR="00015A86" w:rsidRPr="007239A6" w:rsidRDefault="00015A86" w:rsidP="004C356D">
            <w:pPr>
              <w:spacing w:after="0" w:line="240" w:lineRule="auto"/>
              <w:jc w:val="right"/>
              <w:rPr>
                <w:color w:val="000000"/>
                <w:sz w:val="22"/>
                <w:szCs w:val="22"/>
                <w:lang w:bidi="ar-SA"/>
              </w:rPr>
            </w:pPr>
            <w:r w:rsidRPr="007239A6">
              <w:rPr>
                <w:sz w:val="20"/>
                <w:szCs w:val="20"/>
              </w:rPr>
              <w:t>1552.9</w:t>
            </w:r>
          </w:p>
        </w:tc>
        <w:tc>
          <w:tcPr>
            <w:tcW w:w="1289" w:type="dxa"/>
            <w:tcBorders>
              <w:top w:val="nil"/>
              <w:left w:val="nil"/>
              <w:bottom w:val="nil"/>
              <w:right w:val="nil"/>
            </w:tcBorders>
            <w:shd w:val="clear" w:color="auto" w:fill="auto"/>
            <w:noWrap/>
            <w:vAlign w:val="bottom"/>
          </w:tcPr>
          <w:p w14:paraId="7B2654AA" w14:textId="32814DD3" w:rsidR="00015A86" w:rsidRPr="007239A6" w:rsidRDefault="00015A86" w:rsidP="004C356D">
            <w:pPr>
              <w:spacing w:after="0" w:line="240" w:lineRule="auto"/>
              <w:jc w:val="right"/>
              <w:rPr>
                <w:color w:val="000000"/>
                <w:sz w:val="22"/>
                <w:szCs w:val="22"/>
                <w:lang w:bidi="ar-SA"/>
              </w:rPr>
            </w:pPr>
            <w:r w:rsidRPr="007239A6">
              <w:rPr>
                <w:sz w:val="20"/>
                <w:szCs w:val="20"/>
              </w:rPr>
              <w:t xml:space="preserve">104 </w:t>
            </w:r>
          </w:p>
        </w:tc>
        <w:tc>
          <w:tcPr>
            <w:tcW w:w="1769" w:type="dxa"/>
            <w:tcBorders>
              <w:top w:val="nil"/>
              <w:left w:val="nil"/>
              <w:bottom w:val="nil"/>
              <w:right w:val="nil"/>
            </w:tcBorders>
            <w:vAlign w:val="bottom"/>
          </w:tcPr>
          <w:p w14:paraId="4C82044A" w14:textId="6194B571" w:rsidR="00015A86" w:rsidRPr="00A54231" w:rsidRDefault="00015A86" w:rsidP="004C356D">
            <w:pPr>
              <w:spacing w:after="0" w:line="240" w:lineRule="auto"/>
              <w:jc w:val="right"/>
              <w:rPr>
                <w:sz w:val="20"/>
                <w:szCs w:val="20"/>
              </w:rPr>
            </w:pPr>
            <w:r w:rsidRPr="00A54231">
              <w:rPr>
                <w:color w:val="000000"/>
                <w:sz w:val="20"/>
                <w:szCs w:val="20"/>
              </w:rPr>
              <w:t>100.66</w:t>
            </w:r>
          </w:p>
        </w:tc>
      </w:tr>
      <w:tr w:rsidR="00015A86" w:rsidRPr="007239A6" w14:paraId="3FB94722" w14:textId="32EB5F2E" w:rsidTr="00181ACD">
        <w:trPr>
          <w:trHeight w:val="288"/>
        </w:trPr>
        <w:tc>
          <w:tcPr>
            <w:tcW w:w="1586" w:type="dxa"/>
            <w:tcBorders>
              <w:top w:val="nil"/>
              <w:left w:val="nil"/>
              <w:bottom w:val="nil"/>
              <w:right w:val="nil"/>
            </w:tcBorders>
            <w:shd w:val="clear" w:color="auto" w:fill="auto"/>
            <w:noWrap/>
            <w:vAlign w:val="bottom"/>
            <w:hideMark/>
          </w:tcPr>
          <w:p w14:paraId="39A5301C"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Torrington</w:t>
            </w:r>
          </w:p>
        </w:tc>
        <w:tc>
          <w:tcPr>
            <w:tcW w:w="1261" w:type="dxa"/>
            <w:tcBorders>
              <w:top w:val="nil"/>
              <w:left w:val="nil"/>
              <w:bottom w:val="nil"/>
              <w:right w:val="nil"/>
            </w:tcBorders>
            <w:shd w:val="clear" w:color="auto" w:fill="auto"/>
            <w:noWrap/>
            <w:vAlign w:val="bottom"/>
          </w:tcPr>
          <w:p w14:paraId="11336E87" w14:textId="5EC57907" w:rsidR="00015A86" w:rsidRPr="007239A6" w:rsidRDefault="00015A86" w:rsidP="004C356D">
            <w:pPr>
              <w:spacing w:after="0" w:line="240" w:lineRule="auto"/>
              <w:jc w:val="right"/>
              <w:rPr>
                <w:color w:val="000000"/>
                <w:sz w:val="22"/>
                <w:szCs w:val="22"/>
                <w:lang w:bidi="ar-SA"/>
              </w:rPr>
            </w:pPr>
            <w:r w:rsidRPr="007239A6">
              <w:rPr>
                <w:sz w:val="20"/>
                <w:szCs w:val="20"/>
              </w:rPr>
              <w:t>6,134.2</w:t>
            </w:r>
          </w:p>
        </w:tc>
        <w:tc>
          <w:tcPr>
            <w:tcW w:w="1293" w:type="dxa"/>
            <w:tcBorders>
              <w:top w:val="nil"/>
              <w:left w:val="nil"/>
              <w:bottom w:val="nil"/>
              <w:right w:val="nil"/>
            </w:tcBorders>
            <w:shd w:val="clear" w:color="auto" w:fill="auto"/>
            <w:noWrap/>
            <w:vAlign w:val="bottom"/>
          </w:tcPr>
          <w:p w14:paraId="7D23E809" w14:textId="7AA5843D" w:rsidR="00015A86" w:rsidRPr="007239A6" w:rsidRDefault="00015A86" w:rsidP="004C356D">
            <w:pPr>
              <w:spacing w:after="0" w:line="240" w:lineRule="auto"/>
              <w:jc w:val="right"/>
              <w:rPr>
                <w:color w:val="000000"/>
                <w:sz w:val="22"/>
                <w:szCs w:val="22"/>
                <w:lang w:bidi="ar-SA"/>
              </w:rPr>
            </w:pPr>
            <w:r w:rsidRPr="007239A6">
              <w:rPr>
                <w:sz w:val="20"/>
                <w:szCs w:val="20"/>
              </w:rPr>
              <w:t xml:space="preserve">170 </w:t>
            </w:r>
          </w:p>
        </w:tc>
        <w:tc>
          <w:tcPr>
            <w:tcW w:w="1650" w:type="dxa"/>
            <w:tcBorders>
              <w:top w:val="nil"/>
              <w:left w:val="nil"/>
              <w:bottom w:val="nil"/>
              <w:right w:val="nil"/>
            </w:tcBorders>
            <w:shd w:val="clear" w:color="auto" w:fill="auto"/>
            <w:noWrap/>
            <w:vAlign w:val="bottom"/>
          </w:tcPr>
          <w:p w14:paraId="6589ADE8" w14:textId="04A5B229" w:rsidR="00015A86" w:rsidRPr="007239A6" w:rsidRDefault="00015A86" w:rsidP="004C356D">
            <w:pPr>
              <w:spacing w:after="0" w:line="240" w:lineRule="auto"/>
              <w:jc w:val="right"/>
              <w:rPr>
                <w:color w:val="000000"/>
                <w:sz w:val="22"/>
                <w:szCs w:val="22"/>
                <w:lang w:bidi="ar-SA"/>
              </w:rPr>
            </w:pPr>
            <w:r w:rsidRPr="007239A6">
              <w:rPr>
                <w:sz w:val="20"/>
                <w:szCs w:val="20"/>
              </w:rPr>
              <w:t>5503.1</w:t>
            </w:r>
          </w:p>
        </w:tc>
        <w:tc>
          <w:tcPr>
            <w:tcW w:w="1289" w:type="dxa"/>
            <w:tcBorders>
              <w:top w:val="nil"/>
              <w:left w:val="nil"/>
              <w:bottom w:val="nil"/>
              <w:right w:val="nil"/>
            </w:tcBorders>
            <w:shd w:val="clear" w:color="auto" w:fill="auto"/>
            <w:noWrap/>
            <w:vAlign w:val="bottom"/>
          </w:tcPr>
          <w:p w14:paraId="6DE19B3C" w14:textId="2593771D" w:rsidR="00015A86" w:rsidRPr="007239A6" w:rsidRDefault="00015A86" w:rsidP="004C356D">
            <w:pPr>
              <w:spacing w:after="0" w:line="240" w:lineRule="auto"/>
              <w:jc w:val="right"/>
              <w:rPr>
                <w:color w:val="000000"/>
                <w:sz w:val="22"/>
                <w:szCs w:val="22"/>
                <w:lang w:bidi="ar-SA"/>
              </w:rPr>
            </w:pPr>
            <w:r w:rsidRPr="007239A6">
              <w:rPr>
                <w:sz w:val="20"/>
                <w:szCs w:val="20"/>
              </w:rPr>
              <w:t xml:space="preserve">153 </w:t>
            </w:r>
          </w:p>
        </w:tc>
        <w:tc>
          <w:tcPr>
            <w:tcW w:w="1769" w:type="dxa"/>
            <w:tcBorders>
              <w:top w:val="nil"/>
              <w:left w:val="nil"/>
              <w:bottom w:val="nil"/>
              <w:right w:val="nil"/>
            </w:tcBorders>
            <w:vAlign w:val="bottom"/>
          </w:tcPr>
          <w:p w14:paraId="7CAF9B37" w14:textId="53028246" w:rsidR="00015A86" w:rsidRPr="00A54231" w:rsidRDefault="00015A86" w:rsidP="004C356D">
            <w:pPr>
              <w:spacing w:after="0" w:line="240" w:lineRule="auto"/>
              <w:jc w:val="right"/>
              <w:rPr>
                <w:sz w:val="20"/>
                <w:szCs w:val="20"/>
              </w:rPr>
            </w:pPr>
            <w:r w:rsidRPr="00A54231">
              <w:rPr>
                <w:color w:val="000000"/>
                <w:sz w:val="20"/>
                <w:szCs w:val="20"/>
              </w:rPr>
              <w:t>451.32</w:t>
            </w:r>
          </w:p>
        </w:tc>
      </w:tr>
      <w:tr w:rsidR="00015A86" w:rsidRPr="007239A6" w14:paraId="704D8242" w14:textId="77E28C35" w:rsidTr="00181ACD">
        <w:trPr>
          <w:trHeight w:val="288"/>
        </w:trPr>
        <w:tc>
          <w:tcPr>
            <w:tcW w:w="1586" w:type="dxa"/>
            <w:tcBorders>
              <w:top w:val="nil"/>
              <w:left w:val="nil"/>
              <w:bottom w:val="nil"/>
              <w:right w:val="nil"/>
            </w:tcBorders>
            <w:shd w:val="clear" w:color="auto" w:fill="auto"/>
            <w:noWrap/>
            <w:vAlign w:val="bottom"/>
            <w:hideMark/>
          </w:tcPr>
          <w:p w14:paraId="41EAC7C1"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Trumbull</w:t>
            </w:r>
          </w:p>
        </w:tc>
        <w:tc>
          <w:tcPr>
            <w:tcW w:w="1261" w:type="dxa"/>
            <w:tcBorders>
              <w:top w:val="nil"/>
              <w:left w:val="nil"/>
              <w:bottom w:val="nil"/>
              <w:right w:val="nil"/>
            </w:tcBorders>
            <w:shd w:val="clear" w:color="auto" w:fill="auto"/>
            <w:noWrap/>
            <w:vAlign w:val="bottom"/>
          </w:tcPr>
          <w:p w14:paraId="66FE203C" w14:textId="58C0F8AE" w:rsidR="00015A86" w:rsidRPr="007239A6" w:rsidRDefault="00015A86" w:rsidP="004C356D">
            <w:pPr>
              <w:spacing w:after="0" w:line="240" w:lineRule="auto"/>
              <w:jc w:val="right"/>
              <w:rPr>
                <w:color w:val="000000"/>
                <w:sz w:val="22"/>
                <w:szCs w:val="22"/>
                <w:lang w:bidi="ar-SA"/>
              </w:rPr>
            </w:pPr>
            <w:r w:rsidRPr="007239A6">
              <w:rPr>
                <w:sz w:val="20"/>
                <w:szCs w:val="20"/>
              </w:rPr>
              <w:t>4,442.4</w:t>
            </w:r>
          </w:p>
        </w:tc>
        <w:tc>
          <w:tcPr>
            <w:tcW w:w="1293" w:type="dxa"/>
            <w:tcBorders>
              <w:top w:val="nil"/>
              <w:left w:val="nil"/>
              <w:bottom w:val="nil"/>
              <w:right w:val="nil"/>
            </w:tcBorders>
            <w:shd w:val="clear" w:color="auto" w:fill="auto"/>
            <w:noWrap/>
            <w:vAlign w:val="bottom"/>
          </w:tcPr>
          <w:p w14:paraId="3E2797EE" w14:textId="3ACF173D" w:rsidR="00015A86" w:rsidRPr="007239A6" w:rsidRDefault="00015A86" w:rsidP="004C356D">
            <w:pPr>
              <w:spacing w:after="0" w:line="240" w:lineRule="auto"/>
              <w:jc w:val="right"/>
              <w:rPr>
                <w:color w:val="000000"/>
                <w:sz w:val="22"/>
                <w:szCs w:val="22"/>
                <w:lang w:bidi="ar-SA"/>
              </w:rPr>
            </w:pPr>
            <w:r w:rsidRPr="007239A6">
              <w:rPr>
                <w:sz w:val="20"/>
                <w:szCs w:val="20"/>
              </w:rPr>
              <w:t xml:space="preserve">123 </w:t>
            </w:r>
          </w:p>
        </w:tc>
        <w:tc>
          <w:tcPr>
            <w:tcW w:w="1650" w:type="dxa"/>
            <w:tcBorders>
              <w:top w:val="nil"/>
              <w:left w:val="nil"/>
              <w:bottom w:val="nil"/>
              <w:right w:val="nil"/>
            </w:tcBorders>
            <w:shd w:val="clear" w:color="auto" w:fill="auto"/>
            <w:noWrap/>
            <w:vAlign w:val="bottom"/>
          </w:tcPr>
          <w:p w14:paraId="0FFC6227" w14:textId="63B093AD" w:rsidR="00015A86" w:rsidRPr="007239A6" w:rsidRDefault="00015A86" w:rsidP="004C356D">
            <w:pPr>
              <w:spacing w:after="0" w:line="240" w:lineRule="auto"/>
              <w:jc w:val="right"/>
              <w:rPr>
                <w:color w:val="000000"/>
                <w:sz w:val="22"/>
                <w:szCs w:val="22"/>
                <w:lang w:bidi="ar-SA"/>
              </w:rPr>
            </w:pPr>
            <w:r w:rsidRPr="007239A6">
              <w:rPr>
                <w:sz w:val="20"/>
                <w:szCs w:val="20"/>
              </w:rPr>
              <w:t>4069.9</w:t>
            </w:r>
          </w:p>
        </w:tc>
        <w:tc>
          <w:tcPr>
            <w:tcW w:w="1289" w:type="dxa"/>
            <w:tcBorders>
              <w:top w:val="nil"/>
              <w:left w:val="nil"/>
              <w:bottom w:val="nil"/>
              <w:right w:val="nil"/>
            </w:tcBorders>
            <w:shd w:val="clear" w:color="auto" w:fill="auto"/>
            <w:noWrap/>
            <w:vAlign w:val="bottom"/>
          </w:tcPr>
          <w:p w14:paraId="604E19BA" w14:textId="254D56BF" w:rsidR="00015A86" w:rsidRPr="007239A6" w:rsidRDefault="00015A86" w:rsidP="004C356D">
            <w:pPr>
              <w:spacing w:after="0" w:line="240" w:lineRule="auto"/>
              <w:jc w:val="right"/>
              <w:rPr>
                <w:color w:val="000000"/>
                <w:sz w:val="22"/>
                <w:szCs w:val="22"/>
                <w:lang w:bidi="ar-SA"/>
              </w:rPr>
            </w:pPr>
            <w:r w:rsidRPr="007239A6">
              <w:rPr>
                <w:sz w:val="20"/>
                <w:szCs w:val="20"/>
              </w:rPr>
              <w:t xml:space="preserve">112 </w:t>
            </w:r>
          </w:p>
        </w:tc>
        <w:tc>
          <w:tcPr>
            <w:tcW w:w="1769" w:type="dxa"/>
            <w:tcBorders>
              <w:top w:val="nil"/>
              <w:left w:val="nil"/>
              <w:bottom w:val="nil"/>
              <w:right w:val="nil"/>
            </w:tcBorders>
            <w:vAlign w:val="bottom"/>
          </w:tcPr>
          <w:p w14:paraId="60747903" w14:textId="72112BD5" w:rsidR="00015A86" w:rsidRPr="00A54231" w:rsidRDefault="00015A86" w:rsidP="004C356D">
            <w:pPr>
              <w:spacing w:after="0" w:line="240" w:lineRule="auto"/>
              <w:jc w:val="right"/>
              <w:rPr>
                <w:sz w:val="20"/>
                <w:szCs w:val="20"/>
              </w:rPr>
            </w:pPr>
            <w:r w:rsidRPr="00A54231">
              <w:rPr>
                <w:color w:val="000000"/>
                <w:sz w:val="20"/>
                <w:szCs w:val="20"/>
              </w:rPr>
              <w:t>-339.49</w:t>
            </w:r>
          </w:p>
        </w:tc>
      </w:tr>
      <w:tr w:rsidR="00015A86" w:rsidRPr="007239A6" w14:paraId="2B623C1C" w14:textId="6F535688" w:rsidTr="00181ACD">
        <w:trPr>
          <w:trHeight w:val="288"/>
        </w:trPr>
        <w:tc>
          <w:tcPr>
            <w:tcW w:w="1586" w:type="dxa"/>
            <w:tcBorders>
              <w:top w:val="nil"/>
              <w:left w:val="nil"/>
              <w:bottom w:val="nil"/>
              <w:right w:val="nil"/>
            </w:tcBorders>
            <w:shd w:val="clear" w:color="auto" w:fill="auto"/>
            <w:noWrap/>
            <w:vAlign w:val="bottom"/>
            <w:hideMark/>
          </w:tcPr>
          <w:p w14:paraId="688B16E9"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Union</w:t>
            </w:r>
          </w:p>
        </w:tc>
        <w:tc>
          <w:tcPr>
            <w:tcW w:w="1261" w:type="dxa"/>
            <w:tcBorders>
              <w:top w:val="nil"/>
              <w:left w:val="nil"/>
              <w:bottom w:val="nil"/>
              <w:right w:val="nil"/>
            </w:tcBorders>
            <w:shd w:val="clear" w:color="auto" w:fill="auto"/>
            <w:noWrap/>
            <w:vAlign w:val="bottom"/>
          </w:tcPr>
          <w:p w14:paraId="3AFAC914" w14:textId="7E10FDB4" w:rsidR="00015A86" w:rsidRPr="007239A6" w:rsidRDefault="00015A86" w:rsidP="004C356D">
            <w:pPr>
              <w:spacing w:after="0" w:line="240" w:lineRule="auto"/>
              <w:jc w:val="right"/>
              <w:rPr>
                <w:color w:val="000000"/>
                <w:sz w:val="22"/>
                <w:szCs w:val="22"/>
                <w:lang w:bidi="ar-SA"/>
              </w:rPr>
            </w:pPr>
            <w:r w:rsidRPr="007239A6">
              <w:rPr>
                <w:sz w:val="20"/>
                <w:szCs w:val="20"/>
              </w:rPr>
              <w:t>77.6</w:t>
            </w:r>
          </w:p>
        </w:tc>
        <w:tc>
          <w:tcPr>
            <w:tcW w:w="1293" w:type="dxa"/>
            <w:tcBorders>
              <w:top w:val="nil"/>
              <w:left w:val="nil"/>
              <w:bottom w:val="nil"/>
              <w:right w:val="nil"/>
            </w:tcBorders>
            <w:shd w:val="clear" w:color="auto" w:fill="auto"/>
            <w:noWrap/>
            <w:vAlign w:val="bottom"/>
          </w:tcPr>
          <w:p w14:paraId="4200D557" w14:textId="35BB5B66" w:rsidR="00015A86" w:rsidRPr="007239A6" w:rsidRDefault="00015A86" w:rsidP="004C356D">
            <w:pPr>
              <w:spacing w:after="0" w:line="240" w:lineRule="auto"/>
              <w:jc w:val="right"/>
              <w:rPr>
                <w:color w:val="000000"/>
                <w:sz w:val="22"/>
                <w:szCs w:val="22"/>
                <w:lang w:bidi="ar-SA"/>
              </w:rPr>
            </w:pPr>
            <w:r w:rsidRPr="007239A6">
              <w:rPr>
                <w:sz w:val="20"/>
                <w:szCs w:val="20"/>
              </w:rPr>
              <w:t xml:space="preserve">75 </w:t>
            </w:r>
          </w:p>
        </w:tc>
        <w:tc>
          <w:tcPr>
            <w:tcW w:w="1650" w:type="dxa"/>
            <w:tcBorders>
              <w:top w:val="nil"/>
              <w:left w:val="nil"/>
              <w:bottom w:val="nil"/>
              <w:right w:val="nil"/>
            </w:tcBorders>
            <w:shd w:val="clear" w:color="auto" w:fill="auto"/>
            <w:noWrap/>
            <w:vAlign w:val="bottom"/>
          </w:tcPr>
          <w:p w14:paraId="3505329D" w14:textId="081E4A50" w:rsidR="00015A86" w:rsidRPr="007239A6" w:rsidRDefault="00015A86" w:rsidP="004C356D">
            <w:pPr>
              <w:spacing w:after="0" w:line="240" w:lineRule="auto"/>
              <w:jc w:val="right"/>
              <w:rPr>
                <w:color w:val="000000"/>
                <w:sz w:val="22"/>
                <w:szCs w:val="22"/>
                <w:lang w:bidi="ar-SA"/>
              </w:rPr>
            </w:pPr>
            <w:r w:rsidRPr="007239A6">
              <w:rPr>
                <w:sz w:val="20"/>
                <w:szCs w:val="20"/>
              </w:rPr>
              <w:t>48.3</w:t>
            </w:r>
          </w:p>
        </w:tc>
        <w:tc>
          <w:tcPr>
            <w:tcW w:w="1289" w:type="dxa"/>
            <w:tcBorders>
              <w:top w:val="nil"/>
              <w:left w:val="nil"/>
              <w:bottom w:val="nil"/>
              <w:right w:val="nil"/>
            </w:tcBorders>
            <w:shd w:val="clear" w:color="auto" w:fill="auto"/>
            <w:noWrap/>
            <w:vAlign w:val="bottom"/>
          </w:tcPr>
          <w:p w14:paraId="237379DE" w14:textId="2305B49B" w:rsidR="00015A86" w:rsidRPr="007239A6" w:rsidRDefault="00015A86" w:rsidP="004C356D">
            <w:pPr>
              <w:spacing w:after="0" w:line="240" w:lineRule="auto"/>
              <w:jc w:val="right"/>
              <w:rPr>
                <w:color w:val="000000"/>
                <w:sz w:val="22"/>
                <w:szCs w:val="22"/>
                <w:lang w:bidi="ar-SA"/>
              </w:rPr>
            </w:pPr>
            <w:r w:rsidRPr="007239A6">
              <w:rPr>
                <w:sz w:val="20"/>
                <w:szCs w:val="20"/>
              </w:rPr>
              <w:t xml:space="preserve">46 </w:t>
            </w:r>
          </w:p>
        </w:tc>
        <w:tc>
          <w:tcPr>
            <w:tcW w:w="1769" w:type="dxa"/>
            <w:tcBorders>
              <w:top w:val="nil"/>
              <w:left w:val="nil"/>
              <w:bottom w:val="nil"/>
              <w:right w:val="nil"/>
            </w:tcBorders>
            <w:vAlign w:val="bottom"/>
          </w:tcPr>
          <w:p w14:paraId="0215C6C1" w14:textId="779E7BB7" w:rsidR="00015A86" w:rsidRPr="00A54231" w:rsidRDefault="00015A86" w:rsidP="004C356D">
            <w:pPr>
              <w:spacing w:after="0" w:line="240" w:lineRule="auto"/>
              <w:jc w:val="right"/>
              <w:rPr>
                <w:sz w:val="20"/>
                <w:szCs w:val="20"/>
              </w:rPr>
            </w:pPr>
            <w:r w:rsidRPr="00A54231">
              <w:rPr>
                <w:color w:val="000000"/>
                <w:sz w:val="20"/>
                <w:szCs w:val="20"/>
              </w:rPr>
              <w:t>4.96</w:t>
            </w:r>
          </w:p>
        </w:tc>
      </w:tr>
      <w:tr w:rsidR="00015A86" w:rsidRPr="007239A6" w14:paraId="05C7BB8D" w14:textId="18767CF5" w:rsidTr="00181ACD">
        <w:trPr>
          <w:trHeight w:val="288"/>
        </w:trPr>
        <w:tc>
          <w:tcPr>
            <w:tcW w:w="1586" w:type="dxa"/>
            <w:tcBorders>
              <w:top w:val="nil"/>
              <w:left w:val="nil"/>
              <w:bottom w:val="nil"/>
              <w:right w:val="nil"/>
            </w:tcBorders>
            <w:shd w:val="clear" w:color="auto" w:fill="auto"/>
            <w:noWrap/>
            <w:vAlign w:val="bottom"/>
            <w:hideMark/>
          </w:tcPr>
          <w:p w14:paraId="72A8C114"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Vernon</w:t>
            </w:r>
          </w:p>
        </w:tc>
        <w:tc>
          <w:tcPr>
            <w:tcW w:w="1261" w:type="dxa"/>
            <w:tcBorders>
              <w:top w:val="nil"/>
              <w:left w:val="nil"/>
              <w:bottom w:val="nil"/>
              <w:right w:val="nil"/>
            </w:tcBorders>
            <w:shd w:val="clear" w:color="auto" w:fill="auto"/>
            <w:noWrap/>
            <w:vAlign w:val="bottom"/>
          </w:tcPr>
          <w:p w14:paraId="4F042456" w14:textId="6CE1E211" w:rsidR="00015A86" w:rsidRPr="007239A6" w:rsidRDefault="00015A86" w:rsidP="004C356D">
            <w:pPr>
              <w:spacing w:after="0" w:line="240" w:lineRule="auto"/>
              <w:jc w:val="right"/>
              <w:rPr>
                <w:color w:val="000000"/>
                <w:sz w:val="22"/>
                <w:szCs w:val="22"/>
                <w:lang w:bidi="ar-SA"/>
              </w:rPr>
            </w:pPr>
            <w:r w:rsidRPr="007239A6">
              <w:rPr>
                <w:sz w:val="20"/>
                <w:szCs w:val="20"/>
              </w:rPr>
              <w:t>3,707.4</w:t>
            </w:r>
          </w:p>
        </w:tc>
        <w:tc>
          <w:tcPr>
            <w:tcW w:w="1293" w:type="dxa"/>
            <w:tcBorders>
              <w:top w:val="nil"/>
              <w:left w:val="nil"/>
              <w:bottom w:val="nil"/>
              <w:right w:val="nil"/>
            </w:tcBorders>
            <w:shd w:val="clear" w:color="auto" w:fill="auto"/>
            <w:noWrap/>
            <w:vAlign w:val="bottom"/>
          </w:tcPr>
          <w:p w14:paraId="6CF2CBAF" w14:textId="6FAE2288" w:rsidR="00015A86" w:rsidRPr="007239A6" w:rsidRDefault="00015A86" w:rsidP="004C356D">
            <w:pPr>
              <w:spacing w:after="0" w:line="240" w:lineRule="auto"/>
              <w:jc w:val="right"/>
              <w:rPr>
                <w:color w:val="000000"/>
                <w:sz w:val="22"/>
                <w:szCs w:val="22"/>
                <w:lang w:bidi="ar-SA"/>
              </w:rPr>
            </w:pPr>
            <w:r w:rsidRPr="007239A6">
              <w:rPr>
                <w:sz w:val="20"/>
                <w:szCs w:val="20"/>
              </w:rPr>
              <w:t xml:space="preserve">127 </w:t>
            </w:r>
          </w:p>
        </w:tc>
        <w:tc>
          <w:tcPr>
            <w:tcW w:w="1650" w:type="dxa"/>
            <w:tcBorders>
              <w:top w:val="nil"/>
              <w:left w:val="nil"/>
              <w:bottom w:val="nil"/>
              <w:right w:val="nil"/>
            </w:tcBorders>
            <w:shd w:val="clear" w:color="auto" w:fill="auto"/>
            <w:noWrap/>
            <w:vAlign w:val="bottom"/>
          </w:tcPr>
          <w:p w14:paraId="397CED9D" w14:textId="0D159936" w:rsidR="00015A86" w:rsidRPr="007239A6" w:rsidRDefault="00015A86" w:rsidP="004C356D">
            <w:pPr>
              <w:spacing w:after="0" w:line="240" w:lineRule="auto"/>
              <w:jc w:val="right"/>
              <w:rPr>
                <w:color w:val="000000"/>
                <w:sz w:val="22"/>
                <w:szCs w:val="22"/>
                <w:lang w:bidi="ar-SA"/>
              </w:rPr>
            </w:pPr>
            <w:r w:rsidRPr="007239A6">
              <w:rPr>
                <w:sz w:val="20"/>
                <w:szCs w:val="20"/>
              </w:rPr>
              <w:t>3189.0</w:t>
            </w:r>
          </w:p>
        </w:tc>
        <w:tc>
          <w:tcPr>
            <w:tcW w:w="1289" w:type="dxa"/>
            <w:tcBorders>
              <w:top w:val="nil"/>
              <w:left w:val="nil"/>
              <w:bottom w:val="nil"/>
              <w:right w:val="nil"/>
            </w:tcBorders>
            <w:shd w:val="clear" w:color="auto" w:fill="auto"/>
            <w:noWrap/>
            <w:vAlign w:val="bottom"/>
          </w:tcPr>
          <w:p w14:paraId="08B46F63" w14:textId="2CEE6245" w:rsidR="00015A86" w:rsidRPr="007239A6" w:rsidRDefault="00015A86" w:rsidP="004C356D">
            <w:pPr>
              <w:spacing w:after="0" w:line="240" w:lineRule="auto"/>
              <w:jc w:val="right"/>
              <w:rPr>
                <w:color w:val="000000"/>
                <w:sz w:val="22"/>
                <w:szCs w:val="22"/>
                <w:lang w:bidi="ar-SA"/>
              </w:rPr>
            </w:pPr>
            <w:r w:rsidRPr="007239A6">
              <w:rPr>
                <w:sz w:val="20"/>
                <w:szCs w:val="20"/>
              </w:rPr>
              <w:t xml:space="preserve">109 </w:t>
            </w:r>
          </w:p>
        </w:tc>
        <w:tc>
          <w:tcPr>
            <w:tcW w:w="1769" w:type="dxa"/>
            <w:tcBorders>
              <w:top w:val="nil"/>
              <w:left w:val="nil"/>
              <w:bottom w:val="nil"/>
              <w:right w:val="nil"/>
            </w:tcBorders>
            <w:vAlign w:val="bottom"/>
          </w:tcPr>
          <w:p w14:paraId="070B76B6" w14:textId="2A863576" w:rsidR="00015A86" w:rsidRPr="00A54231" w:rsidRDefault="00015A86" w:rsidP="004C356D">
            <w:pPr>
              <w:spacing w:after="0" w:line="240" w:lineRule="auto"/>
              <w:jc w:val="right"/>
              <w:rPr>
                <w:sz w:val="20"/>
                <w:szCs w:val="20"/>
              </w:rPr>
            </w:pPr>
            <w:r w:rsidRPr="00A54231">
              <w:rPr>
                <w:color w:val="000000"/>
                <w:sz w:val="20"/>
                <w:szCs w:val="20"/>
              </w:rPr>
              <w:t>539.07</w:t>
            </w:r>
          </w:p>
        </w:tc>
      </w:tr>
      <w:tr w:rsidR="00015A86" w:rsidRPr="007239A6" w14:paraId="04BAC46E" w14:textId="5DD5E2D5" w:rsidTr="00181ACD">
        <w:trPr>
          <w:trHeight w:val="288"/>
        </w:trPr>
        <w:tc>
          <w:tcPr>
            <w:tcW w:w="1586" w:type="dxa"/>
            <w:tcBorders>
              <w:top w:val="nil"/>
              <w:left w:val="nil"/>
              <w:bottom w:val="nil"/>
              <w:right w:val="nil"/>
            </w:tcBorders>
            <w:shd w:val="clear" w:color="auto" w:fill="auto"/>
            <w:noWrap/>
            <w:vAlign w:val="bottom"/>
            <w:hideMark/>
          </w:tcPr>
          <w:p w14:paraId="5A72BE9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Voluntown</w:t>
            </w:r>
          </w:p>
        </w:tc>
        <w:tc>
          <w:tcPr>
            <w:tcW w:w="1261" w:type="dxa"/>
            <w:tcBorders>
              <w:top w:val="nil"/>
              <w:left w:val="nil"/>
              <w:bottom w:val="nil"/>
              <w:right w:val="nil"/>
            </w:tcBorders>
            <w:shd w:val="clear" w:color="auto" w:fill="auto"/>
            <w:noWrap/>
            <w:vAlign w:val="bottom"/>
          </w:tcPr>
          <w:p w14:paraId="7F07047D" w14:textId="30AA93CC" w:rsidR="00015A86" w:rsidRPr="007239A6" w:rsidRDefault="00015A86" w:rsidP="004C356D">
            <w:pPr>
              <w:spacing w:after="0" w:line="240" w:lineRule="auto"/>
              <w:jc w:val="right"/>
              <w:rPr>
                <w:color w:val="000000"/>
                <w:sz w:val="22"/>
                <w:szCs w:val="22"/>
                <w:lang w:bidi="ar-SA"/>
              </w:rPr>
            </w:pPr>
            <w:r w:rsidRPr="007239A6">
              <w:rPr>
                <w:sz w:val="20"/>
                <w:szCs w:val="20"/>
              </w:rPr>
              <w:t>59.5</w:t>
            </w:r>
          </w:p>
        </w:tc>
        <w:tc>
          <w:tcPr>
            <w:tcW w:w="1293" w:type="dxa"/>
            <w:tcBorders>
              <w:top w:val="nil"/>
              <w:left w:val="nil"/>
              <w:bottom w:val="nil"/>
              <w:right w:val="nil"/>
            </w:tcBorders>
            <w:shd w:val="clear" w:color="auto" w:fill="auto"/>
            <w:noWrap/>
            <w:vAlign w:val="bottom"/>
          </w:tcPr>
          <w:p w14:paraId="4B443ADA" w14:textId="066FAA61" w:rsidR="00015A86" w:rsidRPr="007239A6" w:rsidRDefault="00015A86" w:rsidP="004C356D">
            <w:pPr>
              <w:spacing w:after="0" w:line="240" w:lineRule="auto"/>
              <w:jc w:val="right"/>
              <w:rPr>
                <w:color w:val="000000"/>
                <w:sz w:val="22"/>
                <w:szCs w:val="22"/>
                <w:lang w:bidi="ar-SA"/>
              </w:rPr>
            </w:pPr>
            <w:r w:rsidRPr="007239A6">
              <w:rPr>
                <w:sz w:val="20"/>
                <w:szCs w:val="20"/>
              </w:rPr>
              <w:t xml:space="preserve">23 </w:t>
            </w:r>
          </w:p>
        </w:tc>
        <w:tc>
          <w:tcPr>
            <w:tcW w:w="1650" w:type="dxa"/>
            <w:tcBorders>
              <w:top w:val="nil"/>
              <w:left w:val="nil"/>
              <w:bottom w:val="nil"/>
              <w:right w:val="nil"/>
            </w:tcBorders>
            <w:shd w:val="clear" w:color="auto" w:fill="auto"/>
            <w:noWrap/>
            <w:vAlign w:val="bottom"/>
          </w:tcPr>
          <w:p w14:paraId="13929863" w14:textId="10A35E4C" w:rsidR="00015A86" w:rsidRPr="007239A6" w:rsidRDefault="00015A86" w:rsidP="004C356D">
            <w:pPr>
              <w:spacing w:after="0" w:line="240" w:lineRule="auto"/>
              <w:jc w:val="right"/>
              <w:rPr>
                <w:color w:val="000000"/>
                <w:sz w:val="22"/>
                <w:szCs w:val="22"/>
                <w:lang w:bidi="ar-SA"/>
              </w:rPr>
            </w:pPr>
            <w:r w:rsidRPr="007239A6">
              <w:rPr>
                <w:sz w:val="20"/>
                <w:szCs w:val="20"/>
              </w:rPr>
              <w:t>123.2</w:t>
            </w:r>
          </w:p>
        </w:tc>
        <w:tc>
          <w:tcPr>
            <w:tcW w:w="1289" w:type="dxa"/>
            <w:tcBorders>
              <w:top w:val="nil"/>
              <w:left w:val="nil"/>
              <w:bottom w:val="nil"/>
              <w:right w:val="nil"/>
            </w:tcBorders>
            <w:shd w:val="clear" w:color="auto" w:fill="auto"/>
            <w:noWrap/>
            <w:vAlign w:val="bottom"/>
          </w:tcPr>
          <w:p w14:paraId="79ECC39C" w14:textId="503CC13D" w:rsidR="00015A86" w:rsidRPr="007239A6" w:rsidRDefault="00015A86" w:rsidP="004C356D">
            <w:pPr>
              <w:spacing w:after="0" w:line="240" w:lineRule="auto"/>
              <w:jc w:val="right"/>
              <w:rPr>
                <w:color w:val="000000"/>
                <w:sz w:val="22"/>
                <w:szCs w:val="22"/>
                <w:lang w:bidi="ar-SA"/>
              </w:rPr>
            </w:pPr>
            <w:r w:rsidRPr="007239A6">
              <w:rPr>
                <w:sz w:val="20"/>
                <w:szCs w:val="20"/>
              </w:rPr>
              <w:t xml:space="preserve">47 </w:t>
            </w:r>
          </w:p>
        </w:tc>
        <w:tc>
          <w:tcPr>
            <w:tcW w:w="1769" w:type="dxa"/>
            <w:tcBorders>
              <w:top w:val="nil"/>
              <w:left w:val="nil"/>
              <w:bottom w:val="nil"/>
              <w:right w:val="nil"/>
            </w:tcBorders>
            <w:vAlign w:val="bottom"/>
          </w:tcPr>
          <w:p w14:paraId="529016D1" w14:textId="01041586" w:rsidR="00015A86" w:rsidRPr="00A54231" w:rsidRDefault="00015A86" w:rsidP="004C356D">
            <w:pPr>
              <w:spacing w:after="0" w:line="240" w:lineRule="auto"/>
              <w:jc w:val="right"/>
              <w:rPr>
                <w:sz w:val="20"/>
                <w:szCs w:val="20"/>
              </w:rPr>
            </w:pPr>
            <w:r w:rsidRPr="00A54231">
              <w:rPr>
                <w:color w:val="000000"/>
                <w:sz w:val="20"/>
                <w:szCs w:val="20"/>
              </w:rPr>
              <w:t>202.03</w:t>
            </w:r>
          </w:p>
        </w:tc>
      </w:tr>
      <w:tr w:rsidR="00015A86" w:rsidRPr="007239A6" w14:paraId="27EBE5E2" w14:textId="7CC8300E" w:rsidTr="00181ACD">
        <w:trPr>
          <w:trHeight w:val="288"/>
        </w:trPr>
        <w:tc>
          <w:tcPr>
            <w:tcW w:w="1586" w:type="dxa"/>
            <w:tcBorders>
              <w:top w:val="nil"/>
              <w:left w:val="nil"/>
              <w:bottom w:val="nil"/>
              <w:right w:val="nil"/>
            </w:tcBorders>
            <w:shd w:val="clear" w:color="auto" w:fill="auto"/>
            <w:noWrap/>
            <w:vAlign w:val="bottom"/>
            <w:hideMark/>
          </w:tcPr>
          <w:p w14:paraId="0C0E6CBB"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Wallingford</w:t>
            </w:r>
          </w:p>
        </w:tc>
        <w:tc>
          <w:tcPr>
            <w:tcW w:w="1261" w:type="dxa"/>
            <w:tcBorders>
              <w:top w:val="nil"/>
              <w:left w:val="nil"/>
              <w:bottom w:val="nil"/>
              <w:right w:val="nil"/>
            </w:tcBorders>
            <w:shd w:val="clear" w:color="auto" w:fill="auto"/>
            <w:noWrap/>
            <w:vAlign w:val="bottom"/>
          </w:tcPr>
          <w:p w14:paraId="206E0153" w14:textId="1AF4C90F" w:rsidR="00015A86" w:rsidRPr="007239A6" w:rsidRDefault="00015A86" w:rsidP="004C356D">
            <w:pPr>
              <w:spacing w:after="0" w:line="240" w:lineRule="auto"/>
              <w:jc w:val="right"/>
              <w:rPr>
                <w:color w:val="000000"/>
                <w:sz w:val="22"/>
                <w:szCs w:val="22"/>
                <w:lang w:bidi="ar-SA"/>
              </w:rPr>
            </w:pPr>
            <w:r w:rsidRPr="007239A6">
              <w:rPr>
                <w:sz w:val="20"/>
                <w:szCs w:val="20"/>
              </w:rPr>
              <w:t>8,245.2</w:t>
            </w:r>
          </w:p>
        </w:tc>
        <w:tc>
          <w:tcPr>
            <w:tcW w:w="1293" w:type="dxa"/>
            <w:tcBorders>
              <w:top w:val="nil"/>
              <w:left w:val="nil"/>
              <w:bottom w:val="nil"/>
              <w:right w:val="nil"/>
            </w:tcBorders>
            <w:shd w:val="clear" w:color="auto" w:fill="auto"/>
            <w:noWrap/>
            <w:vAlign w:val="bottom"/>
          </w:tcPr>
          <w:p w14:paraId="37359A41" w14:textId="04E7FF2B" w:rsidR="00015A86" w:rsidRPr="007239A6" w:rsidRDefault="00015A86" w:rsidP="004C356D">
            <w:pPr>
              <w:spacing w:after="0" w:line="240" w:lineRule="auto"/>
              <w:jc w:val="right"/>
              <w:rPr>
                <w:color w:val="000000"/>
                <w:sz w:val="22"/>
                <w:szCs w:val="22"/>
                <w:lang w:bidi="ar-SA"/>
              </w:rPr>
            </w:pPr>
            <w:r w:rsidRPr="007239A6">
              <w:rPr>
                <w:sz w:val="20"/>
                <w:szCs w:val="20"/>
              </w:rPr>
              <w:t xml:space="preserve">183 </w:t>
            </w:r>
          </w:p>
        </w:tc>
        <w:tc>
          <w:tcPr>
            <w:tcW w:w="1650" w:type="dxa"/>
            <w:tcBorders>
              <w:top w:val="nil"/>
              <w:left w:val="nil"/>
              <w:bottom w:val="nil"/>
              <w:right w:val="nil"/>
            </w:tcBorders>
            <w:shd w:val="clear" w:color="auto" w:fill="auto"/>
            <w:noWrap/>
            <w:vAlign w:val="bottom"/>
          </w:tcPr>
          <w:p w14:paraId="1E6B85EF" w14:textId="66654D7E" w:rsidR="00015A86" w:rsidRPr="007239A6" w:rsidRDefault="00015A86" w:rsidP="004C356D">
            <w:pPr>
              <w:spacing w:after="0" w:line="240" w:lineRule="auto"/>
              <w:jc w:val="right"/>
              <w:rPr>
                <w:color w:val="000000"/>
                <w:sz w:val="22"/>
                <w:szCs w:val="22"/>
                <w:lang w:bidi="ar-SA"/>
              </w:rPr>
            </w:pPr>
            <w:r w:rsidRPr="007239A6">
              <w:rPr>
                <w:sz w:val="20"/>
                <w:szCs w:val="20"/>
              </w:rPr>
              <w:t>7695.4</w:t>
            </w:r>
          </w:p>
        </w:tc>
        <w:tc>
          <w:tcPr>
            <w:tcW w:w="1289" w:type="dxa"/>
            <w:tcBorders>
              <w:top w:val="nil"/>
              <w:left w:val="nil"/>
              <w:bottom w:val="nil"/>
              <w:right w:val="nil"/>
            </w:tcBorders>
            <w:shd w:val="clear" w:color="auto" w:fill="auto"/>
            <w:noWrap/>
            <w:vAlign w:val="bottom"/>
          </w:tcPr>
          <w:p w14:paraId="1DFDDEE5" w14:textId="45CE28A3" w:rsidR="00015A86" w:rsidRPr="007239A6" w:rsidRDefault="00015A86" w:rsidP="004C356D">
            <w:pPr>
              <w:spacing w:after="0" w:line="240" w:lineRule="auto"/>
              <w:jc w:val="right"/>
              <w:rPr>
                <w:color w:val="000000"/>
                <w:sz w:val="22"/>
                <w:szCs w:val="22"/>
                <w:lang w:bidi="ar-SA"/>
              </w:rPr>
            </w:pPr>
            <w:r w:rsidRPr="007239A6">
              <w:rPr>
                <w:sz w:val="20"/>
                <w:szCs w:val="20"/>
              </w:rPr>
              <w:t xml:space="preserve">171 </w:t>
            </w:r>
          </w:p>
        </w:tc>
        <w:tc>
          <w:tcPr>
            <w:tcW w:w="1769" w:type="dxa"/>
            <w:tcBorders>
              <w:top w:val="nil"/>
              <w:left w:val="nil"/>
              <w:bottom w:val="nil"/>
              <w:right w:val="nil"/>
            </w:tcBorders>
            <w:vAlign w:val="bottom"/>
          </w:tcPr>
          <w:p w14:paraId="4229CABB" w14:textId="4FBFA56D" w:rsidR="00015A86" w:rsidRPr="00A54231" w:rsidRDefault="00015A86" w:rsidP="004C356D">
            <w:pPr>
              <w:spacing w:after="0" w:line="240" w:lineRule="auto"/>
              <w:jc w:val="right"/>
              <w:rPr>
                <w:sz w:val="20"/>
                <w:szCs w:val="20"/>
              </w:rPr>
            </w:pPr>
            <w:r w:rsidRPr="00A54231">
              <w:rPr>
                <w:color w:val="000000"/>
                <w:sz w:val="20"/>
                <w:szCs w:val="20"/>
              </w:rPr>
              <w:t>5.02</w:t>
            </w:r>
          </w:p>
        </w:tc>
      </w:tr>
      <w:tr w:rsidR="00015A86" w:rsidRPr="007239A6" w14:paraId="182D8D96" w14:textId="58533D33" w:rsidTr="00181ACD">
        <w:trPr>
          <w:trHeight w:val="288"/>
        </w:trPr>
        <w:tc>
          <w:tcPr>
            <w:tcW w:w="1586" w:type="dxa"/>
            <w:tcBorders>
              <w:top w:val="nil"/>
              <w:left w:val="nil"/>
              <w:bottom w:val="nil"/>
              <w:right w:val="nil"/>
            </w:tcBorders>
            <w:shd w:val="clear" w:color="auto" w:fill="auto"/>
            <w:noWrap/>
            <w:vAlign w:val="bottom"/>
            <w:hideMark/>
          </w:tcPr>
          <w:p w14:paraId="1FDEC7F9"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Warren</w:t>
            </w:r>
          </w:p>
        </w:tc>
        <w:tc>
          <w:tcPr>
            <w:tcW w:w="1261" w:type="dxa"/>
            <w:tcBorders>
              <w:top w:val="nil"/>
              <w:left w:val="nil"/>
              <w:bottom w:val="nil"/>
              <w:right w:val="nil"/>
            </w:tcBorders>
            <w:shd w:val="clear" w:color="auto" w:fill="auto"/>
            <w:noWrap/>
            <w:vAlign w:val="bottom"/>
          </w:tcPr>
          <w:p w14:paraId="40AA7020" w14:textId="3BD21705" w:rsidR="00015A86" w:rsidRPr="007239A6" w:rsidRDefault="00015A86" w:rsidP="004C356D">
            <w:pPr>
              <w:spacing w:after="0" w:line="240" w:lineRule="auto"/>
              <w:jc w:val="right"/>
              <w:rPr>
                <w:color w:val="000000"/>
                <w:sz w:val="22"/>
                <w:szCs w:val="22"/>
                <w:lang w:bidi="ar-SA"/>
              </w:rPr>
            </w:pPr>
            <w:r w:rsidRPr="007239A6">
              <w:rPr>
                <w:sz w:val="20"/>
                <w:szCs w:val="20"/>
              </w:rPr>
              <w:t>35.4</w:t>
            </w:r>
          </w:p>
        </w:tc>
        <w:tc>
          <w:tcPr>
            <w:tcW w:w="1293" w:type="dxa"/>
            <w:tcBorders>
              <w:top w:val="nil"/>
              <w:left w:val="nil"/>
              <w:bottom w:val="nil"/>
              <w:right w:val="nil"/>
            </w:tcBorders>
            <w:shd w:val="clear" w:color="auto" w:fill="auto"/>
            <w:noWrap/>
            <w:vAlign w:val="bottom"/>
          </w:tcPr>
          <w:p w14:paraId="659C5F34" w14:textId="5334C360" w:rsidR="00015A86" w:rsidRPr="007239A6" w:rsidRDefault="00015A86" w:rsidP="004C356D">
            <w:pPr>
              <w:spacing w:after="0" w:line="240" w:lineRule="auto"/>
              <w:jc w:val="right"/>
              <w:rPr>
                <w:color w:val="000000"/>
                <w:sz w:val="22"/>
                <w:szCs w:val="22"/>
                <w:lang w:bidi="ar-SA"/>
              </w:rPr>
            </w:pPr>
            <w:r w:rsidRPr="007239A6">
              <w:rPr>
                <w:sz w:val="20"/>
                <w:szCs w:val="20"/>
              </w:rPr>
              <w:t xml:space="preserve">24 </w:t>
            </w:r>
          </w:p>
        </w:tc>
        <w:tc>
          <w:tcPr>
            <w:tcW w:w="1650" w:type="dxa"/>
            <w:tcBorders>
              <w:top w:val="nil"/>
              <w:left w:val="nil"/>
              <w:bottom w:val="nil"/>
              <w:right w:val="nil"/>
            </w:tcBorders>
            <w:shd w:val="clear" w:color="auto" w:fill="auto"/>
            <w:noWrap/>
            <w:vAlign w:val="bottom"/>
          </w:tcPr>
          <w:p w14:paraId="3AFD3717" w14:textId="575ACA57" w:rsidR="00015A86" w:rsidRPr="007239A6" w:rsidRDefault="00015A86" w:rsidP="004C356D">
            <w:pPr>
              <w:spacing w:after="0" w:line="240" w:lineRule="auto"/>
              <w:jc w:val="right"/>
              <w:rPr>
                <w:color w:val="000000"/>
                <w:sz w:val="22"/>
                <w:szCs w:val="22"/>
                <w:lang w:bidi="ar-SA"/>
              </w:rPr>
            </w:pPr>
            <w:r w:rsidRPr="007239A6">
              <w:rPr>
                <w:sz w:val="20"/>
                <w:szCs w:val="20"/>
              </w:rPr>
              <w:t>126.1</w:t>
            </w:r>
          </w:p>
        </w:tc>
        <w:tc>
          <w:tcPr>
            <w:tcW w:w="1289" w:type="dxa"/>
            <w:tcBorders>
              <w:top w:val="nil"/>
              <w:left w:val="nil"/>
              <w:bottom w:val="nil"/>
              <w:right w:val="nil"/>
            </w:tcBorders>
            <w:shd w:val="clear" w:color="auto" w:fill="auto"/>
            <w:noWrap/>
            <w:vAlign w:val="bottom"/>
          </w:tcPr>
          <w:p w14:paraId="1F374819" w14:textId="10F9C923" w:rsidR="00015A86" w:rsidRPr="007239A6" w:rsidRDefault="00015A86" w:rsidP="004C356D">
            <w:pPr>
              <w:spacing w:after="0" w:line="240" w:lineRule="auto"/>
              <w:jc w:val="right"/>
              <w:rPr>
                <w:color w:val="000000"/>
                <w:sz w:val="22"/>
                <w:szCs w:val="22"/>
                <w:lang w:bidi="ar-SA"/>
              </w:rPr>
            </w:pPr>
            <w:r w:rsidRPr="007239A6">
              <w:rPr>
                <w:sz w:val="20"/>
                <w:szCs w:val="20"/>
              </w:rPr>
              <w:t xml:space="preserve">86 </w:t>
            </w:r>
          </w:p>
        </w:tc>
        <w:tc>
          <w:tcPr>
            <w:tcW w:w="1769" w:type="dxa"/>
            <w:tcBorders>
              <w:top w:val="nil"/>
              <w:left w:val="nil"/>
              <w:bottom w:val="nil"/>
              <w:right w:val="nil"/>
            </w:tcBorders>
            <w:vAlign w:val="bottom"/>
          </w:tcPr>
          <w:p w14:paraId="50B52401" w14:textId="0007FE4F" w:rsidR="00015A86" w:rsidRPr="00A54231" w:rsidRDefault="00015A86" w:rsidP="004C356D">
            <w:pPr>
              <w:spacing w:after="0" w:line="240" w:lineRule="auto"/>
              <w:jc w:val="right"/>
              <w:rPr>
                <w:sz w:val="20"/>
                <w:szCs w:val="20"/>
              </w:rPr>
            </w:pPr>
            <w:r w:rsidRPr="00A54231">
              <w:rPr>
                <w:color w:val="000000"/>
                <w:sz w:val="20"/>
                <w:szCs w:val="20"/>
              </w:rPr>
              <w:t>-1600.35</w:t>
            </w:r>
          </w:p>
        </w:tc>
      </w:tr>
      <w:tr w:rsidR="00015A86" w:rsidRPr="007239A6" w14:paraId="75156988" w14:textId="50331819" w:rsidTr="00181ACD">
        <w:trPr>
          <w:trHeight w:val="288"/>
        </w:trPr>
        <w:tc>
          <w:tcPr>
            <w:tcW w:w="1586" w:type="dxa"/>
            <w:tcBorders>
              <w:top w:val="nil"/>
              <w:left w:val="nil"/>
              <w:bottom w:val="nil"/>
              <w:right w:val="nil"/>
            </w:tcBorders>
            <w:shd w:val="clear" w:color="auto" w:fill="auto"/>
            <w:noWrap/>
            <w:vAlign w:val="bottom"/>
            <w:hideMark/>
          </w:tcPr>
          <w:p w14:paraId="269D807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Washington</w:t>
            </w:r>
          </w:p>
        </w:tc>
        <w:tc>
          <w:tcPr>
            <w:tcW w:w="1261" w:type="dxa"/>
            <w:tcBorders>
              <w:top w:val="nil"/>
              <w:left w:val="nil"/>
              <w:bottom w:val="nil"/>
              <w:right w:val="nil"/>
            </w:tcBorders>
            <w:shd w:val="clear" w:color="auto" w:fill="auto"/>
            <w:noWrap/>
            <w:vAlign w:val="bottom"/>
          </w:tcPr>
          <w:p w14:paraId="03555DCC" w14:textId="05C9FB1A" w:rsidR="00015A86" w:rsidRPr="007239A6" w:rsidRDefault="00015A86" w:rsidP="004C356D">
            <w:pPr>
              <w:spacing w:after="0" w:line="240" w:lineRule="auto"/>
              <w:jc w:val="right"/>
              <w:rPr>
                <w:color w:val="000000"/>
                <w:sz w:val="22"/>
                <w:szCs w:val="22"/>
                <w:lang w:bidi="ar-SA"/>
              </w:rPr>
            </w:pPr>
            <w:r w:rsidRPr="007239A6">
              <w:rPr>
                <w:sz w:val="20"/>
                <w:szCs w:val="20"/>
              </w:rPr>
              <w:t>453.2</w:t>
            </w:r>
          </w:p>
        </w:tc>
        <w:tc>
          <w:tcPr>
            <w:tcW w:w="1293" w:type="dxa"/>
            <w:tcBorders>
              <w:top w:val="nil"/>
              <w:left w:val="nil"/>
              <w:bottom w:val="nil"/>
              <w:right w:val="nil"/>
            </w:tcBorders>
            <w:shd w:val="clear" w:color="auto" w:fill="auto"/>
            <w:noWrap/>
            <w:vAlign w:val="bottom"/>
          </w:tcPr>
          <w:p w14:paraId="7CFC206A" w14:textId="2A3820E7" w:rsidR="00015A86" w:rsidRPr="007239A6" w:rsidRDefault="00015A86" w:rsidP="004C356D">
            <w:pPr>
              <w:spacing w:after="0" w:line="240" w:lineRule="auto"/>
              <w:jc w:val="right"/>
              <w:rPr>
                <w:color w:val="000000"/>
                <w:sz w:val="22"/>
                <w:szCs w:val="22"/>
                <w:lang w:bidi="ar-SA"/>
              </w:rPr>
            </w:pPr>
            <w:r w:rsidRPr="007239A6">
              <w:rPr>
                <w:sz w:val="20"/>
                <w:szCs w:val="20"/>
              </w:rPr>
              <w:t xml:space="preserve">127 </w:t>
            </w:r>
          </w:p>
        </w:tc>
        <w:tc>
          <w:tcPr>
            <w:tcW w:w="1650" w:type="dxa"/>
            <w:tcBorders>
              <w:top w:val="nil"/>
              <w:left w:val="nil"/>
              <w:bottom w:val="nil"/>
              <w:right w:val="nil"/>
            </w:tcBorders>
            <w:shd w:val="clear" w:color="auto" w:fill="auto"/>
            <w:noWrap/>
            <w:vAlign w:val="bottom"/>
          </w:tcPr>
          <w:p w14:paraId="6F748362" w14:textId="51115734" w:rsidR="00015A86" w:rsidRPr="007239A6" w:rsidRDefault="00015A86" w:rsidP="004C356D">
            <w:pPr>
              <w:spacing w:after="0" w:line="240" w:lineRule="auto"/>
              <w:jc w:val="right"/>
              <w:rPr>
                <w:color w:val="000000"/>
                <w:sz w:val="22"/>
                <w:szCs w:val="22"/>
                <w:lang w:bidi="ar-SA"/>
              </w:rPr>
            </w:pPr>
            <w:r w:rsidRPr="007239A6">
              <w:rPr>
                <w:sz w:val="20"/>
                <w:szCs w:val="20"/>
              </w:rPr>
              <w:t>543.9</w:t>
            </w:r>
          </w:p>
        </w:tc>
        <w:tc>
          <w:tcPr>
            <w:tcW w:w="1289" w:type="dxa"/>
            <w:tcBorders>
              <w:top w:val="nil"/>
              <w:left w:val="nil"/>
              <w:bottom w:val="nil"/>
              <w:right w:val="nil"/>
            </w:tcBorders>
            <w:shd w:val="clear" w:color="auto" w:fill="auto"/>
            <w:noWrap/>
            <w:vAlign w:val="bottom"/>
          </w:tcPr>
          <w:p w14:paraId="63E147B3" w14:textId="59A607F9" w:rsidR="00015A86" w:rsidRPr="007239A6" w:rsidRDefault="00015A86" w:rsidP="004C356D">
            <w:pPr>
              <w:spacing w:after="0" w:line="240" w:lineRule="auto"/>
              <w:jc w:val="right"/>
              <w:rPr>
                <w:color w:val="000000"/>
                <w:sz w:val="22"/>
                <w:szCs w:val="22"/>
                <w:lang w:bidi="ar-SA"/>
              </w:rPr>
            </w:pPr>
            <w:r w:rsidRPr="007239A6">
              <w:rPr>
                <w:sz w:val="20"/>
                <w:szCs w:val="20"/>
              </w:rPr>
              <w:t xml:space="preserve">153 </w:t>
            </w:r>
          </w:p>
        </w:tc>
        <w:tc>
          <w:tcPr>
            <w:tcW w:w="1769" w:type="dxa"/>
            <w:tcBorders>
              <w:top w:val="nil"/>
              <w:left w:val="nil"/>
              <w:bottom w:val="nil"/>
              <w:right w:val="nil"/>
            </w:tcBorders>
            <w:vAlign w:val="bottom"/>
          </w:tcPr>
          <w:p w14:paraId="00F35005" w14:textId="0679DDB2" w:rsidR="00015A86" w:rsidRPr="00A54231" w:rsidRDefault="00015A86" w:rsidP="004C356D">
            <w:pPr>
              <w:spacing w:after="0" w:line="240" w:lineRule="auto"/>
              <w:jc w:val="right"/>
              <w:rPr>
                <w:sz w:val="20"/>
                <w:szCs w:val="20"/>
              </w:rPr>
            </w:pPr>
            <w:r w:rsidRPr="00A54231">
              <w:rPr>
                <w:color w:val="000000"/>
                <w:sz w:val="20"/>
                <w:szCs w:val="20"/>
              </w:rPr>
              <w:t>-3047.35</w:t>
            </w:r>
          </w:p>
        </w:tc>
      </w:tr>
      <w:tr w:rsidR="00015A86" w:rsidRPr="007239A6" w14:paraId="0F5471A0" w14:textId="11518B2A" w:rsidTr="00181ACD">
        <w:trPr>
          <w:trHeight w:val="288"/>
        </w:trPr>
        <w:tc>
          <w:tcPr>
            <w:tcW w:w="1586" w:type="dxa"/>
            <w:tcBorders>
              <w:top w:val="nil"/>
              <w:left w:val="nil"/>
              <w:bottom w:val="nil"/>
              <w:right w:val="nil"/>
            </w:tcBorders>
            <w:shd w:val="clear" w:color="auto" w:fill="auto"/>
            <w:noWrap/>
            <w:vAlign w:val="bottom"/>
            <w:hideMark/>
          </w:tcPr>
          <w:p w14:paraId="517E8E8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Waterbury</w:t>
            </w:r>
          </w:p>
        </w:tc>
        <w:tc>
          <w:tcPr>
            <w:tcW w:w="1261" w:type="dxa"/>
            <w:tcBorders>
              <w:top w:val="nil"/>
              <w:left w:val="nil"/>
              <w:bottom w:val="nil"/>
              <w:right w:val="nil"/>
            </w:tcBorders>
            <w:shd w:val="clear" w:color="auto" w:fill="auto"/>
            <w:noWrap/>
            <w:vAlign w:val="bottom"/>
          </w:tcPr>
          <w:p w14:paraId="7F2F92B5" w14:textId="30B2D795" w:rsidR="00015A86" w:rsidRPr="007239A6" w:rsidRDefault="00015A86" w:rsidP="004C356D">
            <w:pPr>
              <w:spacing w:after="0" w:line="240" w:lineRule="auto"/>
              <w:jc w:val="right"/>
              <w:rPr>
                <w:color w:val="000000"/>
                <w:sz w:val="22"/>
                <w:szCs w:val="22"/>
                <w:lang w:bidi="ar-SA"/>
              </w:rPr>
            </w:pPr>
            <w:r w:rsidRPr="007239A6">
              <w:rPr>
                <w:sz w:val="20"/>
                <w:szCs w:val="20"/>
              </w:rPr>
              <w:t>10,211.7</w:t>
            </w:r>
          </w:p>
        </w:tc>
        <w:tc>
          <w:tcPr>
            <w:tcW w:w="1293" w:type="dxa"/>
            <w:tcBorders>
              <w:top w:val="nil"/>
              <w:left w:val="nil"/>
              <w:bottom w:val="nil"/>
              <w:right w:val="nil"/>
            </w:tcBorders>
            <w:shd w:val="clear" w:color="auto" w:fill="auto"/>
            <w:noWrap/>
            <w:vAlign w:val="bottom"/>
          </w:tcPr>
          <w:p w14:paraId="5F1C21A3" w14:textId="46530E64" w:rsidR="00015A86" w:rsidRPr="007239A6" w:rsidRDefault="00015A86" w:rsidP="004C356D">
            <w:pPr>
              <w:spacing w:after="0" w:line="240" w:lineRule="auto"/>
              <w:jc w:val="right"/>
              <w:rPr>
                <w:color w:val="000000"/>
                <w:sz w:val="22"/>
                <w:szCs w:val="22"/>
                <w:lang w:bidi="ar-SA"/>
              </w:rPr>
            </w:pPr>
            <w:r w:rsidRPr="007239A6">
              <w:rPr>
                <w:sz w:val="20"/>
                <w:szCs w:val="20"/>
              </w:rPr>
              <w:t xml:space="preserve">93 </w:t>
            </w:r>
          </w:p>
        </w:tc>
        <w:tc>
          <w:tcPr>
            <w:tcW w:w="1650" w:type="dxa"/>
            <w:tcBorders>
              <w:top w:val="nil"/>
              <w:left w:val="nil"/>
              <w:bottom w:val="nil"/>
              <w:right w:val="nil"/>
            </w:tcBorders>
            <w:shd w:val="clear" w:color="auto" w:fill="auto"/>
            <w:noWrap/>
            <w:vAlign w:val="bottom"/>
          </w:tcPr>
          <w:p w14:paraId="55435C08" w14:textId="214B3970" w:rsidR="00015A86" w:rsidRPr="007239A6" w:rsidRDefault="00015A86" w:rsidP="004C356D">
            <w:pPr>
              <w:spacing w:after="0" w:line="240" w:lineRule="auto"/>
              <w:jc w:val="right"/>
              <w:rPr>
                <w:color w:val="000000"/>
                <w:sz w:val="22"/>
                <w:szCs w:val="22"/>
                <w:lang w:bidi="ar-SA"/>
              </w:rPr>
            </w:pPr>
            <w:r w:rsidRPr="007239A6">
              <w:rPr>
                <w:sz w:val="20"/>
                <w:szCs w:val="20"/>
              </w:rPr>
              <w:t>10247.2</w:t>
            </w:r>
          </w:p>
        </w:tc>
        <w:tc>
          <w:tcPr>
            <w:tcW w:w="1289" w:type="dxa"/>
            <w:tcBorders>
              <w:top w:val="nil"/>
              <w:left w:val="nil"/>
              <w:bottom w:val="nil"/>
              <w:right w:val="nil"/>
            </w:tcBorders>
            <w:shd w:val="clear" w:color="auto" w:fill="auto"/>
            <w:noWrap/>
            <w:vAlign w:val="bottom"/>
          </w:tcPr>
          <w:p w14:paraId="142E7560" w14:textId="518CC781" w:rsidR="00015A86" w:rsidRPr="007239A6" w:rsidRDefault="00015A86" w:rsidP="004C356D">
            <w:pPr>
              <w:spacing w:after="0" w:line="240" w:lineRule="auto"/>
              <w:jc w:val="right"/>
              <w:rPr>
                <w:color w:val="000000"/>
                <w:sz w:val="22"/>
                <w:szCs w:val="22"/>
                <w:lang w:bidi="ar-SA"/>
              </w:rPr>
            </w:pPr>
            <w:r w:rsidRPr="007239A6">
              <w:rPr>
                <w:sz w:val="20"/>
                <w:szCs w:val="20"/>
              </w:rPr>
              <w:t xml:space="preserve">93 </w:t>
            </w:r>
          </w:p>
        </w:tc>
        <w:tc>
          <w:tcPr>
            <w:tcW w:w="1769" w:type="dxa"/>
            <w:tcBorders>
              <w:top w:val="nil"/>
              <w:left w:val="nil"/>
              <w:bottom w:val="nil"/>
              <w:right w:val="nil"/>
            </w:tcBorders>
            <w:vAlign w:val="bottom"/>
          </w:tcPr>
          <w:p w14:paraId="43997BC8" w14:textId="43D34097" w:rsidR="00015A86" w:rsidRPr="00A54231" w:rsidRDefault="00015A86" w:rsidP="004C356D">
            <w:pPr>
              <w:spacing w:after="0" w:line="240" w:lineRule="auto"/>
              <w:jc w:val="right"/>
              <w:rPr>
                <w:sz w:val="20"/>
                <w:szCs w:val="20"/>
              </w:rPr>
            </w:pPr>
            <w:r w:rsidRPr="00A54231">
              <w:rPr>
                <w:color w:val="000000"/>
                <w:sz w:val="20"/>
                <w:szCs w:val="20"/>
              </w:rPr>
              <w:t>852.74</w:t>
            </w:r>
          </w:p>
        </w:tc>
      </w:tr>
      <w:tr w:rsidR="00015A86" w:rsidRPr="007239A6" w14:paraId="3B6C1850" w14:textId="722E8581" w:rsidTr="00181ACD">
        <w:trPr>
          <w:trHeight w:val="288"/>
        </w:trPr>
        <w:tc>
          <w:tcPr>
            <w:tcW w:w="1586" w:type="dxa"/>
            <w:tcBorders>
              <w:top w:val="nil"/>
              <w:left w:val="nil"/>
              <w:bottom w:val="nil"/>
              <w:right w:val="nil"/>
            </w:tcBorders>
            <w:shd w:val="clear" w:color="auto" w:fill="auto"/>
            <w:noWrap/>
            <w:vAlign w:val="bottom"/>
            <w:hideMark/>
          </w:tcPr>
          <w:p w14:paraId="3597BB8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Waterford</w:t>
            </w:r>
          </w:p>
        </w:tc>
        <w:tc>
          <w:tcPr>
            <w:tcW w:w="1261" w:type="dxa"/>
            <w:tcBorders>
              <w:top w:val="nil"/>
              <w:left w:val="nil"/>
              <w:bottom w:val="nil"/>
              <w:right w:val="nil"/>
            </w:tcBorders>
            <w:shd w:val="clear" w:color="auto" w:fill="auto"/>
            <w:noWrap/>
            <w:vAlign w:val="bottom"/>
          </w:tcPr>
          <w:p w14:paraId="19026601" w14:textId="58053F60" w:rsidR="00015A86" w:rsidRPr="007239A6" w:rsidRDefault="00015A86" w:rsidP="004C356D">
            <w:pPr>
              <w:spacing w:after="0" w:line="240" w:lineRule="auto"/>
              <w:jc w:val="right"/>
              <w:rPr>
                <w:color w:val="000000"/>
                <w:sz w:val="22"/>
                <w:szCs w:val="22"/>
                <w:lang w:bidi="ar-SA"/>
              </w:rPr>
            </w:pPr>
            <w:r w:rsidRPr="007239A6">
              <w:rPr>
                <w:sz w:val="20"/>
                <w:szCs w:val="20"/>
              </w:rPr>
              <w:t>6,907.3</w:t>
            </w:r>
          </w:p>
        </w:tc>
        <w:tc>
          <w:tcPr>
            <w:tcW w:w="1293" w:type="dxa"/>
            <w:tcBorders>
              <w:top w:val="nil"/>
              <w:left w:val="nil"/>
              <w:bottom w:val="nil"/>
              <w:right w:val="nil"/>
            </w:tcBorders>
            <w:shd w:val="clear" w:color="auto" w:fill="auto"/>
            <w:noWrap/>
            <w:vAlign w:val="bottom"/>
          </w:tcPr>
          <w:p w14:paraId="0C0FED76" w14:textId="7B5BEF50" w:rsidR="00015A86" w:rsidRPr="007239A6" w:rsidRDefault="00015A86" w:rsidP="004C356D">
            <w:pPr>
              <w:spacing w:after="0" w:line="240" w:lineRule="auto"/>
              <w:jc w:val="right"/>
              <w:rPr>
                <w:color w:val="000000"/>
                <w:sz w:val="22"/>
                <w:szCs w:val="22"/>
                <w:lang w:bidi="ar-SA"/>
              </w:rPr>
            </w:pPr>
            <w:r w:rsidRPr="007239A6">
              <w:rPr>
                <w:sz w:val="20"/>
                <w:szCs w:val="20"/>
              </w:rPr>
              <w:t xml:space="preserve">354 </w:t>
            </w:r>
          </w:p>
        </w:tc>
        <w:tc>
          <w:tcPr>
            <w:tcW w:w="1650" w:type="dxa"/>
            <w:tcBorders>
              <w:top w:val="nil"/>
              <w:left w:val="nil"/>
              <w:bottom w:val="nil"/>
              <w:right w:val="nil"/>
            </w:tcBorders>
            <w:shd w:val="clear" w:color="auto" w:fill="auto"/>
            <w:noWrap/>
            <w:vAlign w:val="bottom"/>
          </w:tcPr>
          <w:p w14:paraId="5A158B14" w14:textId="5DE74578" w:rsidR="00015A86" w:rsidRPr="007239A6" w:rsidRDefault="00015A86" w:rsidP="004C356D">
            <w:pPr>
              <w:spacing w:after="0" w:line="240" w:lineRule="auto"/>
              <w:jc w:val="right"/>
              <w:rPr>
                <w:color w:val="000000"/>
                <w:sz w:val="22"/>
                <w:szCs w:val="22"/>
                <w:lang w:bidi="ar-SA"/>
              </w:rPr>
            </w:pPr>
            <w:r w:rsidRPr="007239A6">
              <w:rPr>
                <w:sz w:val="20"/>
                <w:szCs w:val="20"/>
              </w:rPr>
              <w:t>2658.2</w:t>
            </w:r>
          </w:p>
        </w:tc>
        <w:tc>
          <w:tcPr>
            <w:tcW w:w="1289" w:type="dxa"/>
            <w:tcBorders>
              <w:top w:val="nil"/>
              <w:left w:val="nil"/>
              <w:bottom w:val="nil"/>
              <w:right w:val="nil"/>
            </w:tcBorders>
            <w:shd w:val="clear" w:color="auto" w:fill="auto"/>
            <w:noWrap/>
            <w:vAlign w:val="bottom"/>
          </w:tcPr>
          <w:p w14:paraId="0785557C" w14:textId="20CE76DB" w:rsidR="00015A86" w:rsidRPr="007239A6" w:rsidRDefault="00015A86" w:rsidP="004C356D">
            <w:pPr>
              <w:spacing w:after="0" w:line="240" w:lineRule="auto"/>
              <w:jc w:val="right"/>
              <w:rPr>
                <w:color w:val="000000"/>
                <w:sz w:val="22"/>
                <w:szCs w:val="22"/>
                <w:lang w:bidi="ar-SA"/>
              </w:rPr>
            </w:pPr>
            <w:r w:rsidRPr="007239A6">
              <w:rPr>
                <w:sz w:val="20"/>
                <w:szCs w:val="20"/>
              </w:rPr>
              <w:t xml:space="preserve">136 </w:t>
            </w:r>
          </w:p>
        </w:tc>
        <w:tc>
          <w:tcPr>
            <w:tcW w:w="1769" w:type="dxa"/>
            <w:tcBorders>
              <w:top w:val="nil"/>
              <w:left w:val="nil"/>
              <w:bottom w:val="nil"/>
              <w:right w:val="nil"/>
            </w:tcBorders>
            <w:vAlign w:val="bottom"/>
          </w:tcPr>
          <w:p w14:paraId="7891950C" w14:textId="34BC73E3" w:rsidR="00015A86" w:rsidRPr="00A54231" w:rsidRDefault="00015A86" w:rsidP="004C356D">
            <w:pPr>
              <w:spacing w:after="0" w:line="240" w:lineRule="auto"/>
              <w:jc w:val="right"/>
              <w:rPr>
                <w:sz w:val="20"/>
                <w:szCs w:val="20"/>
              </w:rPr>
            </w:pPr>
            <w:r w:rsidRPr="00A54231">
              <w:rPr>
                <w:color w:val="000000"/>
                <w:sz w:val="20"/>
                <w:szCs w:val="20"/>
              </w:rPr>
              <w:t>-1007.36</w:t>
            </w:r>
          </w:p>
        </w:tc>
      </w:tr>
      <w:tr w:rsidR="00015A86" w:rsidRPr="007239A6" w14:paraId="3CEDFE13" w14:textId="040FD3F1" w:rsidTr="00181ACD">
        <w:trPr>
          <w:trHeight w:val="288"/>
        </w:trPr>
        <w:tc>
          <w:tcPr>
            <w:tcW w:w="1586" w:type="dxa"/>
            <w:tcBorders>
              <w:top w:val="nil"/>
              <w:left w:val="nil"/>
              <w:bottom w:val="nil"/>
              <w:right w:val="nil"/>
            </w:tcBorders>
            <w:shd w:val="clear" w:color="auto" w:fill="auto"/>
            <w:noWrap/>
            <w:vAlign w:val="bottom"/>
            <w:hideMark/>
          </w:tcPr>
          <w:p w14:paraId="3CED8A7B"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Watertown</w:t>
            </w:r>
          </w:p>
        </w:tc>
        <w:tc>
          <w:tcPr>
            <w:tcW w:w="1261" w:type="dxa"/>
            <w:tcBorders>
              <w:top w:val="nil"/>
              <w:left w:val="nil"/>
              <w:bottom w:val="nil"/>
              <w:right w:val="nil"/>
            </w:tcBorders>
            <w:shd w:val="clear" w:color="auto" w:fill="auto"/>
            <w:noWrap/>
            <w:vAlign w:val="bottom"/>
          </w:tcPr>
          <w:p w14:paraId="7FE66D37" w14:textId="5C5D3451" w:rsidR="00015A86" w:rsidRPr="007239A6" w:rsidRDefault="00015A86" w:rsidP="004C356D">
            <w:pPr>
              <w:spacing w:after="0" w:line="240" w:lineRule="auto"/>
              <w:jc w:val="right"/>
              <w:rPr>
                <w:color w:val="000000"/>
                <w:sz w:val="22"/>
                <w:szCs w:val="22"/>
                <w:lang w:bidi="ar-SA"/>
              </w:rPr>
            </w:pPr>
            <w:r w:rsidRPr="007239A6">
              <w:rPr>
                <w:sz w:val="20"/>
                <w:szCs w:val="20"/>
              </w:rPr>
              <w:t>3,364.9</w:t>
            </w:r>
          </w:p>
        </w:tc>
        <w:tc>
          <w:tcPr>
            <w:tcW w:w="1293" w:type="dxa"/>
            <w:tcBorders>
              <w:top w:val="nil"/>
              <w:left w:val="nil"/>
              <w:bottom w:val="nil"/>
              <w:right w:val="nil"/>
            </w:tcBorders>
            <w:shd w:val="clear" w:color="auto" w:fill="auto"/>
            <w:noWrap/>
            <w:vAlign w:val="bottom"/>
          </w:tcPr>
          <w:p w14:paraId="45F8E3B2" w14:textId="10F8B9DD" w:rsidR="00015A86" w:rsidRPr="007239A6" w:rsidRDefault="00015A86" w:rsidP="004C356D">
            <w:pPr>
              <w:spacing w:after="0" w:line="240" w:lineRule="auto"/>
              <w:jc w:val="right"/>
              <w:rPr>
                <w:color w:val="000000"/>
                <w:sz w:val="22"/>
                <w:szCs w:val="22"/>
                <w:lang w:bidi="ar-SA"/>
              </w:rPr>
            </w:pPr>
            <w:r w:rsidRPr="007239A6">
              <w:rPr>
                <w:sz w:val="20"/>
                <w:szCs w:val="20"/>
              </w:rPr>
              <w:t xml:space="preserve">150 </w:t>
            </w:r>
          </w:p>
        </w:tc>
        <w:tc>
          <w:tcPr>
            <w:tcW w:w="1650" w:type="dxa"/>
            <w:tcBorders>
              <w:top w:val="nil"/>
              <w:left w:val="nil"/>
              <w:bottom w:val="nil"/>
              <w:right w:val="nil"/>
            </w:tcBorders>
            <w:shd w:val="clear" w:color="auto" w:fill="auto"/>
            <w:noWrap/>
            <w:vAlign w:val="bottom"/>
          </w:tcPr>
          <w:p w14:paraId="7844024C" w14:textId="0C60E6E3" w:rsidR="00015A86" w:rsidRPr="007239A6" w:rsidRDefault="00015A86" w:rsidP="004C356D">
            <w:pPr>
              <w:spacing w:after="0" w:line="240" w:lineRule="auto"/>
              <w:jc w:val="right"/>
              <w:rPr>
                <w:color w:val="000000"/>
                <w:sz w:val="22"/>
                <w:szCs w:val="22"/>
                <w:lang w:bidi="ar-SA"/>
              </w:rPr>
            </w:pPr>
            <w:r w:rsidRPr="007239A6">
              <w:rPr>
                <w:sz w:val="20"/>
                <w:szCs w:val="20"/>
              </w:rPr>
              <w:t>2119.1</w:t>
            </w:r>
          </w:p>
        </w:tc>
        <w:tc>
          <w:tcPr>
            <w:tcW w:w="1289" w:type="dxa"/>
            <w:tcBorders>
              <w:top w:val="nil"/>
              <w:left w:val="nil"/>
              <w:bottom w:val="nil"/>
              <w:right w:val="nil"/>
            </w:tcBorders>
            <w:shd w:val="clear" w:color="auto" w:fill="auto"/>
            <w:noWrap/>
            <w:vAlign w:val="bottom"/>
          </w:tcPr>
          <w:p w14:paraId="64190742" w14:textId="2BB284FA" w:rsidR="00015A86" w:rsidRPr="007239A6" w:rsidRDefault="00015A86" w:rsidP="004C356D">
            <w:pPr>
              <w:spacing w:after="0" w:line="240" w:lineRule="auto"/>
              <w:jc w:val="right"/>
              <w:rPr>
                <w:color w:val="000000"/>
                <w:sz w:val="22"/>
                <w:szCs w:val="22"/>
                <w:lang w:bidi="ar-SA"/>
              </w:rPr>
            </w:pPr>
            <w:r w:rsidRPr="007239A6">
              <w:rPr>
                <w:sz w:val="20"/>
                <w:szCs w:val="20"/>
              </w:rPr>
              <w:t xml:space="preserve">95 </w:t>
            </w:r>
          </w:p>
        </w:tc>
        <w:tc>
          <w:tcPr>
            <w:tcW w:w="1769" w:type="dxa"/>
            <w:tcBorders>
              <w:top w:val="nil"/>
              <w:left w:val="nil"/>
              <w:bottom w:val="nil"/>
              <w:right w:val="nil"/>
            </w:tcBorders>
            <w:vAlign w:val="bottom"/>
          </w:tcPr>
          <w:p w14:paraId="051ACC34" w14:textId="423BDDAF" w:rsidR="00015A86" w:rsidRPr="00A54231" w:rsidRDefault="00015A86" w:rsidP="004C356D">
            <w:pPr>
              <w:spacing w:after="0" w:line="240" w:lineRule="auto"/>
              <w:jc w:val="right"/>
              <w:rPr>
                <w:sz w:val="20"/>
                <w:szCs w:val="20"/>
              </w:rPr>
            </w:pPr>
            <w:r w:rsidRPr="00A54231">
              <w:rPr>
                <w:color w:val="000000"/>
                <w:sz w:val="20"/>
                <w:szCs w:val="20"/>
              </w:rPr>
              <w:t>68.29</w:t>
            </w:r>
          </w:p>
        </w:tc>
      </w:tr>
      <w:tr w:rsidR="00015A86" w:rsidRPr="007239A6" w14:paraId="45422E0C" w14:textId="7018A3F4" w:rsidTr="00181ACD">
        <w:trPr>
          <w:trHeight w:val="288"/>
        </w:trPr>
        <w:tc>
          <w:tcPr>
            <w:tcW w:w="1586" w:type="dxa"/>
            <w:tcBorders>
              <w:top w:val="nil"/>
              <w:left w:val="nil"/>
              <w:bottom w:val="nil"/>
              <w:right w:val="nil"/>
            </w:tcBorders>
            <w:shd w:val="clear" w:color="auto" w:fill="auto"/>
            <w:noWrap/>
            <w:vAlign w:val="bottom"/>
            <w:hideMark/>
          </w:tcPr>
          <w:p w14:paraId="1138ECC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West Hartford</w:t>
            </w:r>
          </w:p>
        </w:tc>
        <w:tc>
          <w:tcPr>
            <w:tcW w:w="1261" w:type="dxa"/>
            <w:tcBorders>
              <w:top w:val="nil"/>
              <w:left w:val="nil"/>
              <w:bottom w:val="nil"/>
              <w:right w:val="nil"/>
            </w:tcBorders>
            <w:shd w:val="clear" w:color="auto" w:fill="auto"/>
            <w:noWrap/>
            <w:vAlign w:val="bottom"/>
          </w:tcPr>
          <w:p w14:paraId="4FDF7763" w14:textId="7EACFD96" w:rsidR="00015A86" w:rsidRPr="007239A6" w:rsidRDefault="00015A86" w:rsidP="004C356D">
            <w:pPr>
              <w:spacing w:after="0" w:line="240" w:lineRule="auto"/>
              <w:jc w:val="right"/>
              <w:rPr>
                <w:color w:val="000000"/>
                <w:sz w:val="22"/>
                <w:szCs w:val="22"/>
                <w:lang w:bidi="ar-SA"/>
              </w:rPr>
            </w:pPr>
            <w:r w:rsidRPr="007239A6">
              <w:rPr>
                <w:sz w:val="20"/>
                <w:szCs w:val="20"/>
              </w:rPr>
              <w:t>10,996.4</w:t>
            </w:r>
          </w:p>
        </w:tc>
        <w:tc>
          <w:tcPr>
            <w:tcW w:w="1293" w:type="dxa"/>
            <w:tcBorders>
              <w:top w:val="nil"/>
              <w:left w:val="nil"/>
              <w:bottom w:val="nil"/>
              <w:right w:val="nil"/>
            </w:tcBorders>
            <w:shd w:val="clear" w:color="auto" w:fill="auto"/>
            <w:noWrap/>
            <w:vAlign w:val="bottom"/>
          </w:tcPr>
          <w:p w14:paraId="4AF3F18C" w14:textId="30FF190B" w:rsidR="00015A86" w:rsidRPr="007239A6" w:rsidRDefault="00015A86" w:rsidP="004C356D">
            <w:pPr>
              <w:spacing w:after="0" w:line="240" w:lineRule="auto"/>
              <w:jc w:val="right"/>
              <w:rPr>
                <w:color w:val="000000"/>
                <w:sz w:val="22"/>
                <w:szCs w:val="22"/>
                <w:lang w:bidi="ar-SA"/>
              </w:rPr>
            </w:pPr>
            <w:r w:rsidRPr="007239A6">
              <w:rPr>
                <w:sz w:val="20"/>
                <w:szCs w:val="20"/>
              </w:rPr>
              <w:t xml:space="preserve">174 </w:t>
            </w:r>
          </w:p>
        </w:tc>
        <w:tc>
          <w:tcPr>
            <w:tcW w:w="1650" w:type="dxa"/>
            <w:tcBorders>
              <w:top w:val="nil"/>
              <w:left w:val="nil"/>
              <w:bottom w:val="nil"/>
              <w:right w:val="nil"/>
            </w:tcBorders>
            <w:shd w:val="clear" w:color="auto" w:fill="auto"/>
            <w:noWrap/>
            <w:vAlign w:val="bottom"/>
          </w:tcPr>
          <w:p w14:paraId="0B8666DF" w14:textId="7C864137" w:rsidR="00015A86" w:rsidRPr="007239A6" w:rsidRDefault="00015A86" w:rsidP="004C356D">
            <w:pPr>
              <w:spacing w:after="0" w:line="240" w:lineRule="auto"/>
              <w:jc w:val="right"/>
              <w:rPr>
                <w:color w:val="000000"/>
                <w:sz w:val="22"/>
                <w:szCs w:val="22"/>
                <w:lang w:bidi="ar-SA"/>
              </w:rPr>
            </w:pPr>
            <w:r w:rsidRPr="007239A6">
              <w:rPr>
                <w:sz w:val="20"/>
                <w:szCs w:val="20"/>
              </w:rPr>
              <w:t>8250.6</w:t>
            </w:r>
          </w:p>
        </w:tc>
        <w:tc>
          <w:tcPr>
            <w:tcW w:w="1289" w:type="dxa"/>
            <w:tcBorders>
              <w:top w:val="nil"/>
              <w:left w:val="nil"/>
              <w:bottom w:val="nil"/>
              <w:right w:val="nil"/>
            </w:tcBorders>
            <w:shd w:val="clear" w:color="auto" w:fill="auto"/>
            <w:noWrap/>
            <w:vAlign w:val="bottom"/>
          </w:tcPr>
          <w:p w14:paraId="3E2538C7" w14:textId="7AA4475A" w:rsidR="00015A86" w:rsidRPr="007239A6" w:rsidRDefault="00015A86" w:rsidP="004C356D">
            <w:pPr>
              <w:spacing w:after="0" w:line="240" w:lineRule="auto"/>
              <w:jc w:val="right"/>
              <w:rPr>
                <w:color w:val="000000"/>
                <w:sz w:val="22"/>
                <w:szCs w:val="22"/>
                <w:lang w:bidi="ar-SA"/>
              </w:rPr>
            </w:pPr>
            <w:r w:rsidRPr="007239A6">
              <w:rPr>
                <w:sz w:val="20"/>
                <w:szCs w:val="20"/>
              </w:rPr>
              <w:t xml:space="preserve">130 </w:t>
            </w:r>
          </w:p>
        </w:tc>
        <w:tc>
          <w:tcPr>
            <w:tcW w:w="1769" w:type="dxa"/>
            <w:tcBorders>
              <w:top w:val="nil"/>
              <w:left w:val="nil"/>
              <w:bottom w:val="nil"/>
              <w:right w:val="nil"/>
            </w:tcBorders>
            <w:vAlign w:val="bottom"/>
          </w:tcPr>
          <w:p w14:paraId="287418D6" w14:textId="5DCE0336" w:rsidR="00015A86" w:rsidRPr="00A54231" w:rsidRDefault="00015A86" w:rsidP="004C356D">
            <w:pPr>
              <w:spacing w:after="0" w:line="240" w:lineRule="auto"/>
              <w:jc w:val="right"/>
              <w:rPr>
                <w:sz w:val="20"/>
                <w:szCs w:val="20"/>
              </w:rPr>
            </w:pPr>
            <w:r w:rsidRPr="00A54231">
              <w:rPr>
                <w:color w:val="000000"/>
                <w:sz w:val="20"/>
                <w:szCs w:val="20"/>
              </w:rPr>
              <w:t>267.00</w:t>
            </w:r>
          </w:p>
        </w:tc>
      </w:tr>
      <w:tr w:rsidR="00015A86" w:rsidRPr="007239A6" w14:paraId="0FDC207E" w14:textId="08E98936" w:rsidTr="00181ACD">
        <w:trPr>
          <w:trHeight w:val="288"/>
        </w:trPr>
        <w:tc>
          <w:tcPr>
            <w:tcW w:w="1586" w:type="dxa"/>
            <w:tcBorders>
              <w:top w:val="nil"/>
              <w:left w:val="nil"/>
              <w:bottom w:val="nil"/>
              <w:right w:val="nil"/>
            </w:tcBorders>
            <w:shd w:val="clear" w:color="auto" w:fill="auto"/>
            <w:noWrap/>
            <w:vAlign w:val="bottom"/>
            <w:hideMark/>
          </w:tcPr>
          <w:p w14:paraId="16ED6DE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West Haven</w:t>
            </w:r>
          </w:p>
        </w:tc>
        <w:tc>
          <w:tcPr>
            <w:tcW w:w="1261" w:type="dxa"/>
            <w:tcBorders>
              <w:top w:val="nil"/>
              <w:left w:val="nil"/>
              <w:bottom w:val="nil"/>
              <w:right w:val="nil"/>
            </w:tcBorders>
            <w:shd w:val="clear" w:color="auto" w:fill="auto"/>
            <w:noWrap/>
            <w:vAlign w:val="bottom"/>
          </w:tcPr>
          <w:p w14:paraId="2D9D43AE" w14:textId="4D894E7D" w:rsidR="00015A86" w:rsidRPr="007239A6" w:rsidRDefault="00015A86" w:rsidP="004C356D">
            <w:pPr>
              <w:spacing w:after="0" w:line="240" w:lineRule="auto"/>
              <w:jc w:val="right"/>
              <w:rPr>
                <w:color w:val="000000"/>
                <w:sz w:val="22"/>
                <w:szCs w:val="22"/>
                <w:lang w:bidi="ar-SA"/>
              </w:rPr>
            </w:pPr>
            <w:r w:rsidRPr="007239A6">
              <w:rPr>
                <w:sz w:val="20"/>
                <w:szCs w:val="20"/>
              </w:rPr>
              <w:t>2,997.7</w:t>
            </w:r>
          </w:p>
        </w:tc>
        <w:tc>
          <w:tcPr>
            <w:tcW w:w="1293" w:type="dxa"/>
            <w:tcBorders>
              <w:top w:val="nil"/>
              <w:left w:val="nil"/>
              <w:bottom w:val="nil"/>
              <w:right w:val="nil"/>
            </w:tcBorders>
            <w:shd w:val="clear" w:color="auto" w:fill="auto"/>
            <w:noWrap/>
            <w:vAlign w:val="bottom"/>
          </w:tcPr>
          <w:p w14:paraId="053A361E" w14:textId="457098F5" w:rsidR="00015A86" w:rsidRPr="007239A6" w:rsidRDefault="00015A86" w:rsidP="004C356D">
            <w:pPr>
              <w:spacing w:after="0" w:line="240" w:lineRule="auto"/>
              <w:jc w:val="right"/>
              <w:rPr>
                <w:color w:val="000000"/>
                <w:sz w:val="22"/>
                <w:szCs w:val="22"/>
                <w:lang w:bidi="ar-SA"/>
              </w:rPr>
            </w:pPr>
            <w:r w:rsidRPr="007239A6">
              <w:rPr>
                <w:sz w:val="20"/>
                <w:szCs w:val="20"/>
              </w:rPr>
              <w:t xml:space="preserve">54 </w:t>
            </w:r>
          </w:p>
        </w:tc>
        <w:tc>
          <w:tcPr>
            <w:tcW w:w="1650" w:type="dxa"/>
            <w:tcBorders>
              <w:top w:val="nil"/>
              <w:left w:val="nil"/>
              <w:bottom w:val="nil"/>
              <w:right w:val="nil"/>
            </w:tcBorders>
            <w:shd w:val="clear" w:color="auto" w:fill="auto"/>
            <w:noWrap/>
            <w:vAlign w:val="bottom"/>
          </w:tcPr>
          <w:p w14:paraId="253AD073" w14:textId="4580E85F" w:rsidR="00015A86" w:rsidRPr="007239A6" w:rsidRDefault="00015A86" w:rsidP="004C356D">
            <w:pPr>
              <w:spacing w:after="0" w:line="240" w:lineRule="auto"/>
              <w:jc w:val="right"/>
              <w:rPr>
                <w:color w:val="000000"/>
                <w:sz w:val="22"/>
                <w:szCs w:val="22"/>
                <w:lang w:bidi="ar-SA"/>
              </w:rPr>
            </w:pPr>
            <w:r w:rsidRPr="007239A6">
              <w:rPr>
                <w:sz w:val="20"/>
                <w:szCs w:val="20"/>
              </w:rPr>
              <w:t>6424.0</w:t>
            </w:r>
          </w:p>
        </w:tc>
        <w:tc>
          <w:tcPr>
            <w:tcW w:w="1289" w:type="dxa"/>
            <w:tcBorders>
              <w:top w:val="nil"/>
              <w:left w:val="nil"/>
              <w:bottom w:val="nil"/>
              <w:right w:val="nil"/>
            </w:tcBorders>
            <w:shd w:val="clear" w:color="auto" w:fill="auto"/>
            <w:noWrap/>
            <w:vAlign w:val="bottom"/>
          </w:tcPr>
          <w:p w14:paraId="5C5BA46B" w14:textId="0B52546A" w:rsidR="00015A86" w:rsidRPr="007239A6" w:rsidRDefault="00015A86" w:rsidP="004C356D">
            <w:pPr>
              <w:spacing w:after="0" w:line="240" w:lineRule="auto"/>
              <w:jc w:val="right"/>
              <w:rPr>
                <w:color w:val="000000"/>
                <w:sz w:val="22"/>
                <w:szCs w:val="22"/>
                <w:lang w:bidi="ar-SA"/>
              </w:rPr>
            </w:pPr>
            <w:r w:rsidRPr="007239A6">
              <w:rPr>
                <w:sz w:val="20"/>
                <w:szCs w:val="20"/>
              </w:rPr>
              <w:t xml:space="preserve">116 </w:t>
            </w:r>
          </w:p>
        </w:tc>
        <w:tc>
          <w:tcPr>
            <w:tcW w:w="1769" w:type="dxa"/>
            <w:tcBorders>
              <w:top w:val="nil"/>
              <w:left w:val="nil"/>
              <w:bottom w:val="nil"/>
              <w:right w:val="nil"/>
            </w:tcBorders>
            <w:vAlign w:val="bottom"/>
          </w:tcPr>
          <w:p w14:paraId="2764645A" w14:textId="090A0718" w:rsidR="00015A86" w:rsidRPr="00A54231" w:rsidRDefault="00015A86" w:rsidP="004C356D">
            <w:pPr>
              <w:spacing w:after="0" w:line="240" w:lineRule="auto"/>
              <w:jc w:val="right"/>
              <w:rPr>
                <w:sz w:val="20"/>
                <w:szCs w:val="20"/>
              </w:rPr>
            </w:pPr>
            <w:r w:rsidRPr="00A54231">
              <w:rPr>
                <w:color w:val="000000"/>
                <w:sz w:val="20"/>
                <w:szCs w:val="20"/>
              </w:rPr>
              <w:t>737.33</w:t>
            </w:r>
          </w:p>
        </w:tc>
      </w:tr>
      <w:tr w:rsidR="00015A86" w:rsidRPr="007239A6" w14:paraId="5BFEDCB8" w14:textId="516A8E23" w:rsidTr="00181ACD">
        <w:trPr>
          <w:trHeight w:val="288"/>
        </w:trPr>
        <w:tc>
          <w:tcPr>
            <w:tcW w:w="1586" w:type="dxa"/>
            <w:tcBorders>
              <w:top w:val="nil"/>
              <w:left w:val="nil"/>
              <w:bottom w:val="nil"/>
              <w:right w:val="nil"/>
            </w:tcBorders>
            <w:shd w:val="clear" w:color="auto" w:fill="auto"/>
            <w:noWrap/>
            <w:vAlign w:val="bottom"/>
            <w:hideMark/>
          </w:tcPr>
          <w:p w14:paraId="0AD7303C"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Westbrook</w:t>
            </w:r>
          </w:p>
        </w:tc>
        <w:tc>
          <w:tcPr>
            <w:tcW w:w="1261" w:type="dxa"/>
            <w:tcBorders>
              <w:top w:val="nil"/>
              <w:left w:val="nil"/>
              <w:bottom w:val="nil"/>
              <w:right w:val="nil"/>
            </w:tcBorders>
            <w:shd w:val="clear" w:color="auto" w:fill="auto"/>
            <w:noWrap/>
            <w:vAlign w:val="bottom"/>
          </w:tcPr>
          <w:p w14:paraId="7C621295" w14:textId="2794F9F0" w:rsidR="00015A86" w:rsidRPr="007239A6" w:rsidRDefault="00015A86" w:rsidP="004C356D">
            <w:pPr>
              <w:spacing w:after="0" w:line="240" w:lineRule="auto"/>
              <w:jc w:val="right"/>
              <w:rPr>
                <w:color w:val="000000"/>
                <w:sz w:val="22"/>
                <w:szCs w:val="22"/>
                <w:lang w:bidi="ar-SA"/>
              </w:rPr>
            </w:pPr>
            <w:r w:rsidRPr="007239A6">
              <w:rPr>
                <w:sz w:val="20"/>
                <w:szCs w:val="20"/>
              </w:rPr>
              <w:t>1,816.2</w:t>
            </w:r>
          </w:p>
        </w:tc>
        <w:tc>
          <w:tcPr>
            <w:tcW w:w="1293" w:type="dxa"/>
            <w:tcBorders>
              <w:top w:val="nil"/>
              <w:left w:val="nil"/>
              <w:bottom w:val="nil"/>
              <w:right w:val="nil"/>
            </w:tcBorders>
            <w:shd w:val="clear" w:color="auto" w:fill="auto"/>
            <w:noWrap/>
            <w:vAlign w:val="bottom"/>
          </w:tcPr>
          <w:p w14:paraId="596FE573" w14:textId="0BA8C04E" w:rsidR="00015A86" w:rsidRPr="007239A6" w:rsidRDefault="00015A86" w:rsidP="004C356D">
            <w:pPr>
              <w:spacing w:after="0" w:line="240" w:lineRule="auto"/>
              <w:jc w:val="right"/>
              <w:rPr>
                <w:color w:val="000000"/>
                <w:sz w:val="22"/>
                <w:szCs w:val="22"/>
                <w:lang w:bidi="ar-SA"/>
              </w:rPr>
            </w:pPr>
            <w:r w:rsidRPr="007239A6">
              <w:rPr>
                <w:sz w:val="20"/>
                <w:szCs w:val="20"/>
              </w:rPr>
              <w:t xml:space="preserve">262 </w:t>
            </w:r>
          </w:p>
        </w:tc>
        <w:tc>
          <w:tcPr>
            <w:tcW w:w="1650" w:type="dxa"/>
            <w:tcBorders>
              <w:top w:val="nil"/>
              <w:left w:val="nil"/>
              <w:bottom w:val="nil"/>
              <w:right w:val="nil"/>
            </w:tcBorders>
            <w:shd w:val="clear" w:color="auto" w:fill="auto"/>
            <w:noWrap/>
            <w:vAlign w:val="bottom"/>
          </w:tcPr>
          <w:p w14:paraId="34C2486A" w14:textId="7D5F550E" w:rsidR="00015A86" w:rsidRPr="007239A6" w:rsidRDefault="00015A86" w:rsidP="004C356D">
            <w:pPr>
              <w:spacing w:after="0" w:line="240" w:lineRule="auto"/>
              <w:jc w:val="right"/>
              <w:rPr>
                <w:color w:val="000000"/>
                <w:sz w:val="22"/>
                <w:szCs w:val="22"/>
                <w:lang w:bidi="ar-SA"/>
              </w:rPr>
            </w:pPr>
            <w:r w:rsidRPr="007239A6">
              <w:rPr>
                <w:sz w:val="20"/>
                <w:szCs w:val="20"/>
              </w:rPr>
              <w:t>907.1</w:t>
            </w:r>
          </w:p>
        </w:tc>
        <w:tc>
          <w:tcPr>
            <w:tcW w:w="1289" w:type="dxa"/>
            <w:tcBorders>
              <w:top w:val="nil"/>
              <w:left w:val="nil"/>
              <w:bottom w:val="nil"/>
              <w:right w:val="nil"/>
            </w:tcBorders>
            <w:shd w:val="clear" w:color="auto" w:fill="auto"/>
            <w:noWrap/>
            <w:vAlign w:val="bottom"/>
          </w:tcPr>
          <w:p w14:paraId="1C60E9F8" w14:textId="707D1EC7" w:rsidR="00015A86" w:rsidRPr="007239A6" w:rsidRDefault="00015A86" w:rsidP="004C356D">
            <w:pPr>
              <w:spacing w:after="0" w:line="240" w:lineRule="auto"/>
              <w:jc w:val="right"/>
              <w:rPr>
                <w:color w:val="000000"/>
                <w:sz w:val="22"/>
                <w:szCs w:val="22"/>
                <w:lang w:bidi="ar-SA"/>
              </w:rPr>
            </w:pPr>
            <w:r w:rsidRPr="007239A6">
              <w:rPr>
                <w:sz w:val="20"/>
                <w:szCs w:val="20"/>
              </w:rPr>
              <w:t xml:space="preserve">131 </w:t>
            </w:r>
          </w:p>
        </w:tc>
        <w:tc>
          <w:tcPr>
            <w:tcW w:w="1769" w:type="dxa"/>
            <w:tcBorders>
              <w:top w:val="nil"/>
              <w:left w:val="nil"/>
              <w:bottom w:val="nil"/>
              <w:right w:val="nil"/>
            </w:tcBorders>
            <w:vAlign w:val="bottom"/>
          </w:tcPr>
          <w:p w14:paraId="2CE64B2D" w14:textId="14B9E62F" w:rsidR="00015A86" w:rsidRPr="00A54231" w:rsidRDefault="00015A86" w:rsidP="004C356D">
            <w:pPr>
              <w:spacing w:after="0" w:line="240" w:lineRule="auto"/>
              <w:jc w:val="right"/>
              <w:rPr>
                <w:sz w:val="20"/>
                <w:szCs w:val="20"/>
              </w:rPr>
            </w:pPr>
            <w:r w:rsidRPr="00A54231">
              <w:rPr>
                <w:color w:val="000000"/>
                <w:sz w:val="20"/>
                <w:szCs w:val="20"/>
              </w:rPr>
              <w:t>-1097.57</w:t>
            </w:r>
          </w:p>
        </w:tc>
      </w:tr>
      <w:tr w:rsidR="00015A86" w:rsidRPr="007239A6" w14:paraId="05091833" w14:textId="19DED7F0" w:rsidTr="00181ACD">
        <w:trPr>
          <w:trHeight w:val="288"/>
        </w:trPr>
        <w:tc>
          <w:tcPr>
            <w:tcW w:w="1586" w:type="dxa"/>
            <w:tcBorders>
              <w:top w:val="nil"/>
              <w:left w:val="nil"/>
              <w:bottom w:val="nil"/>
              <w:right w:val="nil"/>
            </w:tcBorders>
            <w:shd w:val="clear" w:color="auto" w:fill="auto"/>
            <w:noWrap/>
            <w:vAlign w:val="bottom"/>
            <w:hideMark/>
          </w:tcPr>
          <w:p w14:paraId="5B666BA3"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Weston</w:t>
            </w:r>
          </w:p>
        </w:tc>
        <w:tc>
          <w:tcPr>
            <w:tcW w:w="1261" w:type="dxa"/>
            <w:tcBorders>
              <w:top w:val="nil"/>
              <w:left w:val="nil"/>
              <w:bottom w:val="nil"/>
              <w:right w:val="nil"/>
            </w:tcBorders>
            <w:shd w:val="clear" w:color="auto" w:fill="auto"/>
            <w:noWrap/>
            <w:vAlign w:val="bottom"/>
          </w:tcPr>
          <w:p w14:paraId="033C4288" w14:textId="19452E94" w:rsidR="00015A86" w:rsidRPr="007239A6" w:rsidRDefault="00015A86" w:rsidP="004C356D">
            <w:pPr>
              <w:spacing w:after="0" w:line="240" w:lineRule="auto"/>
              <w:jc w:val="right"/>
              <w:rPr>
                <w:color w:val="000000"/>
                <w:sz w:val="22"/>
                <w:szCs w:val="22"/>
                <w:lang w:bidi="ar-SA"/>
              </w:rPr>
            </w:pPr>
            <w:r w:rsidRPr="007239A6">
              <w:rPr>
                <w:sz w:val="20"/>
                <w:szCs w:val="20"/>
              </w:rPr>
              <w:t>191.4</w:t>
            </w:r>
          </w:p>
        </w:tc>
        <w:tc>
          <w:tcPr>
            <w:tcW w:w="1293" w:type="dxa"/>
            <w:tcBorders>
              <w:top w:val="nil"/>
              <w:left w:val="nil"/>
              <w:bottom w:val="nil"/>
              <w:right w:val="nil"/>
            </w:tcBorders>
            <w:shd w:val="clear" w:color="auto" w:fill="auto"/>
            <w:noWrap/>
            <w:vAlign w:val="bottom"/>
          </w:tcPr>
          <w:p w14:paraId="39D1079D" w14:textId="63E626E2" w:rsidR="00015A86" w:rsidRPr="007239A6" w:rsidRDefault="00015A86" w:rsidP="004C356D">
            <w:pPr>
              <w:spacing w:after="0" w:line="240" w:lineRule="auto"/>
              <w:jc w:val="right"/>
              <w:rPr>
                <w:color w:val="000000"/>
                <w:sz w:val="22"/>
                <w:szCs w:val="22"/>
                <w:lang w:bidi="ar-SA"/>
              </w:rPr>
            </w:pPr>
            <w:r w:rsidRPr="007239A6">
              <w:rPr>
                <w:sz w:val="20"/>
                <w:szCs w:val="20"/>
              </w:rPr>
              <w:t xml:space="preserve">19 </w:t>
            </w:r>
          </w:p>
        </w:tc>
        <w:tc>
          <w:tcPr>
            <w:tcW w:w="1650" w:type="dxa"/>
            <w:tcBorders>
              <w:top w:val="nil"/>
              <w:left w:val="nil"/>
              <w:bottom w:val="nil"/>
              <w:right w:val="nil"/>
            </w:tcBorders>
            <w:shd w:val="clear" w:color="auto" w:fill="auto"/>
            <w:noWrap/>
            <w:vAlign w:val="bottom"/>
          </w:tcPr>
          <w:p w14:paraId="231DF253" w14:textId="4D4F0467" w:rsidR="00015A86" w:rsidRPr="007239A6" w:rsidRDefault="00015A86" w:rsidP="004C356D">
            <w:pPr>
              <w:spacing w:after="0" w:line="240" w:lineRule="auto"/>
              <w:jc w:val="right"/>
              <w:rPr>
                <w:color w:val="000000"/>
                <w:sz w:val="22"/>
                <w:szCs w:val="22"/>
                <w:lang w:bidi="ar-SA"/>
              </w:rPr>
            </w:pPr>
            <w:r w:rsidRPr="007239A6">
              <w:rPr>
                <w:sz w:val="20"/>
                <w:szCs w:val="20"/>
              </w:rPr>
              <w:t>1119.9</w:t>
            </w:r>
          </w:p>
        </w:tc>
        <w:tc>
          <w:tcPr>
            <w:tcW w:w="1289" w:type="dxa"/>
            <w:tcBorders>
              <w:top w:val="nil"/>
              <w:left w:val="nil"/>
              <w:bottom w:val="nil"/>
              <w:right w:val="nil"/>
            </w:tcBorders>
            <w:shd w:val="clear" w:color="auto" w:fill="auto"/>
            <w:noWrap/>
            <w:vAlign w:val="bottom"/>
          </w:tcPr>
          <w:p w14:paraId="4EE60DED" w14:textId="0B12A1F2" w:rsidR="00015A86" w:rsidRPr="007239A6" w:rsidRDefault="00015A86" w:rsidP="004C356D">
            <w:pPr>
              <w:spacing w:after="0" w:line="240" w:lineRule="auto"/>
              <w:jc w:val="right"/>
              <w:rPr>
                <w:color w:val="000000"/>
                <w:sz w:val="22"/>
                <w:szCs w:val="22"/>
                <w:lang w:bidi="ar-SA"/>
              </w:rPr>
            </w:pPr>
            <w:r w:rsidRPr="007239A6">
              <w:rPr>
                <w:sz w:val="20"/>
                <w:szCs w:val="20"/>
              </w:rPr>
              <w:t xml:space="preserve">109 </w:t>
            </w:r>
          </w:p>
        </w:tc>
        <w:tc>
          <w:tcPr>
            <w:tcW w:w="1769" w:type="dxa"/>
            <w:tcBorders>
              <w:top w:val="nil"/>
              <w:left w:val="nil"/>
              <w:bottom w:val="nil"/>
              <w:right w:val="nil"/>
            </w:tcBorders>
            <w:vAlign w:val="bottom"/>
          </w:tcPr>
          <w:p w14:paraId="763A1477" w14:textId="7EF7C6DF" w:rsidR="00015A86" w:rsidRPr="00A54231" w:rsidRDefault="00015A86" w:rsidP="004C356D">
            <w:pPr>
              <w:spacing w:after="0" w:line="240" w:lineRule="auto"/>
              <w:jc w:val="right"/>
              <w:rPr>
                <w:sz w:val="20"/>
                <w:szCs w:val="20"/>
              </w:rPr>
            </w:pPr>
            <w:r w:rsidRPr="00A54231">
              <w:rPr>
                <w:color w:val="000000"/>
                <w:sz w:val="20"/>
                <w:szCs w:val="20"/>
              </w:rPr>
              <w:t>-2074.14</w:t>
            </w:r>
          </w:p>
        </w:tc>
      </w:tr>
      <w:tr w:rsidR="00015A86" w:rsidRPr="007239A6" w14:paraId="49770110" w14:textId="2D301191" w:rsidTr="00181ACD">
        <w:trPr>
          <w:trHeight w:val="288"/>
        </w:trPr>
        <w:tc>
          <w:tcPr>
            <w:tcW w:w="1586" w:type="dxa"/>
            <w:tcBorders>
              <w:top w:val="nil"/>
              <w:left w:val="nil"/>
              <w:bottom w:val="nil"/>
              <w:right w:val="nil"/>
            </w:tcBorders>
            <w:shd w:val="clear" w:color="auto" w:fill="auto"/>
            <w:noWrap/>
            <w:vAlign w:val="bottom"/>
            <w:hideMark/>
          </w:tcPr>
          <w:p w14:paraId="48F21612"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Westport</w:t>
            </w:r>
          </w:p>
        </w:tc>
        <w:tc>
          <w:tcPr>
            <w:tcW w:w="1261" w:type="dxa"/>
            <w:tcBorders>
              <w:top w:val="nil"/>
              <w:left w:val="nil"/>
              <w:bottom w:val="nil"/>
              <w:right w:val="nil"/>
            </w:tcBorders>
            <w:shd w:val="clear" w:color="auto" w:fill="auto"/>
            <w:noWrap/>
            <w:vAlign w:val="bottom"/>
          </w:tcPr>
          <w:p w14:paraId="0A459D90" w14:textId="0E1894B2" w:rsidR="00015A86" w:rsidRPr="007239A6" w:rsidRDefault="00015A86" w:rsidP="004C356D">
            <w:pPr>
              <w:spacing w:after="0" w:line="240" w:lineRule="auto"/>
              <w:jc w:val="right"/>
              <w:rPr>
                <w:color w:val="000000"/>
                <w:sz w:val="22"/>
                <w:szCs w:val="22"/>
                <w:lang w:bidi="ar-SA"/>
              </w:rPr>
            </w:pPr>
            <w:r w:rsidRPr="007239A6">
              <w:rPr>
                <w:sz w:val="20"/>
                <w:szCs w:val="20"/>
              </w:rPr>
              <w:t>7,877.4</w:t>
            </w:r>
          </w:p>
        </w:tc>
        <w:tc>
          <w:tcPr>
            <w:tcW w:w="1293" w:type="dxa"/>
            <w:tcBorders>
              <w:top w:val="nil"/>
              <w:left w:val="nil"/>
              <w:bottom w:val="nil"/>
              <w:right w:val="nil"/>
            </w:tcBorders>
            <w:shd w:val="clear" w:color="auto" w:fill="auto"/>
            <w:noWrap/>
            <w:vAlign w:val="bottom"/>
          </w:tcPr>
          <w:p w14:paraId="2BBA5BCE" w14:textId="0F6E8EEF" w:rsidR="00015A86" w:rsidRPr="007239A6" w:rsidRDefault="00015A86" w:rsidP="004C356D">
            <w:pPr>
              <w:spacing w:after="0" w:line="240" w:lineRule="auto"/>
              <w:jc w:val="right"/>
              <w:rPr>
                <w:color w:val="000000"/>
                <w:sz w:val="22"/>
                <w:szCs w:val="22"/>
                <w:lang w:bidi="ar-SA"/>
              </w:rPr>
            </w:pPr>
            <w:r w:rsidRPr="007239A6">
              <w:rPr>
                <w:sz w:val="20"/>
                <w:szCs w:val="20"/>
              </w:rPr>
              <w:t xml:space="preserve">294 </w:t>
            </w:r>
          </w:p>
        </w:tc>
        <w:tc>
          <w:tcPr>
            <w:tcW w:w="1650" w:type="dxa"/>
            <w:tcBorders>
              <w:top w:val="nil"/>
              <w:left w:val="nil"/>
              <w:bottom w:val="nil"/>
              <w:right w:val="nil"/>
            </w:tcBorders>
            <w:shd w:val="clear" w:color="auto" w:fill="auto"/>
            <w:noWrap/>
            <w:vAlign w:val="bottom"/>
          </w:tcPr>
          <w:p w14:paraId="2760B40C" w14:textId="6B68C93E" w:rsidR="00015A86" w:rsidRPr="007239A6" w:rsidRDefault="00015A86" w:rsidP="004C356D">
            <w:pPr>
              <w:spacing w:after="0" w:line="240" w:lineRule="auto"/>
              <w:jc w:val="right"/>
              <w:rPr>
                <w:color w:val="000000"/>
                <w:sz w:val="22"/>
                <w:szCs w:val="22"/>
                <w:lang w:bidi="ar-SA"/>
              </w:rPr>
            </w:pPr>
            <w:r w:rsidRPr="007239A6">
              <w:rPr>
                <w:sz w:val="20"/>
                <w:szCs w:val="20"/>
              </w:rPr>
              <w:t>5103.7</w:t>
            </w:r>
          </w:p>
        </w:tc>
        <w:tc>
          <w:tcPr>
            <w:tcW w:w="1289" w:type="dxa"/>
            <w:tcBorders>
              <w:top w:val="nil"/>
              <w:left w:val="nil"/>
              <w:bottom w:val="nil"/>
              <w:right w:val="nil"/>
            </w:tcBorders>
            <w:shd w:val="clear" w:color="auto" w:fill="auto"/>
            <w:noWrap/>
            <w:vAlign w:val="bottom"/>
          </w:tcPr>
          <w:p w14:paraId="43E7EB67" w14:textId="64DB78E2" w:rsidR="00015A86" w:rsidRPr="007239A6" w:rsidRDefault="00015A86" w:rsidP="004C356D">
            <w:pPr>
              <w:spacing w:after="0" w:line="240" w:lineRule="auto"/>
              <w:jc w:val="right"/>
              <w:rPr>
                <w:color w:val="000000"/>
                <w:sz w:val="22"/>
                <w:szCs w:val="22"/>
                <w:lang w:bidi="ar-SA"/>
              </w:rPr>
            </w:pPr>
            <w:r w:rsidRPr="007239A6">
              <w:rPr>
                <w:sz w:val="20"/>
                <w:szCs w:val="20"/>
              </w:rPr>
              <w:t xml:space="preserve">191 </w:t>
            </w:r>
          </w:p>
        </w:tc>
        <w:tc>
          <w:tcPr>
            <w:tcW w:w="1769" w:type="dxa"/>
            <w:tcBorders>
              <w:top w:val="nil"/>
              <w:left w:val="nil"/>
              <w:bottom w:val="nil"/>
              <w:right w:val="nil"/>
            </w:tcBorders>
            <w:vAlign w:val="bottom"/>
          </w:tcPr>
          <w:p w14:paraId="3D54C940" w14:textId="386F4F00" w:rsidR="00015A86" w:rsidRPr="00A54231" w:rsidRDefault="00015A86" w:rsidP="004C356D">
            <w:pPr>
              <w:spacing w:after="0" w:line="240" w:lineRule="auto"/>
              <w:jc w:val="right"/>
              <w:rPr>
                <w:sz w:val="20"/>
                <w:szCs w:val="20"/>
              </w:rPr>
            </w:pPr>
            <w:r w:rsidRPr="00A54231">
              <w:rPr>
                <w:color w:val="000000"/>
                <w:sz w:val="20"/>
                <w:szCs w:val="20"/>
              </w:rPr>
              <w:t>-3576.23</w:t>
            </w:r>
          </w:p>
        </w:tc>
      </w:tr>
      <w:tr w:rsidR="00015A86" w:rsidRPr="007239A6" w14:paraId="31AE207D" w14:textId="78B96141" w:rsidTr="00181ACD">
        <w:trPr>
          <w:trHeight w:val="288"/>
        </w:trPr>
        <w:tc>
          <w:tcPr>
            <w:tcW w:w="1586" w:type="dxa"/>
            <w:tcBorders>
              <w:top w:val="nil"/>
              <w:left w:val="nil"/>
              <w:bottom w:val="nil"/>
              <w:right w:val="nil"/>
            </w:tcBorders>
            <w:shd w:val="clear" w:color="auto" w:fill="auto"/>
            <w:noWrap/>
            <w:vAlign w:val="bottom"/>
            <w:hideMark/>
          </w:tcPr>
          <w:p w14:paraId="7570B17B"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Wethersfield</w:t>
            </w:r>
          </w:p>
        </w:tc>
        <w:tc>
          <w:tcPr>
            <w:tcW w:w="1261" w:type="dxa"/>
            <w:tcBorders>
              <w:top w:val="nil"/>
              <w:left w:val="nil"/>
              <w:bottom w:val="nil"/>
              <w:right w:val="nil"/>
            </w:tcBorders>
            <w:shd w:val="clear" w:color="auto" w:fill="auto"/>
            <w:noWrap/>
            <w:vAlign w:val="bottom"/>
          </w:tcPr>
          <w:p w14:paraId="7F55A062" w14:textId="600D3B97" w:rsidR="00015A86" w:rsidRPr="007239A6" w:rsidRDefault="00015A86" w:rsidP="004C356D">
            <w:pPr>
              <w:spacing w:after="0" w:line="240" w:lineRule="auto"/>
              <w:jc w:val="right"/>
              <w:rPr>
                <w:color w:val="000000"/>
                <w:sz w:val="22"/>
                <w:szCs w:val="22"/>
                <w:lang w:bidi="ar-SA"/>
              </w:rPr>
            </w:pPr>
            <w:r w:rsidRPr="007239A6">
              <w:rPr>
                <w:sz w:val="20"/>
                <w:szCs w:val="20"/>
              </w:rPr>
              <w:t>2,174.1</w:t>
            </w:r>
          </w:p>
        </w:tc>
        <w:tc>
          <w:tcPr>
            <w:tcW w:w="1293" w:type="dxa"/>
            <w:tcBorders>
              <w:top w:val="nil"/>
              <w:left w:val="nil"/>
              <w:bottom w:val="nil"/>
              <w:right w:val="nil"/>
            </w:tcBorders>
            <w:shd w:val="clear" w:color="auto" w:fill="auto"/>
            <w:noWrap/>
            <w:vAlign w:val="bottom"/>
          </w:tcPr>
          <w:p w14:paraId="12F6D49A" w14:textId="1F6E30B5" w:rsidR="00015A86" w:rsidRPr="007239A6" w:rsidRDefault="00015A86" w:rsidP="004C356D">
            <w:pPr>
              <w:spacing w:after="0" w:line="240" w:lineRule="auto"/>
              <w:jc w:val="right"/>
              <w:rPr>
                <w:color w:val="000000"/>
                <w:sz w:val="22"/>
                <w:szCs w:val="22"/>
                <w:lang w:bidi="ar-SA"/>
              </w:rPr>
            </w:pPr>
            <w:r w:rsidRPr="007239A6">
              <w:rPr>
                <w:sz w:val="20"/>
                <w:szCs w:val="20"/>
              </w:rPr>
              <w:t xml:space="preserve">82 </w:t>
            </w:r>
          </w:p>
        </w:tc>
        <w:tc>
          <w:tcPr>
            <w:tcW w:w="1650" w:type="dxa"/>
            <w:tcBorders>
              <w:top w:val="nil"/>
              <w:left w:val="nil"/>
              <w:bottom w:val="nil"/>
              <w:right w:val="nil"/>
            </w:tcBorders>
            <w:shd w:val="clear" w:color="auto" w:fill="auto"/>
            <w:noWrap/>
            <w:vAlign w:val="bottom"/>
          </w:tcPr>
          <w:p w14:paraId="2246DB4F" w14:textId="2DFD49F5" w:rsidR="00015A86" w:rsidRPr="007239A6" w:rsidRDefault="00015A86" w:rsidP="004C356D">
            <w:pPr>
              <w:spacing w:after="0" w:line="240" w:lineRule="auto"/>
              <w:jc w:val="right"/>
              <w:rPr>
                <w:color w:val="000000"/>
                <w:sz w:val="22"/>
                <w:szCs w:val="22"/>
                <w:lang w:bidi="ar-SA"/>
              </w:rPr>
            </w:pPr>
            <w:r w:rsidRPr="007239A6">
              <w:rPr>
                <w:sz w:val="20"/>
                <w:szCs w:val="20"/>
              </w:rPr>
              <w:t>3161.8</w:t>
            </w:r>
          </w:p>
        </w:tc>
        <w:tc>
          <w:tcPr>
            <w:tcW w:w="1289" w:type="dxa"/>
            <w:tcBorders>
              <w:top w:val="nil"/>
              <w:left w:val="nil"/>
              <w:bottom w:val="nil"/>
              <w:right w:val="nil"/>
            </w:tcBorders>
            <w:shd w:val="clear" w:color="auto" w:fill="auto"/>
            <w:noWrap/>
            <w:vAlign w:val="bottom"/>
          </w:tcPr>
          <w:p w14:paraId="1358247E" w14:textId="52B96A3D" w:rsidR="00015A86" w:rsidRPr="007239A6" w:rsidRDefault="00015A86" w:rsidP="004C356D">
            <w:pPr>
              <w:spacing w:after="0" w:line="240" w:lineRule="auto"/>
              <w:jc w:val="right"/>
              <w:rPr>
                <w:color w:val="000000"/>
                <w:sz w:val="22"/>
                <w:szCs w:val="22"/>
                <w:lang w:bidi="ar-SA"/>
              </w:rPr>
            </w:pPr>
            <w:r w:rsidRPr="007239A6">
              <w:rPr>
                <w:sz w:val="20"/>
                <w:szCs w:val="20"/>
              </w:rPr>
              <w:t xml:space="preserve">119 </w:t>
            </w:r>
          </w:p>
        </w:tc>
        <w:tc>
          <w:tcPr>
            <w:tcW w:w="1769" w:type="dxa"/>
            <w:tcBorders>
              <w:top w:val="nil"/>
              <w:left w:val="nil"/>
              <w:bottom w:val="nil"/>
              <w:right w:val="nil"/>
            </w:tcBorders>
            <w:vAlign w:val="bottom"/>
          </w:tcPr>
          <w:p w14:paraId="59534254" w14:textId="457B14A2" w:rsidR="00015A86" w:rsidRPr="00A54231" w:rsidRDefault="00015A86" w:rsidP="004C356D">
            <w:pPr>
              <w:spacing w:after="0" w:line="240" w:lineRule="auto"/>
              <w:jc w:val="right"/>
              <w:rPr>
                <w:sz w:val="20"/>
                <w:szCs w:val="20"/>
              </w:rPr>
            </w:pPr>
            <w:r w:rsidRPr="00A54231">
              <w:rPr>
                <w:color w:val="000000"/>
                <w:sz w:val="20"/>
                <w:szCs w:val="20"/>
              </w:rPr>
              <w:t>141.67</w:t>
            </w:r>
          </w:p>
        </w:tc>
      </w:tr>
      <w:tr w:rsidR="00015A86" w:rsidRPr="007239A6" w14:paraId="6EF2D989" w14:textId="6A2469C1" w:rsidTr="00181ACD">
        <w:trPr>
          <w:trHeight w:val="288"/>
        </w:trPr>
        <w:tc>
          <w:tcPr>
            <w:tcW w:w="1586" w:type="dxa"/>
            <w:tcBorders>
              <w:top w:val="nil"/>
              <w:left w:val="nil"/>
              <w:bottom w:val="nil"/>
              <w:right w:val="nil"/>
            </w:tcBorders>
            <w:shd w:val="clear" w:color="auto" w:fill="auto"/>
            <w:noWrap/>
            <w:vAlign w:val="bottom"/>
            <w:hideMark/>
          </w:tcPr>
          <w:p w14:paraId="00211D34"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Willington</w:t>
            </w:r>
          </w:p>
        </w:tc>
        <w:tc>
          <w:tcPr>
            <w:tcW w:w="1261" w:type="dxa"/>
            <w:tcBorders>
              <w:top w:val="nil"/>
              <w:left w:val="nil"/>
              <w:bottom w:val="nil"/>
              <w:right w:val="nil"/>
            </w:tcBorders>
            <w:shd w:val="clear" w:color="auto" w:fill="auto"/>
            <w:noWrap/>
            <w:vAlign w:val="bottom"/>
          </w:tcPr>
          <w:p w14:paraId="1169F370" w14:textId="76B40245" w:rsidR="00015A86" w:rsidRPr="007239A6" w:rsidRDefault="00015A86" w:rsidP="004C356D">
            <w:pPr>
              <w:spacing w:after="0" w:line="240" w:lineRule="auto"/>
              <w:jc w:val="right"/>
              <w:rPr>
                <w:color w:val="000000"/>
                <w:sz w:val="22"/>
                <w:szCs w:val="22"/>
                <w:lang w:bidi="ar-SA"/>
              </w:rPr>
            </w:pPr>
            <w:r w:rsidRPr="007239A6">
              <w:rPr>
                <w:sz w:val="20"/>
                <w:szCs w:val="20"/>
              </w:rPr>
              <w:t>401.6</w:t>
            </w:r>
          </w:p>
        </w:tc>
        <w:tc>
          <w:tcPr>
            <w:tcW w:w="1293" w:type="dxa"/>
            <w:tcBorders>
              <w:top w:val="nil"/>
              <w:left w:val="nil"/>
              <w:bottom w:val="nil"/>
              <w:right w:val="nil"/>
            </w:tcBorders>
            <w:shd w:val="clear" w:color="auto" w:fill="auto"/>
            <w:noWrap/>
            <w:vAlign w:val="bottom"/>
          </w:tcPr>
          <w:p w14:paraId="28ACD539" w14:textId="614F46F9" w:rsidR="00015A86" w:rsidRPr="007239A6" w:rsidRDefault="00015A86" w:rsidP="004C356D">
            <w:pPr>
              <w:spacing w:after="0" w:line="240" w:lineRule="auto"/>
              <w:jc w:val="right"/>
              <w:rPr>
                <w:color w:val="000000"/>
                <w:sz w:val="22"/>
                <w:szCs w:val="22"/>
                <w:lang w:bidi="ar-SA"/>
              </w:rPr>
            </w:pPr>
            <w:r w:rsidRPr="007239A6">
              <w:rPr>
                <w:sz w:val="20"/>
                <w:szCs w:val="20"/>
              </w:rPr>
              <w:t xml:space="preserve">67 </w:t>
            </w:r>
          </w:p>
        </w:tc>
        <w:tc>
          <w:tcPr>
            <w:tcW w:w="1650" w:type="dxa"/>
            <w:tcBorders>
              <w:top w:val="nil"/>
              <w:left w:val="nil"/>
              <w:bottom w:val="nil"/>
              <w:right w:val="nil"/>
            </w:tcBorders>
            <w:shd w:val="clear" w:color="auto" w:fill="auto"/>
            <w:noWrap/>
            <w:vAlign w:val="bottom"/>
          </w:tcPr>
          <w:p w14:paraId="097CC322" w14:textId="690B0E59" w:rsidR="00015A86" w:rsidRPr="007239A6" w:rsidRDefault="00015A86" w:rsidP="004C356D">
            <w:pPr>
              <w:spacing w:after="0" w:line="240" w:lineRule="auto"/>
              <w:jc w:val="right"/>
              <w:rPr>
                <w:color w:val="000000"/>
                <w:sz w:val="22"/>
                <w:szCs w:val="22"/>
                <w:lang w:bidi="ar-SA"/>
              </w:rPr>
            </w:pPr>
            <w:r w:rsidRPr="007239A6">
              <w:rPr>
                <w:sz w:val="20"/>
                <w:szCs w:val="20"/>
              </w:rPr>
              <w:t>625.5</w:t>
            </w:r>
          </w:p>
        </w:tc>
        <w:tc>
          <w:tcPr>
            <w:tcW w:w="1289" w:type="dxa"/>
            <w:tcBorders>
              <w:top w:val="nil"/>
              <w:left w:val="nil"/>
              <w:bottom w:val="nil"/>
              <w:right w:val="nil"/>
            </w:tcBorders>
            <w:shd w:val="clear" w:color="auto" w:fill="auto"/>
            <w:noWrap/>
            <w:vAlign w:val="bottom"/>
          </w:tcPr>
          <w:p w14:paraId="1256A9B9" w14:textId="2E2D94D5" w:rsidR="00015A86" w:rsidRPr="007239A6" w:rsidRDefault="00015A86" w:rsidP="004C356D">
            <w:pPr>
              <w:spacing w:after="0" w:line="240" w:lineRule="auto"/>
              <w:jc w:val="right"/>
              <w:rPr>
                <w:color w:val="000000"/>
                <w:sz w:val="22"/>
                <w:szCs w:val="22"/>
                <w:lang w:bidi="ar-SA"/>
              </w:rPr>
            </w:pPr>
            <w:r w:rsidRPr="007239A6">
              <w:rPr>
                <w:sz w:val="20"/>
                <w:szCs w:val="20"/>
              </w:rPr>
              <w:t xml:space="preserve">104 </w:t>
            </w:r>
          </w:p>
        </w:tc>
        <w:tc>
          <w:tcPr>
            <w:tcW w:w="1769" w:type="dxa"/>
            <w:tcBorders>
              <w:top w:val="nil"/>
              <w:left w:val="nil"/>
              <w:bottom w:val="nil"/>
              <w:right w:val="nil"/>
            </w:tcBorders>
            <w:vAlign w:val="bottom"/>
          </w:tcPr>
          <w:p w14:paraId="3DA2EE33" w14:textId="51B3AD02" w:rsidR="00015A86" w:rsidRPr="00A54231" w:rsidRDefault="00015A86" w:rsidP="004C356D">
            <w:pPr>
              <w:spacing w:after="0" w:line="240" w:lineRule="auto"/>
              <w:jc w:val="right"/>
              <w:rPr>
                <w:sz w:val="20"/>
                <w:szCs w:val="20"/>
              </w:rPr>
            </w:pPr>
            <w:r w:rsidRPr="00A54231">
              <w:rPr>
                <w:color w:val="000000"/>
                <w:sz w:val="20"/>
                <w:szCs w:val="20"/>
              </w:rPr>
              <w:t>198.23</w:t>
            </w:r>
          </w:p>
        </w:tc>
      </w:tr>
      <w:tr w:rsidR="00015A86" w:rsidRPr="007239A6" w14:paraId="079C2718" w14:textId="2E98E5C2" w:rsidTr="00181ACD">
        <w:trPr>
          <w:trHeight w:val="288"/>
        </w:trPr>
        <w:tc>
          <w:tcPr>
            <w:tcW w:w="1586" w:type="dxa"/>
            <w:tcBorders>
              <w:top w:val="nil"/>
              <w:left w:val="nil"/>
              <w:bottom w:val="nil"/>
              <w:right w:val="nil"/>
            </w:tcBorders>
            <w:shd w:val="clear" w:color="auto" w:fill="auto"/>
            <w:noWrap/>
            <w:vAlign w:val="bottom"/>
            <w:hideMark/>
          </w:tcPr>
          <w:p w14:paraId="759054C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Wilton</w:t>
            </w:r>
          </w:p>
        </w:tc>
        <w:tc>
          <w:tcPr>
            <w:tcW w:w="1261" w:type="dxa"/>
            <w:tcBorders>
              <w:top w:val="nil"/>
              <w:left w:val="nil"/>
              <w:bottom w:val="nil"/>
              <w:right w:val="nil"/>
            </w:tcBorders>
            <w:shd w:val="clear" w:color="auto" w:fill="auto"/>
            <w:noWrap/>
            <w:vAlign w:val="bottom"/>
          </w:tcPr>
          <w:p w14:paraId="3D123C60" w14:textId="72C7F8EA" w:rsidR="00015A86" w:rsidRPr="007239A6" w:rsidRDefault="00015A86" w:rsidP="004C356D">
            <w:pPr>
              <w:spacing w:after="0" w:line="240" w:lineRule="auto"/>
              <w:jc w:val="right"/>
              <w:rPr>
                <w:color w:val="000000"/>
                <w:sz w:val="22"/>
                <w:szCs w:val="22"/>
                <w:lang w:bidi="ar-SA"/>
              </w:rPr>
            </w:pPr>
            <w:r w:rsidRPr="007239A6">
              <w:rPr>
                <w:sz w:val="20"/>
                <w:szCs w:val="20"/>
              </w:rPr>
              <w:t>2,715.7</w:t>
            </w:r>
          </w:p>
        </w:tc>
        <w:tc>
          <w:tcPr>
            <w:tcW w:w="1293" w:type="dxa"/>
            <w:tcBorders>
              <w:top w:val="nil"/>
              <w:left w:val="nil"/>
              <w:bottom w:val="nil"/>
              <w:right w:val="nil"/>
            </w:tcBorders>
            <w:shd w:val="clear" w:color="auto" w:fill="auto"/>
            <w:noWrap/>
            <w:vAlign w:val="bottom"/>
          </w:tcPr>
          <w:p w14:paraId="7FA30B1C" w14:textId="3962B9A4" w:rsidR="00015A86" w:rsidRPr="007239A6" w:rsidRDefault="00015A86" w:rsidP="004C356D">
            <w:pPr>
              <w:spacing w:after="0" w:line="240" w:lineRule="auto"/>
              <w:jc w:val="right"/>
              <w:rPr>
                <w:color w:val="000000"/>
                <w:sz w:val="22"/>
                <w:szCs w:val="22"/>
                <w:lang w:bidi="ar-SA"/>
              </w:rPr>
            </w:pPr>
            <w:r w:rsidRPr="007239A6">
              <w:rPr>
                <w:sz w:val="20"/>
                <w:szCs w:val="20"/>
              </w:rPr>
              <w:t xml:space="preserve">148 </w:t>
            </w:r>
          </w:p>
        </w:tc>
        <w:tc>
          <w:tcPr>
            <w:tcW w:w="1650" w:type="dxa"/>
            <w:tcBorders>
              <w:top w:val="nil"/>
              <w:left w:val="nil"/>
              <w:bottom w:val="nil"/>
              <w:right w:val="nil"/>
            </w:tcBorders>
            <w:shd w:val="clear" w:color="auto" w:fill="auto"/>
            <w:noWrap/>
            <w:vAlign w:val="bottom"/>
          </w:tcPr>
          <w:p w14:paraId="2CEE2204" w14:textId="68325E12" w:rsidR="00015A86" w:rsidRPr="007239A6" w:rsidRDefault="00015A86" w:rsidP="004C356D">
            <w:pPr>
              <w:spacing w:after="0" w:line="240" w:lineRule="auto"/>
              <w:jc w:val="right"/>
              <w:rPr>
                <w:color w:val="000000"/>
                <w:sz w:val="22"/>
                <w:szCs w:val="22"/>
                <w:lang w:bidi="ar-SA"/>
              </w:rPr>
            </w:pPr>
            <w:r w:rsidRPr="007239A6">
              <w:rPr>
                <w:sz w:val="20"/>
                <w:szCs w:val="20"/>
              </w:rPr>
              <w:t>3787.4</w:t>
            </w:r>
          </w:p>
        </w:tc>
        <w:tc>
          <w:tcPr>
            <w:tcW w:w="1289" w:type="dxa"/>
            <w:tcBorders>
              <w:top w:val="nil"/>
              <w:left w:val="nil"/>
              <w:bottom w:val="nil"/>
              <w:right w:val="nil"/>
            </w:tcBorders>
            <w:shd w:val="clear" w:color="auto" w:fill="auto"/>
            <w:noWrap/>
            <w:vAlign w:val="bottom"/>
          </w:tcPr>
          <w:p w14:paraId="469BBC35" w14:textId="25B36DB9" w:rsidR="00015A86" w:rsidRPr="007239A6" w:rsidRDefault="00015A86" w:rsidP="004C356D">
            <w:pPr>
              <w:spacing w:after="0" w:line="240" w:lineRule="auto"/>
              <w:jc w:val="right"/>
              <w:rPr>
                <w:color w:val="000000"/>
                <w:sz w:val="22"/>
                <w:szCs w:val="22"/>
                <w:lang w:bidi="ar-SA"/>
              </w:rPr>
            </w:pPr>
            <w:r w:rsidRPr="007239A6">
              <w:rPr>
                <w:sz w:val="20"/>
                <w:szCs w:val="20"/>
              </w:rPr>
              <w:t xml:space="preserve">206 </w:t>
            </w:r>
          </w:p>
        </w:tc>
        <w:tc>
          <w:tcPr>
            <w:tcW w:w="1769" w:type="dxa"/>
            <w:tcBorders>
              <w:top w:val="nil"/>
              <w:left w:val="nil"/>
              <w:bottom w:val="nil"/>
              <w:right w:val="nil"/>
            </w:tcBorders>
            <w:vAlign w:val="bottom"/>
          </w:tcPr>
          <w:p w14:paraId="00D52801" w14:textId="4178F96F" w:rsidR="00015A86" w:rsidRPr="00A54231" w:rsidRDefault="00015A86" w:rsidP="004C356D">
            <w:pPr>
              <w:spacing w:after="0" w:line="240" w:lineRule="auto"/>
              <w:jc w:val="right"/>
              <w:rPr>
                <w:sz w:val="20"/>
                <w:szCs w:val="20"/>
              </w:rPr>
            </w:pPr>
            <w:r w:rsidRPr="00A54231">
              <w:rPr>
                <w:color w:val="000000"/>
                <w:sz w:val="20"/>
                <w:szCs w:val="20"/>
              </w:rPr>
              <w:t>-1962.56</w:t>
            </w:r>
          </w:p>
        </w:tc>
      </w:tr>
      <w:tr w:rsidR="00015A86" w:rsidRPr="007239A6" w14:paraId="1CBB2776" w14:textId="0C6C59E6" w:rsidTr="00181ACD">
        <w:trPr>
          <w:trHeight w:val="288"/>
        </w:trPr>
        <w:tc>
          <w:tcPr>
            <w:tcW w:w="1586" w:type="dxa"/>
            <w:tcBorders>
              <w:top w:val="nil"/>
              <w:left w:val="nil"/>
              <w:bottom w:val="nil"/>
              <w:right w:val="nil"/>
            </w:tcBorders>
            <w:shd w:val="clear" w:color="auto" w:fill="auto"/>
            <w:noWrap/>
            <w:vAlign w:val="bottom"/>
            <w:hideMark/>
          </w:tcPr>
          <w:p w14:paraId="0C947EB1"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Winchester</w:t>
            </w:r>
          </w:p>
        </w:tc>
        <w:tc>
          <w:tcPr>
            <w:tcW w:w="1261" w:type="dxa"/>
            <w:tcBorders>
              <w:top w:val="nil"/>
              <w:left w:val="nil"/>
              <w:bottom w:val="nil"/>
              <w:right w:val="nil"/>
            </w:tcBorders>
            <w:shd w:val="clear" w:color="auto" w:fill="auto"/>
            <w:noWrap/>
            <w:vAlign w:val="bottom"/>
          </w:tcPr>
          <w:p w14:paraId="37CCFDE7" w14:textId="7CA51FEA" w:rsidR="00015A86" w:rsidRPr="007239A6" w:rsidRDefault="00015A86" w:rsidP="004C356D">
            <w:pPr>
              <w:spacing w:after="0" w:line="240" w:lineRule="auto"/>
              <w:jc w:val="right"/>
              <w:rPr>
                <w:color w:val="000000"/>
                <w:sz w:val="22"/>
                <w:szCs w:val="22"/>
                <w:lang w:bidi="ar-SA"/>
              </w:rPr>
            </w:pPr>
            <w:r w:rsidRPr="007239A6">
              <w:rPr>
                <w:sz w:val="20"/>
                <w:szCs w:val="20"/>
              </w:rPr>
              <w:t>563.9</w:t>
            </w:r>
          </w:p>
        </w:tc>
        <w:tc>
          <w:tcPr>
            <w:tcW w:w="1293" w:type="dxa"/>
            <w:tcBorders>
              <w:top w:val="nil"/>
              <w:left w:val="nil"/>
              <w:bottom w:val="nil"/>
              <w:right w:val="nil"/>
            </w:tcBorders>
            <w:shd w:val="clear" w:color="auto" w:fill="auto"/>
            <w:noWrap/>
            <w:vAlign w:val="bottom"/>
          </w:tcPr>
          <w:p w14:paraId="4E356A33" w14:textId="1B7893BC" w:rsidR="00015A86" w:rsidRPr="007239A6" w:rsidRDefault="00015A86" w:rsidP="004C356D">
            <w:pPr>
              <w:spacing w:after="0" w:line="240" w:lineRule="auto"/>
              <w:jc w:val="right"/>
              <w:rPr>
                <w:color w:val="000000"/>
                <w:sz w:val="22"/>
                <w:szCs w:val="22"/>
                <w:lang w:bidi="ar-SA"/>
              </w:rPr>
            </w:pPr>
            <w:r w:rsidRPr="007239A6">
              <w:rPr>
                <w:sz w:val="20"/>
                <w:szCs w:val="20"/>
              </w:rPr>
              <w:t xml:space="preserve">51 </w:t>
            </w:r>
          </w:p>
        </w:tc>
        <w:tc>
          <w:tcPr>
            <w:tcW w:w="1650" w:type="dxa"/>
            <w:tcBorders>
              <w:top w:val="nil"/>
              <w:left w:val="nil"/>
              <w:bottom w:val="nil"/>
              <w:right w:val="nil"/>
            </w:tcBorders>
            <w:shd w:val="clear" w:color="auto" w:fill="auto"/>
            <w:noWrap/>
            <w:vAlign w:val="bottom"/>
          </w:tcPr>
          <w:p w14:paraId="7237F3DA" w14:textId="6F4FCE66" w:rsidR="00015A86" w:rsidRPr="007239A6" w:rsidRDefault="00015A86" w:rsidP="004C356D">
            <w:pPr>
              <w:spacing w:after="0" w:line="240" w:lineRule="auto"/>
              <w:jc w:val="right"/>
              <w:rPr>
                <w:color w:val="000000"/>
                <w:sz w:val="22"/>
                <w:szCs w:val="22"/>
                <w:lang w:bidi="ar-SA"/>
              </w:rPr>
            </w:pPr>
            <w:r w:rsidRPr="007239A6">
              <w:rPr>
                <w:sz w:val="20"/>
                <w:szCs w:val="20"/>
              </w:rPr>
              <w:t>1371.9</w:t>
            </w:r>
          </w:p>
        </w:tc>
        <w:tc>
          <w:tcPr>
            <w:tcW w:w="1289" w:type="dxa"/>
            <w:tcBorders>
              <w:top w:val="nil"/>
              <w:left w:val="nil"/>
              <w:bottom w:val="nil"/>
              <w:right w:val="nil"/>
            </w:tcBorders>
            <w:shd w:val="clear" w:color="auto" w:fill="auto"/>
            <w:noWrap/>
            <w:vAlign w:val="bottom"/>
          </w:tcPr>
          <w:p w14:paraId="6792DD6A" w14:textId="6F850A7A" w:rsidR="00015A86" w:rsidRPr="007239A6" w:rsidRDefault="00015A86" w:rsidP="004C356D">
            <w:pPr>
              <w:spacing w:after="0" w:line="240" w:lineRule="auto"/>
              <w:jc w:val="right"/>
              <w:rPr>
                <w:color w:val="000000"/>
                <w:sz w:val="22"/>
                <w:szCs w:val="22"/>
                <w:lang w:bidi="ar-SA"/>
              </w:rPr>
            </w:pPr>
            <w:r w:rsidRPr="007239A6">
              <w:rPr>
                <w:sz w:val="20"/>
                <w:szCs w:val="20"/>
              </w:rPr>
              <w:t xml:space="preserve">123 </w:t>
            </w:r>
          </w:p>
        </w:tc>
        <w:tc>
          <w:tcPr>
            <w:tcW w:w="1769" w:type="dxa"/>
            <w:tcBorders>
              <w:top w:val="nil"/>
              <w:left w:val="nil"/>
              <w:bottom w:val="nil"/>
              <w:right w:val="nil"/>
            </w:tcBorders>
            <w:vAlign w:val="bottom"/>
          </w:tcPr>
          <w:p w14:paraId="246A4CC7" w14:textId="561E119E" w:rsidR="00015A86" w:rsidRPr="00A54231" w:rsidRDefault="00015A86" w:rsidP="004C356D">
            <w:pPr>
              <w:spacing w:after="0" w:line="240" w:lineRule="auto"/>
              <w:jc w:val="right"/>
              <w:rPr>
                <w:sz w:val="20"/>
                <w:szCs w:val="20"/>
              </w:rPr>
            </w:pPr>
            <w:r w:rsidRPr="00A54231">
              <w:rPr>
                <w:color w:val="000000"/>
                <w:sz w:val="20"/>
                <w:szCs w:val="20"/>
              </w:rPr>
              <w:t>304.77</w:t>
            </w:r>
          </w:p>
        </w:tc>
      </w:tr>
      <w:tr w:rsidR="00015A86" w:rsidRPr="007239A6" w14:paraId="30B843BE" w14:textId="1D102375" w:rsidTr="00181ACD">
        <w:trPr>
          <w:trHeight w:val="288"/>
        </w:trPr>
        <w:tc>
          <w:tcPr>
            <w:tcW w:w="1586" w:type="dxa"/>
            <w:tcBorders>
              <w:top w:val="nil"/>
              <w:left w:val="nil"/>
              <w:bottom w:val="nil"/>
              <w:right w:val="nil"/>
            </w:tcBorders>
            <w:shd w:val="clear" w:color="auto" w:fill="auto"/>
            <w:noWrap/>
            <w:vAlign w:val="bottom"/>
            <w:hideMark/>
          </w:tcPr>
          <w:p w14:paraId="52E59C1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Windham</w:t>
            </w:r>
          </w:p>
        </w:tc>
        <w:tc>
          <w:tcPr>
            <w:tcW w:w="1261" w:type="dxa"/>
            <w:tcBorders>
              <w:top w:val="nil"/>
              <w:left w:val="nil"/>
              <w:bottom w:val="nil"/>
              <w:right w:val="nil"/>
            </w:tcBorders>
            <w:shd w:val="clear" w:color="auto" w:fill="auto"/>
            <w:noWrap/>
            <w:vAlign w:val="bottom"/>
          </w:tcPr>
          <w:p w14:paraId="4DA2812A" w14:textId="65C65E66" w:rsidR="00015A86" w:rsidRPr="007239A6" w:rsidRDefault="00015A86" w:rsidP="004C356D">
            <w:pPr>
              <w:spacing w:after="0" w:line="240" w:lineRule="auto"/>
              <w:jc w:val="right"/>
              <w:rPr>
                <w:color w:val="000000"/>
                <w:sz w:val="22"/>
                <w:szCs w:val="22"/>
                <w:lang w:bidi="ar-SA"/>
              </w:rPr>
            </w:pPr>
            <w:r w:rsidRPr="007239A6">
              <w:rPr>
                <w:sz w:val="20"/>
                <w:szCs w:val="20"/>
              </w:rPr>
              <w:t>2,717.0</w:t>
            </w:r>
          </w:p>
        </w:tc>
        <w:tc>
          <w:tcPr>
            <w:tcW w:w="1293" w:type="dxa"/>
            <w:tcBorders>
              <w:top w:val="nil"/>
              <w:left w:val="nil"/>
              <w:bottom w:val="nil"/>
              <w:right w:val="nil"/>
            </w:tcBorders>
            <w:shd w:val="clear" w:color="auto" w:fill="auto"/>
            <w:noWrap/>
            <w:vAlign w:val="bottom"/>
          </w:tcPr>
          <w:p w14:paraId="6E41FB6D" w14:textId="7BC84DE3" w:rsidR="00015A86" w:rsidRPr="007239A6" w:rsidRDefault="00015A86" w:rsidP="004C356D">
            <w:pPr>
              <w:spacing w:after="0" w:line="240" w:lineRule="auto"/>
              <w:jc w:val="right"/>
              <w:rPr>
                <w:color w:val="000000"/>
                <w:sz w:val="22"/>
                <w:szCs w:val="22"/>
                <w:lang w:bidi="ar-SA"/>
              </w:rPr>
            </w:pPr>
            <w:r w:rsidRPr="007239A6">
              <w:rPr>
                <w:sz w:val="20"/>
                <w:szCs w:val="20"/>
              </w:rPr>
              <w:t xml:space="preserve">107 </w:t>
            </w:r>
          </w:p>
        </w:tc>
        <w:tc>
          <w:tcPr>
            <w:tcW w:w="1650" w:type="dxa"/>
            <w:tcBorders>
              <w:top w:val="nil"/>
              <w:left w:val="nil"/>
              <w:bottom w:val="nil"/>
              <w:right w:val="nil"/>
            </w:tcBorders>
            <w:shd w:val="clear" w:color="auto" w:fill="auto"/>
            <w:noWrap/>
            <w:vAlign w:val="bottom"/>
          </w:tcPr>
          <w:p w14:paraId="74577643" w14:textId="63AE148A" w:rsidR="00015A86" w:rsidRPr="007239A6" w:rsidRDefault="00015A86" w:rsidP="004C356D">
            <w:pPr>
              <w:spacing w:after="0" w:line="240" w:lineRule="auto"/>
              <w:jc w:val="right"/>
              <w:rPr>
                <w:color w:val="000000"/>
                <w:sz w:val="22"/>
                <w:szCs w:val="22"/>
                <w:lang w:bidi="ar-SA"/>
              </w:rPr>
            </w:pPr>
            <w:r w:rsidRPr="007239A6">
              <w:rPr>
                <w:sz w:val="20"/>
                <w:szCs w:val="20"/>
              </w:rPr>
              <w:t>2944.7</w:t>
            </w:r>
          </w:p>
        </w:tc>
        <w:tc>
          <w:tcPr>
            <w:tcW w:w="1289" w:type="dxa"/>
            <w:tcBorders>
              <w:top w:val="nil"/>
              <w:left w:val="nil"/>
              <w:bottom w:val="nil"/>
              <w:right w:val="nil"/>
            </w:tcBorders>
            <w:shd w:val="clear" w:color="auto" w:fill="auto"/>
            <w:noWrap/>
            <w:vAlign w:val="bottom"/>
          </w:tcPr>
          <w:p w14:paraId="5A60D74F" w14:textId="5DEFD3F8" w:rsidR="00015A86" w:rsidRPr="007239A6" w:rsidRDefault="00015A86" w:rsidP="004C356D">
            <w:pPr>
              <w:spacing w:after="0" w:line="240" w:lineRule="auto"/>
              <w:jc w:val="right"/>
              <w:rPr>
                <w:color w:val="000000"/>
                <w:sz w:val="22"/>
                <w:szCs w:val="22"/>
                <w:lang w:bidi="ar-SA"/>
              </w:rPr>
            </w:pPr>
            <w:r w:rsidRPr="007239A6">
              <w:rPr>
                <w:sz w:val="20"/>
                <w:szCs w:val="20"/>
              </w:rPr>
              <w:t xml:space="preserve">116 </w:t>
            </w:r>
          </w:p>
        </w:tc>
        <w:tc>
          <w:tcPr>
            <w:tcW w:w="1769" w:type="dxa"/>
            <w:tcBorders>
              <w:top w:val="nil"/>
              <w:left w:val="nil"/>
              <w:bottom w:val="nil"/>
              <w:right w:val="nil"/>
            </w:tcBorders>
            <w:vAlign w:val="bottom"/>
          </w:tcPr>
          <w:p w14:paraId="4C98D017" w14:textId="615CA78A" w:rsidR="00015A86" w:rsidRPr="00A54231" w:rsidRDefault="00015A86" w:rsidP="004C356D">
            <w:pPr>
              <w:spacing w:after="0" w:line="240" w:lineRule="auto"/>
              <w:jc w:val="right"/>
              <w:rPr>
                <w:sz w:val="20"/>
                <w:szCs w:val="20"/>
              </w:rPr>
            </w:pPr>
            <w:r w:rsidRPr="00A54231">
              <w:rPr>
                <w:color w:val="000000"/>
                <w:sz w:val="20"/>
                <w:szCs w:val="20"/>
              </w:rPr>
              <w:t>856.37</w:t>
            </w:r>
          </w:p>
        </w:tc>
      </w:tr>
      <w:tr w:rsidR="00015A86" w:rsidRPr="007239A6" w14:paraId="7E804003" w14:textId="1D73D903" w:rsidTr="00181ACD">
        <w:trPr>
          <w:trHeight w:val="288"/>
        </w:trPr>
        <w:tc>
          <w:tcPr>
            <w:tcW w:w="1586" w:type="dxa"/>
            <w:tcBorders>
              <w:top w:val="nil"/>
              <w:left w:val="nil"/>
              <w:bottom w:val="nil"/>
              <w:right w:val="nil"/>
            </w:tcBorders>
            <w:shd w:val="clear" w:color="auto" w:fill="auto"/>
            <w:noWrap/>
            <w:vAlign w:val="bottom"/>
            <w:hideMark/>
          </w:tcPr>
          <w:p w14:paraId="280BAAEA"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Windsor</w:t>
            </w:r>
          </w:p>
        </w:tc>
        <w:tc>
          <w:tcPr>
            <w:tcW w:w="1261" w:type="dxa"/>
            <w:tcBorders>
              <w:top w:val="nil"/>
              <w:left w:val="nil"/>
              <w:bottom w:val="nil"/>
              <w:right w:val="nil"/>
            </w:tcBorders>
            <w:shd w:val="clear" w:color="auto" w:fill="auto"/>
            <w:noWrap/>
            <w:vAlign w:val="bottom"/>
          </w:tcPr>
          <w:p w14:paraId="62A89325" w14:textId="06205BC8" w:rsidR="00015A86" w:rsidRPr="007239A6" w:rsidRDefault="00015A86" w:rsidP="004C356D">
            <w:pPr>
              <w:spacing w:after="0" w:line="240" w:lineRule="auto"/>
              <w:jc w:val="right"/>
              <w:rPr>
                <w:color w:val="000000"/>
                <w:sz w:val="22"/>
                <w:szCs w:val="22"/>
                <w:lang w:bidi="ar-SA"/>
              </w:rPr>
            </w:pPr>
            <w:r w:rsidRPr="007239A6">
              <w:rPr>
                <w:sz w:val="20"/>
                <w:szCs w:val="20"/>
              </w:rPr>
              <w:t>3,575.7</w:t>
            </w:r>
          </w:p>
        </w:tc>
        <w:tc>
          <w:tcPr>
            <w:tcW w:w="1293" w:type="dxa"/>
            <w:tcBorders>
              <w:top w:val="nil"/>
              <w:left w:val="nil"/>
              <w:bottom w:val="nil"/>
              <w:right w:val="nil"/>
            </w:tcBorders>
            <w:shd w:val="clear" w:color="auto" w:fill="auto"/>
            <w:noWrap/>
            <w:vAlign w:val="bottom"/>
          </w:tcPr>
          <w:p w14:paraId="7821DEDC" w14:textId="4E60FF51" w:rsidR="00015A86" w:rsidRPr="007239A6" w:rsidRDefault="00015A86" w:rsidP="004C356D">
            <w:pPr>
              <w:spacing w:after="0" w:line="240" w:lineRule="auto"/>
              <w:jc w:val="right"/>
              <w:rPr>
                <w:color w:val="000000"/>
                <w:sz w:val="22"/>
                <w:szCs w:val="22"/>
                <w:lang w:bidi="ar-SA"/>
              </w:rPr>
            </w:pPr>
            <w:r w:rsidRPr="007239A6">
              <w:rPr>
                <w:sz w:val="20"/>
                <w:szCs w:val="20"/>
              </w:rPr>
              <w:t xml:space="preserve">123 </w:t>
            </w:r>
          </w:p>
        </w:tc>
        <w:tc>
          <w:tcPr>
            <w:tcW w:w="1650" w:type="dxa"/>
            <w:tcBorders>
              <w:top w:val="nil"/>
              <w:left w:val="nil"/>
              <w:bottom w:val="nil"/>
              <w:right w:val="nil"/>
            </w:tcBorders>
            <w:shd w:val="clear" w:color="auto" w:fill="auto"/>
            <w:noWrap/>
            <w:vAlign w:val="bottom"/>
          </w:tcPr>
          <w:p w14:paraId="466F97C1" w14:textId="2856EB25" w:rsidR="00015A86" w:rsidRPr="007239A6" w:rsidRDefault="00015A86" w:rsidP="004C356D">
            <w:pPr>
              <w:spacing w:after="0" w:line="240" w:lineRule="auto"/>
              <w:jc w:val="right"/>
              <w:rPr>
                <w:color w:val="000000"/>
                <w:sz w:val="22"/>
                <w:szCs w:val="22"/>
                <w:lang w:bidi="ar-SA"/>
              </w:rPr>
            </w:pPr>
            <w:r w:rsidRPr="007239A6">
              <w:rPr>
                <w:sz w:val="20"/>
                <w:szCs w:val="20"/>
              </w:rPr>
              <w:t>5225.0</w:t>
            </w:r>
          </w:p>
        </w:tc>
        <w:tc>
          <w:tcPr>
            <w:tcW w:w="1289" w:type="dxa"/>
            <w:tcBorders>
              <w:top w:val="nil"/>
              <w:left w:val="nil"/>
              <w:bottom w:val="nil"/>
              <w:right w:val="nil"/>
            </w:tcBorders>
            <w:shd w:val="clear" w:color="auto" w:fill="auto"/>
            <w:noWrap/>
            <w:vAlign w:val="bottom"/>
          </w:tcPr>
          <w:p w14:paraId="421DAE71" w14:textId="54A3AF6D" w:rsidR="00015A86" w:rsidRPr="007239A6" w:rsidRDefault="00015A86" w:rsidP="004C356D">
            <w:pPr>
              <w:spacing w:after="0" w:line="240" w:lineRule="auto"/>
              <w:jc w:val="right"/>
              <w:rPr>
                <w:color w:val="000000"/>
                <w:sz w:val="22"/>
                <w:szCs w:val="22"/>
                <w:lang w:bidi="ar-SA"/>
              </w:rPr>
            </w:pPr>
            <w:r w:rsidRPr="007239A6">
              <w:rPr>
                <w:sz w:val="20"/>
                <w:szCs w:val="20"/>
              </w:rPr>
              <w:t xml:space="preserve">180 </w:t>
            </w:r>
          </w:p>
        </w:tc>
        <w:tc>
          <w:tcPr>
            <w:tcW w:w="1769" w:type="dxa"/>
            <w:tcBorders>
              <w:top w:val="nil"/>
              <w:left w:val="nil"/>
              <w:bottom w:val="nil"/>
              <w:right w:val="nil"/>
            </w:tcBorders>
            <w:vAlign w:val="bottom"/>
          </w:tcPr>
          <w:p w14:paraId="73FC35B6" w14:textId="649C334C" w:rsidR="00015A86" w:rsidRPr="00A54231" w:rsidRDefault="00015A86" w:rsidP="004C356D">
            <w:pPr>
              <w:spacing w:after="0" w:line="240" w:lineRule="auto"/>
              <w:jc w:val="right"/>
              <w:rPr>
                <w:sz w:val="20"/>
                <w:szCs w:val="20"/>
              </w:rPr>
            </w:pPr>
            <w:r w:rsidRPr="00A54231">
              <w:rPr>
                <w:color w:val="000000"/>
                <w:sz w:val="20"/>
                <w:szCs w:val="20"/>
              </w:rPr>
              <w:t>82.87</w:t>
            </w:r>
          </w:p>
        </w:tc>
      </w:tr>
      <w:tr w:rsidR="00015A86" w:rsidRPr="007239A6" w14:paraId="0799D553" w14:textId="2DA57CE8" w:rsidTr="00181ACD">
        <w:trPr>
          <w:trHeight w:val="288"/>
        </w:trPr>
        <w:tc>
          <w:tcPr>
            <w:tcW w:w="1586" w:type="dxa"/>
            <w:tcBorders>
              <w:top w:val="nil"/>
              <w:left w:val="nil"/>
              <w:bottom w:val="nil"/>
              <w:right w:val="nil"/>
            </w:tcBorders>
            <w:shd w:val="clear" w:color="auto" w:fill="auto"/>
            <w:noWrap/>
            <w:vAlign w:val="bottom"/>
            <w:hideMark/>
          </w:tcPr>
          <w:p w14:paraId="19249FBD"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Windsor Locks</w:t>
            </w:r>
          </w:p>
        </w:tc>
        <w:tc>
          <w:tcPr>
            <w:tcW w:w="1261" w:type="dxa"/>
            <w:tcBorders>
              <w:top w:val="nil"/>
              <w:left w:val="nil"/>
              <w:bottom w:val="nil"/>
              <w:right w:val="nil"/>
            </w:tcBorders>
            <w:shd w:val="clear" w:color="auto" w:fill="auto"/>
            <w:noWrap/>
            <w:vAlign w:val="bottom"/>
          </w:tcPr>
          <w:p w14:paraId="2D10D7D3" w14:textId="226DAA46" w:rsidR="00015A86" w:rsidRPr="007239A6" w:rsidRDefault="00015A86" w:rsidP="004C356D">
            <w:pPr>
              <w:spacing w:after="0" w:line="240" w:lineRule="auto"/>
              <w:jc w:val="right"/>
              <w:rPr>
                <w:color w:val="000000"/>
                <w:sz w:val="22"/>
                <w:szCs w:val="22"/>
                <w:lang w:bidi="ar-SA"/>
              </w:rPr>
            </w:pPr>
            <w:r w:rsidRPr="007239A6">
              <w:rPr>
                <w:sz w:val="20"/>
                <w:szCs w:val="20"/>
              </w:rPr>
              <w:t>3,623.9</w:t>
            </w:r>
          </w:p>
        </w:tc>
        <w:tc>
          <w:tcPr>
            <w:tcW w:w="1293" w:type="dxa"/>
            <w:tcBorders>
              <w:top w:val="nil"/>
              <w:left w:val="nil"/>
              <w:bottom w:val="nil"/>
              <w:right w:val="nil"/>
            </w:tcBorders>
            <w:shd w:val="clear" w:color="auto" w:fill="auto"/>
            <w:noWrap/>
            <w:vAlign w:val="bottom"/>
          </w:tcPr>
          <w:p w14:paraId="7A347C09" w14:textId="7A2F9805" w:rsidR="00015A86" w:rsidRPr="007239A6" w:rsidRDefault="00015A86" w:rsidP="004C356D">
            <w:pPr>
              <w:spacing w:after="0" w:line="240" w:lineRule="auto"/>
              <w:jc w:val="right"/>
              <w:rPr>
                <w:color w:val="000000"/>
                <w:sz w:val="22"/>
                <w:szCs w:val="22"/>
                <w:lang w:bidi="ar-SA"/>
              </w:rPr>
            </w:pPr>
            <w:r w:rsidRPr="007239A6">
              <w:rPr>
                <w:sz w:val="20"/>
                <w:szCs w:val="20"/>
              </w:rPr>
              <w:t xml:space="preserve">289 </w:t>
            </w:r>
          </w:p>
        </w:tc>
        <w:tc>
          <w:tcPr>
            <w:tcW w:w="1650" w:type="dxa"/>
            <w:tcBorders>
              <w:top w:val="nil"/>
              <w:left w:val="nil"/>
              <w:bottom w:val="nil"/>
              <w:right w:val="nil"/>
            </w:tcBorders>
            <w:shd w:val="clear" w:color="auto" w:fill="auto"/>
            <w:noWrap/>
            <w:vAlign w:val="bottom"/>
          </w:tcPr>
          <w:p w14:paraId="4A8762ED" w14:textId="2987AB55" w:rsidR="00015A86" w:rsidRPr="007239A6" w:rsidRDefault="00015A86" w:rsidP="004C356D">
            <w:pPr>
              <w:spacing w:after="0" w:line="240" w:lineRule="auto"/>
              <w:jc w:val="right"/>
              <w:rPr>
                <w:color w:val="000000"/>
                <w:sz w:val="22"/>
                <w:szCs w:val="22"/>
                <w:lang w:bidi="ar-SA"/>
              </w:rPr>
            </w:pPr>
            <w:r w:rsidRPr="007239A6">
              <w:rPr>
                <w:sz w:val="20"/>
                <w:szCs w:val="20"/>
              </w:rPr>
              <w:t>2548.4</w:t>
            </w:r>
          </w:p>
        </w:tc>
        <w:tc>
          <w:tcPr>
            <w:tcW w:w="1289" w:type="dxa"/>
            <w:tcBorders>
              <w:top w:val="nil"/>
              <w:left w:val="nil"/>
              <w:bottom w:val="nil"/>
              <w:right w:val="nil"/>
            </w:tcBorders>
            <w:shd w:val="clear" w:color="auto" w:fill="auto"/>
            <w:noWrap/>
            <w:vAlign w:val="bottom"/>
          </w:tcPr>
          <w:p w14:paraId="46EAE91A" w14:textId="268DDCBD" w:rsidR="00015A86" w:rsidRPr="007239A6" w:rsidRDefault="00015A86" w:rsidP="004C356D">
            <w:pPr>
              <w:spacing w:after="0" w:line="240" w:lineRule="auto"/>
              <w:jc w:val="right"/>
              <w:rPr>
                <w:color w:val="000000"/>
                <w:sz w:val="22"/>
                <w:szCs w:val="22"/>
                <w:lang w:bidi="ar-SA"/>
              </w:rPr>
            </w:pPr>
            <w:r w:rsidRPr="007239A6">
              <w:rPr>
                <w:sz w:val="20"/>
                <w:szCs w:val="20"/>
              </w:rPr>
              <w:t xml:space="preserve">203 </w:t>
            </w:r>
          </w:p>
        </w:tc>
        <w:tc>
          <w:tcPr>
            <w:tcW w:w="1769" w:type="dxa"/>
            <w:tcBorders>
              <w:top w:val="nil"/>
              <w:left w:val="nil"/>
              <w:bottom w:val="nil"/>
              <w:right w:val="nil"/>
            </w:tcBorders>
            <w:vAlign w:val="bottom"/>
          </w:tcPr>
          <w:p w14:paraId="13CDBEA0" w14:textId="6B5BE964" w:rsidR="00015A86" w:rsidRPr="00A54231" w:rsidRDefault="00015A86" w:rsidP="004C356D">
            <w:pPr>
              <w:spacing w:after="0" w:line="240" w:lineRule="auto"/>
              <w:jc w:val="right"/>
              <w:rPr>
                <w:sz w:val="20"/>
                <w:szCs w:val="20"/>
              </w:rPr>
            </w:pPr>
            <w:r w:rsidRPr="00A54231">
              <w:rPr>
                <w:color w:val="000000"/>
                <w:sz w:val="20"/>
                <w:szCs w:val="20"/>
              </w:rPr>
              <w:t>31.93</w:t>
            </w:r>
          </w:p>
        </w:tc>
      </w:tr>
      <w:tr w:rsidR="00015A86" w:rsidRPr="007239A6" w14:paraId="48DE2100" w14:textId="5716CF06" w:rsidTr="00181ACD">
        <w:trPr>
          <w:trHeight w:val="288"/>
        </w:trPr>
        <w:tc>
          <w:tcPr>
            <w:tcW w:w="1586" w:type="dxa"/>
            <w:tcBorders>
              <w:top w:val="nil"/>
              <w:left w:val="nil"/>
              <w:bottom w:val="nil"/>
              <w:right w:val="nil"/>
            </w:tcBorders>
            <w:shd w:val="clear" w:color="auto" w:fill="auto"/>
            <w:noWrap/>
            <w:vAlign w:val="bottom"/>
            <w:hideMark/>
          </w:tcPr>
          <w:p w14:paraId="33997665"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Wolcott</w:t>
            </w:r>
          </w:p>
        </w:tc>
        <w:tc>
          <w:tcPr>
            <w:tcW w:w="1261" w:type="dxa"/>
            <w:tcBorders>
              <w:top w:val="nil"/>
              <w:left w:val="nil"/>
              <w:bottom w:val="nil"/>
              <w:right w:val="nil"/>
            </w:tcBorders>
            <w:shd w:val="clear" w:color="auto" w:fill="auto"/>
            <w:noWrap/>
            <w:vAlign w:val="bottom"/>
          </w:tcPr>
          <w:p w14:paraId="215FBEBC" w14:textId="642A161F" w:rsidR="00015A86" w:rsidRPr="007239A6" w:rsidRDefault="00015A86" w:rsidP="004C356D">
            <w:pPr>
              <w:spacing w:after="0" w:line="240" w:lineRule="auto"/>
              <w:jc w:val="right"/>
              <w:rPr>
                <w:color w:val="000000"/>
                <w:sz w:val="22"/>
                <w:szCs w:val="22"/>
                <w:lang w:bidi="ar-SA"/>
              </w:rPr>
            </w:pPr>
            <w:r w:rsidRPr="007239A6">
              <w:rPr>
                <w:sz w:val="20"/>
                <w:szCs w:val="20"/>
              </w:rPr>
              <w:t>750.5</w:t>
            </w:r>
          </w:p>
        </w:tc>
        <w:tc>
          <w:tcPr>
            <w:tcW w:w="1293" w:type="dxa"/>
            <w:tcBorders>
              <w:top w:val="nil"/>
              <w:left w:val="nil"/>
              <w:bottom w:val="nil"/>
              <w:right w:val="nil"/>
            </w:tcBorders>
            <w:shd w:val="clear" w:color="auto" w:fill="auto"/>
            <w:noWrap/>
            <w:vAlign w:val="bottom"/>
          </w:tcPr>
          <w:p w14:paraId="7124F50E" w14:textId="0EE7F09B" w:rsidR="00015A86" w:rsidRPr="007239A6" w:rsidRDefault="00015A86" w:rsidP="004C356D">
            <w:pPr>
              <w:spacing w:after="0" w:line="240" w:lineRule="auto"/>
              <w:jc w:val="right"/>
              <w:rPr>
                <w:color w:val="000000"/>
                <w:sz w:val="22"/>
                <w:szCs w:val="22"/>
                <w:lang w:bidi="ar-SA"/>
              </w:rPr>
            </w:pPr>
            <w:r w:rsidRPr="007239A6">
              <w:rPr>
                <w:sz w:val="20"/>
                <w:szCs w:val="20"/>
              </w:rPr>
              <w:t xml:space="preserve">45 </w:t>
            </w:r>
          </w:p>
        </w:tc>
        <w:tc>
          <w:tcPr>
            <w:tcW w:w="1650" w:type="dxa"/>
            <w:tcBorders>
              <w:top w:val="nil"/>
              <w:left w:val="nil"/>
              <w:bottom w:val="nil"/>
              <w:right w:val="nil"/>
            </w:tcBorders>
            <w:shd w:val="clear" w:color="auto" w:fill="auto"/>
            <w:noWrap/>
            <w:vAlign w:val="bottom"/>
          </w:tcPr>
          <w:p w14:paraId="31DA1438" w14:textId="54C49AE5" w:rsidR="00015A86" w:rsidRPr="007239A6" w:rsidRDefault="00015A86" w:rsidP="004C356D">
            <w:pPr>
              <w:spacing w:after="0" w:line="240" w:lineRule="auto"/>
              <w:jc w:val="right"/>
              <w:rPr>
                <w:color w:val="000000"/>
                <w:sz w:val="22"/>
                <w:szCs w:val="22"/>
                <w:lang w:bidi="ar-SA"/>
              </w:rPr>
            </w:pPr>
            <w:r w:rsidRPr="007239A6">
              <w:rPr>
                <w:sz w:val="20"/>
                <w:szCs w:val="20"/>
              </w:rPr>
              <w:t>1172.2</w:t>
            </w:r>
          </w:p>
        </w:tc>
        <w:tc>
          <w:tcPr>
            <w:tcW w:w="1289" w:type="dxa"/>
            <w:tcBorders>
              <w:top w:val="nil"/>
              <w:left w:val="nil"/>
              <w:bottom w:val="nil"/>
              <w:right w:val="nil"/>
            </w:tcBorders>
            <w:shd w:val="clear" w:color="auto" w:fill="auto"/>
            <w:noWrap/>
            <w:vAlign w:val="bottom"/>
          </w:tcPr>
          <w:p w14:paraId="1646852F" w14:textId="2B5A06F8" w:rsidR="00015A86" w:rsidRPr="007239A6" w:rsidRDefault="00015A86" w:rsidP="004C356D">
            <w:pPr>
              <w:spacing w:after="0" w:line="240" w:lineRule="auto"/>
              <w:jc w:val="right"/>
              <w:rPr>
                <w:color w:val="000000"/>
                <w:sz w:val="22"/>
                <w:szCs w:val="22"/>
                <w:lang w:bidi="ar-SA"/>
              </w:rPr>
            </w:pPr>
            <w:r w:rsidRPr="007239A6">
              <w:rPr>
                <w:sz w:val="20"/>
                <w:szCs w:val="20"/>
              </w:rPr>
              <w:t xml:space="preserve">70 </w:t>
            </w:r>
          </w:p>
        </w:tc>
        <w:tc>
          <w:tcPr>
            <w:tcW w:w="1769" w:type="dxa"/>
            <w:tcBorders>
              <w:top w:val="nil"/>
              <w:left w:val="nil"/>
              <w:bottom w:val="nil"/>
              <w:right w:val="nil"/>
            </w:tcBorders>
            <w:vAlign w:val="bottom"/>
          </w:tcPr>
          <w:p w14:paraId="23D1A6C6" w14:textId="18EE2FA3" w:rsidR="00015A86" w:rsidRPr="00A54231" w:rsidRDefault="00015A86" w:rsidP="004C356D">
            <w:pPr>
              <w:spacing w:after="0" w:line="240" w:lineRule="auto"/>
              <w:jc w:val="right"/>
              <w:rPr>
                <w:sz w:val="20"/>
                <w:szCs w:val="20"/>
              </w:rPr>
            </w:pPr>
            <w:r w:rsidRPr="00A54231">
              <w:rPr>
                <w:color w:val="000000"/>
                <w:sz w:val="20"/>
                <w:szCs w:val="20"/>
              </w:rPr>
              <w:t>117.46</w:t>
            </w:r>
          </w:p>
        </w:tc>
      </w:tr>
      <w:tr w:rsidR="00015A86" w:rsidRPr="007239A6" w14:paraId="4A46D7CF" w14:textId="3CF7B7D2" w:rsidTr="00181ACD">
        <w:trPr>
          <w:trHeight w:val="288"/>
        </w:trPr>
        <w:tc>
          <w:tcPr>
            <w:tcW w:w="1586" w:type="dxa"/>
            <w:tcBorders>
              <w:top w:val="nil"/>
              <w:left w:val="nil"/>
              <w:bottom w:val="nil"/>
              <w:right w:val="nil"/>
            </w:tcBorders>
            <w:shd w:val="clear" w:color="auto" w:fill="auto"/>
            <w:noWrap/>
            <w:vAlign w:val="bottom"/>
            <w:hideMark/>
          </w:tcPr>
          <w:p w14:paraId="0CA4E7A0"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Woodbridge</w:t>
            </w:r>
          </w:p>
        </w:tc>
        <w:tc>
          <w:tcPr>
            <w:tcW w:w="1261" w:type="dxa"/>
            <w:tcBorders>
              <w:top w:val="nil"/>
              <w:left w:val="nil"/>
              <w:bottom w:val="nil"/>
              <w:right w:val="nil"/>
            </w:tcBorders>
            <w:shd w:val="clear" w:color="auto" w:fill="auto"/>
            <w:noWrap/>
            <w:vAlign w:val="bottom"/>
          </w:tcPr>
          <w:p w14:paraId="2D56AACF" w14:textId="3D9F832C" w:rsidR="00015A86" w:rsidRPr="007239A6" w:rsidRDefault="00015A86" w:rsidP="004C356D">
            <w:pPr>
              <w:spacing w:after="0" w:line="240" w:lineRule="auto"/>
              <w:jc w:val="right"/>
              <w:rPr>
                <w:color w:val="000000"/>
                <w:sz w:val="22"/>
                <w:szCs w:val="22"/>
                <w:lang w:bidi="ar-SA"/>
              </w:rPr>
            </w:pPr>
            <w:r w:rsidRPr="007239A6">
              <w:rPr>
                <w:sz w:val="20"/>
                <w:szCs w:val="20"/>
              </w:rPr>
              <w:t>519.8</w:t>
            </w:r>
          </w:p>
        </w:tc>
        <w:tc>
          <w:tcPr>
            <w:tcW w:w="1293" w:type="dxa"/>
            <w:tcBorders>
              <w:top w:val="nil"/>
              <w:left w:val="nil"/>
              <w:bottom w:val="nil"/>
              <w:right w:val="nil"/>
            </w:tcBorders>
            <w:shd w:val="clear" w:color="auto" w:fill="auto"/>
            <w:noWrap/>
            <w:vAlign w:val="bottom"/>
          </w:tcPr>
          <w:p w14:paraId="70E39E30" w14:textId="7306164A" w:rsidR="00015A86" w:rsidRPr="007239A6" w:rsidRDefault="00015A86" w:rsidP="004C356D">
            <w:pPr>
              <w:spacing w:after="0" w:line="240" w:lineRule="auto"/>
              <w:jc w:val="right"/>
              <w:rPr>
                <w:color w:val="000000"/>
                <w:sz w:val="22"/>
                <w:szCs w:val="22"/>
                <w:lang w:bidi="ar-SA"/>
              </w:rPr>
            </w:pPr>
            <w:r w:rsidRPr="007239A6">
              <w:rPr>
                <w:sz w:val="20"/>
                <w:szCs w:val="20"/>
              </w:rPr>
              <w:t xml:space="preserve">58 </w:t>
            </w:r>
          </w:p>
        </w:tc>
        <w:tc>
          <w:tcPr>
            <w:tcW w:w="1650" w:type="dxa"/>
            <w:tcBorders>
              <w:top w:val="nil"/>
              <w:left w:val="nil"/>
              <w:bottom w:val="nil"/>
              <w:right w:val="nil"/>
            </w:tcBorders>
            <w:shd w:val="clear" w:color="auto" w:fill="auto"/>
            <w:noWrap/>
            <w:vAlign w:val="bottom"/>
          </w:tcPr>
          <w:p w14:paraId="67389338" w14:textId="157713D1" w:rsidR="00015A86" w:rsidRPr="007239A6" w:rsidRDefault="00015A86" w:rsidP="004C356D">
            <w:pPr>
              <w:spacing w:after="0" w:line="240" w:lineRule="auto"/>
              <w:jc w:val="right"/>
              <w:rPr>
                <w:color w:val="000000"/>
                <w:sz w:val="22"/>
                <w:szCs w:val="22"/>
                <w:lang w:bidi="ar-SA"/>
              </w:rPr>
            </w:pPr>
            <w:r w:rsidRPr="007239A6">
              <w:rPr>
                <w:sz w:val="20"/>
                <w:szCs w:val="20"/>
              </w:rPr>
              <w:t>1272.4</w:t>
            </w:r>
          </w:p>
        </w:tc>
        <w:tc>
          <w:tcPr>
            <w:tcW w:w="1289" w:type="dxa"/>
            <w:tcBorders>
              <w:top w:val="nil"/>
              <w:left w:val="nil"/>
              <w:bottom w:val="nil"/>
              <w:right w:val="nil"/>
            </w:tcBorders>
            <w:shd w:val="clear" w:color="auto" w:fill="auto"/>
            <w:noWrap/>
            <w:vAlign w:val="bottom"/>
          </w:tcPr>
          <w:p w14:paraId="0074A7E2" w14:textId="37CA166F" w:rsidR="00015A86" w:rsidRPr="007239A6" w:rsidRDefault="00015A86" w:rsidP="004C356D">
            <w:pPr>
              <w:spacing w:after="0" w:line="240" w:lineRule="auto"/>
              <w:jc w:val="right"/>
              <w:rPr>
                <w:color w:val="000000"/>
                <w:sz w:val="22"/>
                <w:szCs w:val="22"/>
                <w:lang w:bidi="ar-SA"/>
              </w:rPr>
            </w:pPr>
            <w:r w:rsidRPr="007239A6">
              <w:rPr>
                <w:sz w:val="20"/>
                <w:szCs w:val="20"/>
              </w:rPr>
              <w:t xml:space="preserve">142 </w:t>
            </w:r>
          </w:p>
        </w:tc>
        <w:tc>
          <w:tcPr>
            <w:tcW w:w="1769" w:type="dxa"/>
            <w:tcBorders>
              <w:top w:val="nil"/>
              <w:left w:val="nil"/>
              <w:bottom w:val="nil"/>
              <w:right w:val="nil"/>
            </w:tcBorders>
            <w:vAlign w:val="bottom"/>
          </w:tcPr>
          <w:p w14:paraId="5824FA55" w14:textId="7B5B4DF4" w:rsidR="00015A86" w:rsidRPr="00A54231" w:rsidRDefault="00015A86" w:rsidP="004C356D">
            <w:pPr>
              <w:spacing w:after="0" w:line="240" w:lineRule="auto"/>
              <w:jc w:val="right"/>
              <w:rPr>
                <w:sz w:val="20"/>
                <w:szCs w:val="20"/>
              </w:rPr>
            </w:pPr>
            <w:r w:rsidRPr="00A54231">
              <w:rPr>
                <w:color w:val="000000"/>
                <w:sz w:val="20"/>
                <w:szCs w:val="20"/>
              </w:rPr>
              <w:t>-464.91</w:t>
            </w:r>
          </w:p>
        </w:tc>
      </w:tr>
      <w:tr w:rsidR="00015A86" w:rsidRPr="007239A6" w14:paraId="1D83B589" w14:textId="1DA46AD1" w:rsidTr="00181ACD">
        <w:trPr>
          <w:trHeight w:val="288"/>
        </w:trPr>
        <w:tc>
          <w:tcPr>
            <w:tcW w:w="1586" w:type="dxa"/>
            <w:tcBorders>
              <w:top w:val="nil"/>
              <w:left w:val="nil"/>
              <w:bottom w:val="nil"/>
              <w:right w:val="nil"/>
            </w:tcBorders>
            <w:shd w:val="clear" w:color="auto" w:fill="auto"/>
            <w:noWrap/>
            <w:vAlign w:val="bottom"/>
            <w:hideMark/>
          </w:tcPr>
          <w:p w14:paraId="1AD20967"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Woodbury</w:t>
            </w:r>
          </w:p>
        </w:tc>
        <w:tc>
          <w:tcPr>
            <w:tcW w:w="1261" w:type="dxa"/>
            <w:tcBorders>
              <w:top w:val="nil"/>
              <w:left w:val="nil"/>
              <w:bottom w:val="nil"/>
              <w:right w:val="nil"/>
            </w:tcBorders>
            <w:shd w:val="clear" w:color="auto" w:fill="auto"/>
            <w:noWrap/>
            <w:vAlign w:val="bottom"/>
          </w:tcPr>
          <w:p w14:paraId="06BF7FCD" w14:textId="2B77F5A5" w:rsidR="00015A86" w:rsidRPr="007239A6" w:rsidRDefault="00015A86" w:rsidP="004C356D">
            <w:pPr>
              <w:spacing w:after="0" w:line="240" w:lineRule="auto"/>
              <w:jc w:val="right"/>
              <w:rPr>
                <w:color w:val="000000"/>
                <w:sz w:val="22"/>
                <w:szCs w:val="22"/>
                <w:lang w:bidi="ar-SA"/>
              </w:rPr>
            </w:pPr>
            <w:r w:rsidRPr="007239A6">
              <w:rPr>
                <w:sz w:val="20"/>
                <w:szCs w:val="20"/>
              </w:rPr>
              <w:t>694.4</w:t>
            </w:r>
          </w:p>
        </w:tc>
        <w:tc>
          <w:tcPr>
            <w:tcW w:w="1293" w:type="dxa"/>
            <w:tcBorders>
              <w:top w:val="nil"/>
              <w:left w:val="nil"/>
              <w:bottom w:val="nil"/>
              <w:right w:val="nil"/>
            </w:tcBorders>
            <w:shd w:val="clear" w:color="auto" w:fill="auto"/>
            <w:noWrap/>
            <w:vAlign w:val="bottom"/>
          </w:tcPr>
          <w:p w14:paraId="7B96849B" w14:textId="4B9206A0" w:rsidR="00015A86" w:rsidRPr="007239A6" w:rsidRDefault="00015A86" w:rsidP="004C356D">
            <w:pPr>
              <w:spacing w:after="0" w:line="240" w:lineRule="auto"/>
              <w:jc w:val="right"/>
              <w:rPr>
                <w:color w:val="000000"/>
                <w:sz w:val="22"/>
                <w:szCs w:val="22"/>
                <w:lang w:bidi="ar-SA"/>
              </w:rPr>
            </w:pPr>
            <w:r w:rsidRPr="007239A6">
              <w:rPr>
                <w:sz w:val="20"/>
                <w:szCs w:val="20"/>
              </w:rPr>
              <w:t xml:space="preserve">70 </w:t>
            </w:r>
          </w:p>
        </w:tc>
        <w:tc>
          <w:tcPr>
            <w:tcW w:w="1650" w:type="dxa"/>
            <w:tcBorders>
              <w:top w:val="nil"/>
              <w:left w:val="nil"/>
              <w:bottom w:val="nil"/>
              <w:right w:val="nil"/>
            </w:tcBorders>
            <w:shd w:val="clear" w:color="auto" w:fill="auto"/>
            <w:noWrap/>
            <w:vAlign w:val="bottom"/>
          </w:tcPr>
          <w:p w14:paraId="586A23CC" w14:textId="143FFD7D" w:rsidR="00015A86" w:rsidRPr="007239A6" w:rsidRDefault="00015A86" w:rsidP="004C356D">
            <w:pPr>
              <w:spacing w:after="0" w:line="240" w:lineRule="auto"/>
              <w:jc w:val="right"/>
              <w:rPr>
                <w:color w:val="000000"/>
                <w:sz w:val="22"/>
                <w:szCs w:val="22"/>
                <w:lang w:bidi="ar-SA"/>
              </w:rPr>
            </w:pPr>
            <w:r w:rsidRPr="007239A6">
              <w:rPr>
                <w:sz w:val="20"/>
                <w:szCs w:val="20"/>
              </w:rPr>
              <w:t>730.1</w:t>
            </w:r>
          </w:p>
        </w:tc>
        <w:tc>
          <w:tcPr>
            <w:tcW w:w="1289" w:type="dxa"/>
            <w:tcBorders>
              <w:top w:val="nil"/>
              <w:left w:val="nil"/>
              <w:bottom w:val="nil"/>
              <w:right w:val="nil"/>
            </w:tcBorders>
            <w:shd w:val="clear" w:color="auto" w:fill="auto"/>
            <w:noWrap/>
            <w:vAlign w:val="bottom"/>
          </w:tcPr>
          <w:p w14:paraId="7AEC1BC1" w14:textId="5ECB7EF5" w:rsidR="00015A86" w:rsidRPr="007239A6" w:rsidRDefault="00015A86" w:rsidP="004C356D">
            <w:pPr>
              <w:spacing w:after="0" w:line="240" w:lineRule="auto"/>
              <w:jc w:val="right"/>
              <w:rPr>
                <w:color w:val="000000"/>
                <w:sz w:val="22"/>
                <w:szCs w:val="22"/>
                <w:lang w:bidi="ar-SA"/>
              </w:rPr>
            </w:pPr>
            <w:r w:rsidRPr="007239A6">
              <w:rPr>
                <w:sz w:val="20"/>
                <w:szCs w:val="20"/>
              </w:rPr>
              <w:t xml:space="preserve">74 </w:t>
            </w:r>
          </w:p>
        </w:tc>
        <w:tc>
          <w:tcPr>
            <w:tcW w:w="1769" w:type="dxa"/>
            <w:tcBorders>
              <w:top w:val="nil"/>
              <w:left w:val="nil"/>
              <w:bottom w:val="nil"/>
              <w:right w:val="nil"/>
            </w:tcBorders>
            <w:vAlign w:val="bottom"/>
          </w:tcPr>
          <w:p w14:paraId="46363248" w14:textId="0EAC42E9" w:rsidR="00015A86" w:rsidRPr="00A54231" w:rsidRDefault="00015A86" w:rsidP="004C356D">
            <w:pPr>
              <w:spacing w:after="0" w:line="240" w:lineRule="auto"/>
              <w:jc w:val="right"/>
              <w:rPr>
                <w:sz w:val="20"/>
                <w:szCs w:val="20"/>
              </w:rPr>
            </w:pPr>
            <w:r w:rsidRPr="00A54231">
              <w:rPr>
                <w:color w:val="000000"/>
                <w:sz w:val="20"/>
                <w:szCs w:val="20"/>
              </w:rPr>
              <w:t>-452.62</w:t>
            </w:r>
          </w:p>
        </w:tc>
      </w:tr>
      <w:tr w:rsidR="00015A86" w:rsidRPr="007239A6" w14:paraId="45E861F1" w14:textId="2833CCE0" w:rsidTr="00181ACD">
        <w:trPr>
          <w:trHeight w:val="288"/>
        </w:trPr>
        <w:tc>
          <w:tcPr>
            <w:tcW w:w="1586" w:type="dxa"/>
            <w:tcBorders>
              <w:top w:val="nil"/>
              <w:left w:val="nil"/>
              <w:bottom w:val="nil"/>
              <w:right w:val="nil"/>
            </w:tcBorders>
            <w:shd w:val="clear" w:color="auto" w:fill="auto"/>
            <w:noWrap/>
            <w:vAlign w:val="bottom"/>
            <w:hideMark/>
          </w:tcPr>
          <w:p w14:paraId="60D81AF7" w14:textId="77777777" w:rsidR="00015A86" w:rsidRPr="007239A6" w:rsidRDefault="00015A86" w:rsidP="004C356D">
            <w:pPr>
              <w:spacing w:after="0" w:line="240" w:lineRule="auto"/>
              <w:rPr>
                <w:color w:val="000000"/>
                <w:sz w:val="22"/>
                <w:szCs w:val="22"/>
                <w:lang w:bidi="ar-SA"/>
              </w:rPr>
            </w:pPr>
            <w:r w:rsidRPr="007239A6">
              <w:rPr>
                <w:color w:val="000000"/>
                <w:sz w:val="22"/>
                <w:szCs w:val="22"/>
                <w:lang w:bidi="ar-SA"/>
              </w:rPr>
              <w:t>Woodstock</w:t>
            </w:r>
          </w:p>
        </w:tc>
        <w:tc>
          <w:tcPr>
            <w:tcW w:w="1261" w:type="dxa"/>
            <w:tcBorders>
              <w:top w:val="nil"/>
              <w:left w:val="nil"/>
              <w:bottom w:val="nil"/>
              <w:right w:val="nil"/>
            </w:tcBorders>
            <w:shd w:val="clear" w:color="auto" w:fill="auto"/>
            <w:noWrap/>
            <w:vAlign w:val="bottom"/>
          </w:tcPr>
          <w:p w14:paraId="5D8F5989" w14:textId="3417796F" w:rsidR="00015A86" w:rsidRPr="007239A6" w:rsidRDefault="00015A86" w:rsidP="004C356D">
            <w:pPr>
              <w:spacing w:after="0" w:line="240" w:lineRule="auto"/>
              <w:jc w:val="right"/>
              <w:rPr>
                <w:color w:val="000000"/>
                <w:sz w:val="22"/>
                <w:szCs w:val="22"/>
                <w:lang w:bidi="ar-SA"/>
              </w:rPr>
            </w:pPr>
            <w:r w:rsidRPr="007239A6">
              <w:rPr>
                <w:sz w:val="20"/>
                <w:szCs w:val="20"/>
              </w:rPr>
              <w:t>203.6</w:t>
            </w:r>
          </w:p>
        </w:tc>
        <w:tc>
          <w:tcPr>
            <w:tcW w:w="1293" w:type="dxa"/>
            <w:tcBorders>
              <w:top w:val="nil"/>
              <w:left w:val="nil"/>
              <w:bottom w:val="nil"/>
              <w:right w:val="nil"/>
            </w:tcBorders>
            <w:shd w:val="clear" w:color="auto" w:fill="auto"/>
            <w:noWrap/>
            <w:vAlign w:val="bottom"/>
          </w:tcPr>
          <w:p w14:paraId="5F6AB482" w14:textId="3C14F7C6" w:rsidR="00015A86" w:rsidRPr="007239A6" w:rsidRDefault="00015A86" w:rsidP="004C356D">
            <w:pPr>
              <w:spacing w:after="0" w:line="240" w:lineRule="auto"/>
              <w:jc w:val="right"/>
              <w:rPr>
                <w:color w:val="000000"/>
                <w:sz w:val="22"/>
                <w:szCs w:val="22"/>
                <w:lang w:bidi="ar-SA"/>
              </w:rPr>
            </w:pPr>
            <w:r w:rsidRPr="007239A6">
              <w:rPr>
                <w:sz w:val="20"/>
                <w:szCs w:val="20"/>
              </w:rPr>
              <w:t xml:space="preserve">26 </w:t>
            </w:r>
          </w:p>
        </w:tc>
        <w:tc>
          <w:tcPr>
            <w:tcW w:w="1650" w:type="dxa"/>
            <w:tcBorders>
              <w:top w:val="nil"/>
              <w:left w:val="nil"/>
              <w:bottom w:val="nil"/>
              <w:right w:val="nil"/>
            </w:tcBorders>
            <w:shd w:val="clear" w:color="auto" w:fill="auto"/>
            <w:noWrap/>
            <w:vAlign w:val="bottom"/>
          </w:tcPr>
          <w:p w14:paraId="1B9BD3F8" w14:textId="75EC5F9A" w:rsidR="00015A86" w:rsidRPr="007239A6" w:rsidRDefault="00015A86" w:rsidP="004C356D">
            <w:pPr>
              <w:spacing w:after="0" w:line="240" w:lineRule="auto"/>
              <w:jc w:val="right"/>
              <w:rPr>
                <w:color w:val="000000"/>
                <w:sz w:val="22"/>
                <w:szCs w:val="22"/>
                <w:lang w:bidi="ar-SA"/>
              </w:rPr>
            </w:pPr>
            <w:r w:rsidRPr="007239A6">
              <w:rPr>
                <w:sz w:val="20"/>
                <w:szCs w:val="20"/>
              </w:rPr>
              <w:t>469.6</w:t>
            </w:r>
          </w:p>
        </w:tc>
        <w:tc>
          <w:tcPr>
            <w:tcW w:w="1289" w:type="dxa"/>
            <w:tcBorders>
              <w:top w:val="nil"/>
              <w:left w:val="nil"/>
              <w:bottom w:val="nil"/>
              <w:right w:val="nil"/>
            </w:tcBorders>
            <w:shd w:val="clear" w:color="auto" w:fill="auto"/>
            <w:noWrap/>
            <w:vAlign w:val="bottom"/>
          </w:tcPr>
          <w:p w14:paraId="441F846B" w14:textId="3FD266A7" w:rsidR="00015A86" w:rsidRPr="007239A6" w:rsidRDefault="00015A86" w:rsidP="004C356D">
            <w:pPr>
              <w:spacing w:after="0" w:line="240" w:lineRule="auto"/>
              <w:jc w:val="right"/>
              <w:rPr>
                <w:color w:val="000000"/>
                <w:sz w:val="22"/>
                <w:szCs w:val="22"/>
                <w:lang w:bidi="ar-SA"/>
              </w:rPr>
            </w:pPr>
            <w:r w:rsidRPr="007239A6">
              <w:rPr>
                <w:sz w:val="20"/>
                <w:szCs w:val="20"/>
              </w:rPr>
              <w:t xml:space="preserve">59 </w:t>
            </w:r>
          </w:p>
        </w:tc>
        <w:tc>
          <w:tcPr>
            <w:tcW w:w="1769" w:type="dxa"/>
            <w:tcBorders>
              <w:top w:val="nil"/>
              <w:left w:val="nil"/>
              <w:bottom w:val="nil"/>
              <w:right w:val="nil"/>
            </w:tcBorders>
            <w:vAlign w:val="bottom"/>
          </w:tcPr>
          <w:p w14:paraId="5BB758BA" w14:textId="7BE5B947" w:rsidR="00015A86" w:rsidRPr="00A54231" w:rsidRDefault="00015A86" w:rsidP="004C356D">
            <w:pPr>
              <w:spacing w:after="0" w:line="240" w:lineRule="auto"/>
              <w:jc w:val="right"/>
              <w:rPr>
                <w:sz w:val="20"/>
                <w:szCs w:val="20"/>
              </w:rPr>
            </w:pPr>
            <w:r w:rsidRPr="00A54231">
              <w:rPr>
                <w:color w:val="000000"/>
                <w:sz w:val="20"/>
                <w:szCs w:val="20"/>
              </w:rPr>
              <w:t>52.78</w:t>
            </w:r>
          </w:p>
        </w:tc>
      </w:tr>
      <w:tr w:rsidR="00015A86" w:rsidRPr="007239A6" w14:paraId="027BF973" w14:textId="23D3C68B" w:rsidTr="00181ACD">
        <w:trPr>
          <w:trHeight w:val="288"/>
        </w:trPr>
        <w:tc>
          <w:tcPr>
            <w:tcW w:w="1586" w:type="dxa"/>
            <w:tcBorders>
              <w:top w:val="nil"/>
              <w:left w:val="nil"/>
              <w:right w:val="nil"/>
            </w:tcBorders>
            <w:shd w:val="clear" w:color="auto" w:fill="auto"/>
            <w:noWrap/>
            <w:vAlign w:val="bottom"/>
            <w:hideMark/>
          </w:tcPr>
          <w:p w14:paraId="7F023762" w14:textId="77777777" w:rsidR="00015A86" w:rsidRPr="007239A6" w:rsidRDefault="00015A86" w:rsidP="00BE59D8">
            <w:pPr>
              <w:spacing w:after="0" w:line="240" w:lineRule="auto"/>
              <w:jc w:val="right"/>
              <w:rPr>
                <w:color w:val="000000"/>
                <w:sz w:val="22"/>
                <w:szCs w:val="22"/>
                <w:lang w:bidi="ar-SA"/>
              </w:rPr>
            </w:pPr>
          </w:p>
        </w:tc>
        <w:tc>
          <w:tcPr>
            <w:tcW w:w="1261" w:type="dxa"/>
            <w:tcBorders>
              <w:top w:val="nil"/>
              <w:left w:val="nil"/>
              <w:right w:val="nil"/>
            </w:tcBorders>
            <w:shd w:val="clear" w:color="auto" w:fill="auto"/>
            <w:noWrap/>
            <w:vAlign w:val="bottom"/>
            <w:hideMark/>
          </w:tcPr>
          <w:p w14:paraId="1313ACD4" w14:textId="77777777" w:rsidR="00015A86" w:rsidRPr="007239A6" w:rsidRDefault="00015A86" w:rsidP="00BE59D8">
            <w:pPr>
              <w:spacing w:after="0" w:line="240" w:lineRule="auto"/>
              <w:rPr>
                <w:sz w:val="20"/>
                <w:szCs w:val="20"/>
                <w:lang w:bidi="ar-SA"/>
              </w:rPr>
            </w:pPr>
          </w:p>
        </w:tc>
        <w:tc>
          <w:tcPr>
            <w:tcW w:w="1293" w:type="dxa"/>
            <w:tcBorders>
              <w:top w:val="nil"/>
              <w:left w:val="nil"/>
              <w:right w:val="nil"/>
            </w:tcBorders>
            <w:shd w:val="clear" w:color="auto" w:fill="auto"/>
            <w:noWrap/>
            <w:vAlign w:val="bottom"/>
            <w:hideMark/>
          </w:tcPr>
          <w:p w14:paraId="74DA0F2A" w14:textId="77777777" w:rsidR="00015A86" w:rsidRPr="007239A6" w:rsidRDefault="00015A86" w:rsidP="00BE59D8">
            <w:pPr>
              <w:spacing w:after="0" w:line="240" w:lineRule="auto"/>
              <w:rPr>
                <w:sz w:val="20"/>
                <w:szCs w:val="20"/>
                <w:lang w:bidi="ar-SA"/>
              </w:rPr>
            </w:pPr>
          </w:p>
        </w:tc>
        <w:tc>
          <w:tcPr>
            <w:tcW w:w="1650" w:type="dxa"/>
            <w:tcBorders>
              <w:top w:val="nil"/>
              <w:left w:val="nil"/>
              <w:right w:val="nil"/>
            </w:tcBorders>
            <w:shd w:val="clear" w:color="auto" w:fill="auto"/>
            <w:noWrap/>
            <w:vAlign w:val="bottom"/>
            <w:hideMark/>
          </w:tcPr>
          <w:p w14:paraId="6C84A967" w14:textId="77777777" w:rsidR="00015A86" w:rsidRPr="007239A6" w:rsidRDefault="00015A86" w:rsidP="00BE59D8">
            <w:pPr>
              <w:spacing w:after="0" w:line="240" w:lineRule="auto"/>
              <w:rPr>
                <w:sz w:val="20"/>
                <w:szCs w:val="20"/>
                <w:lang w:bidi="ar-SA"/>
              </w:rPr>
            </w:pPr>
          </w:p>
        </w:tc>
        <w:tc>
          <w:tcPr>
            <w:tcW w:w="1289" w:type="dxa"/>
            <w:tcBorders>
              <w:top w:val="nil"/>
              <w:left w:val="nil"/>
              <w:right w:val="nil"/>
            </w:tcBorders>
            <w:shd w:val="clear" w:color="auto" w:fill="auto"/>
            <w:noWrap/>
            <w:vAlign w:val="bottom"/>
            <w:hideMark/>
          </w:tcPr>
          <w:p w14:paraId="3863CB08" w14:textId="77777777" w:rsidR="00015A86" w:rsidRPr="007239A6" w:rsidRDefault="00015A86" w:rsidP="00BE59D8">
            <w:pPr>
              <w:spacing w:after="0" w:line="240" w:lineRule="auto"/>
              <w:rPr>
                <w:sz w:val="20"/>
                <w:szCs w:val="20"/>
                <w:lang w:bidi="ar-SA"/>
              </w:rPr>
            </w:pPr>
          </w:p>
        </w:tc>
        <w:tc>
          <w:tcPr>
            <w:tcW w:w="1769" w:type="dxa"/>
            <w:tcBorders>
              <w:top w:val="nil"/>
              <w:left w:val="nil"/>
              <w:right w:val="nil"/>
            </w:tcBorders>
          </w:tcPr>
          <w:p w14:paraId="24ED027C" w14:textId="77777777" w:rsidR="00015A86" w:rsidRPr="00A54231" w:rsidRDefault="00015A86" w:rsidP="00BE59D8">
            <w:pPr>
              <w:spacing w:after="0" w:line="240" w:lineRule="auto"/>
              <w:rPr>
                <w:sz w:val="20"/>
                <w:szCs w:val="20"/>
                <w:lang w:bidi="ar-SA"/>
              </w:rPr>
            </w:pPr>
          </w:p>
        </w:tc>
      </w:tr>
      <w:tr w:rsidR="00015A86" w:rsidRPr="007239A6" w14:paraId="612D1447" w14:textId="338513D5" w:rsidTr="00181ACD">
        <w:trPr>
          <w:trHeight w:val="288"/>
        </w:trPr>
        <w:tc>
          <w:tcPr>
            <w:tcW w:w="1586" w:type="dxa"/>
            <w:tcBorders>
              <w:top w:val="nil"/>
              <w:left w:val="nil"/>
              <w:bottom w:val="single" w:sz="4" w:space="0" w:color="auto"/>
              <w:right w:val="nil"/>
            </w:tcBorders>
            <w:shd w:val="clear" w:color="auto" w:fill="auto"/>
            <w:noWrap/>
            <w:vAlign w:val="bottom"/>
            <w:hideMark/>
          </w:tcPr>
          <w:p w14:paraId="691D6B38" w14:textId="77777777" w:rsidR="00015A86" w:rsidRPr="007239A6" w:rsidRDefault="00015A86" w:rsidP="00BE59D8">
            <w:pPr>
              <w:spacing w:after="0" w:line="240" w:lineRule="auto"/>
              <w:rPr>
                <w:b/>
                <w:sz w:val="20"/>
                <w:szCs w:val="20"/>
                <w:lang w:bidi="ar-SA"/>
              </w:rPr>
            </w:pPr>
            <w:r w:rsidRPr="007239A6">
              <w:rPr>
                <w:b/>
                <w:sz w:val="20"/>
                <w:szCs w:val="20"/>
                <w:lang w:bidi="ar-SA"/>
              </w:rPr>
              <w:t>TOTAL</w:t>
            </w:r>
          </w:p>
        </w:tc>
        <w:tc>
          <w:tcPr>
            <w:tcW w:w="1261" w:type="dxa"/>
            <w:tcBorders>
              <w:top w:val="nil"/>
              <w:left w:val="nil"/>
              <w:bottom w:val="single" w:sz="4" w:space="0" w:color="auto"/>
              <w:right w:val="nil"/>
            </w:tcBorders>
            <w:shd w:val="clear" w:color="auto" w:fill="auto"/>
            <w:noWrap/>
            <w:vAlign w:val="bottom"/>
          </w:tcPr>
          <w:p w14:paraId="28A73743" w14:textId="63E4A7D7" w:rsidR="00015A86" w:rsidRPr="007239A6" w:rsidRDefault="00015A86" w:rsidP="007239A6">
            <w:pPr>
              <w:spacing w:after="0" w:line="240" w:lineRule="auto"/>
              <w:jc w:val="right"/>
              <w:rPr>
                <w:color w:val="000000"/>
                <w:sz w:val="22"/>
                <w:szCs w:val="22"/>
                <w:lang w:bidi="ar-SA"/>
              </w:rPr>
            </w:pPr>
            <w:r w:rsidRPr="007239A6">
              <w:rPr>
                <w:sz w:val="20"/>
                <w:szCs w:val="20"/>
              </w:rPr>
              <w:t xml:space="preserve">    473,537.5</w:t>
            </w:r>
          </w:p>
        </w:tc>
        <w:tc>
          <w:tcPr>
            <w:tcW w:w="1293" w:type="dxa"/>
            <w:tcBorders>
              <w:top w:val="nil"/>
              <w:left w:val="nil"/>
              <w:bottom w:val="single" w:sz="4" w:space="0" w:color="auto"/>
              <w:right w:val="nil"/>
            </w:tcBorders>
            <w:shd w:val="clear" w:color="auto" w:fill="auto"/>
            <w:noWrap/>
            <w:vAlign w:val="bottom"/>
            <w:hideMark/>
          </w:tcPr>
          <w:p w14:paraId="31FFCFBF" w14:textId="77777777" w:rsidR="00015A86" w:rsidRPr="007239A6" w:rsidRDefault="00015A86" w:rsidP="00BE59D8">
            <w:pPr>
              <w:spacing w:after="0" w:line="240" w:lineRule="auto"/>
              <w:jc w:val="right"/>
              <w:rPr>
                <w:color w:val="000000"/>
                <w:sz w:val="22"/>
                <w:szCs w:val="22"/>
                <w:lang w:bidi="ar-SA"/>
              </w:rPr>
            </w:pPr>
          </w:p>
        </w:tc>
        <w:tc>
          <w:tcPr>
            <w:tcW w:w="1650" w:type="dxa"/>
            <w:tcBorders>
              <w:top w:val="nil"/>
              <w:left w:val="nil"/>
              <w:bottom w:val="single" w:sz="4" w:space="0" w:color="auto"/>
              <w:right w:val="nil"/>
            </w:tcBorders>
            <w:shd w:val="clear" w:color="auto" w:fill="auto"/>
            <w:noWrap/>
            <w:vAlign w:val="bottom"/>
          </w:tcPr>
          <w:p w14:paraId="3DD19406" w14:textId="4D5DB1C4" w:rsidR="00015A86" w:rsidRPr="007239A6" w:rsidRDefault="00015A86" w:rsidP="00130130">
            <w:pPr>
              <w:spacing w:after="0" w:line="240" w:lineRule="auto"/>
              <w:jc w:val="right"/>
              <w:rPr>
                <w:color w:val="000000"/>
                <w:sz w:val="22"/>
                <w:szCs w:val="22"/>
                <w:lang w:bidi="ar-SA"/>
              </w:rPr>
            </w:pPr>
            <w:r w:rsidRPr="007239A6">
              <w:rPr>
                <w:sz w:val="20"/>
                <w:szCs w:val="20"/>
              </w:rPr>
              <w:t xml:space="preserve">    473,537.5 </w:t>
            </w:r>
          </w:p>
        </w:tc>
        <w:tc>
          <w:tcPr>
            <w:tcW w:w="1289" w:type="dxa"/>
            <w:tcBorders>
              <w:top w:val="nil"/>
              <w:left w:val="nil"/>
              <w:bottom w:val="single" w:sz="4" w:space="0" w:color="auto"/>
              <w:right w:val="nil"/>
            </w:tcBorders>
            <w:shd w:val="clear" w:color="auto" w:fill="auto"/>
            <w:noWrap/>
            <w:vAlign w:val="bottom"/>
          </w:tcPr>
          <w:p w14:paraId="2C288884" w14:textId="77777777" w:rsidR="00015A86" w:rsidRPr="007239A6" w:rsidRDefault="00015A86" w:rsidP="00BE59D8">
            <w:pPr>
              <w:spacing w:after="0" w:line="240" w:lineRule="auto"/>
              <w:jc w:val="right"/>
              <w:rPr>
                <w:color w:val="000000"/>
                <w:sz w:val="22"/>
                <w:szCs w:val="22"/>
                <w:lang w:bidi="ar-SA"/>
              </w:rPr>
            </w:pPr>
          </w:p>
        </w:tc>
        <w:tc>
          <w:tcPr>
            <w:tcW w:w="1769" w:type="dxa"/>
            <w:tcBorders>
              <w:top w:val="nil"/>
              <w:left w:val="nil"/>
              <w:bottom w:val="single" w:sz="4" w:space="0" w:color="auto"/>
              <w:right w:val="nil"/>
            </w:tcBorders>
          </w:tcPr>
          <w:p w14:paraId="7DA402D3" w14:textId="77777777" w:rsidR="00015A86" w:rsidRPr="007239A6" w:rsidRDefault="00015A86" w:rsidP="00BE59D8">
            <w:pPr>
              <w:spacing w:after="0" w:line="240" w:lineRule="auto"/>
              <w:jc w:val="right"/>
              <w:rPr>
                <w:color w:val="000000"/>
                <w:sz w:val="22"/>
                <w:szCs w:val="22"/>
                <w:lang w:bidi="ar-SA"/>
              </w:rPr>
            </w:pPr>
          </w:p>
        </w:tc>
      </w:tr>
    </w:tbl>
    <w:p w14:paraId="552C44EB" w14:textId="1E5CD71F" w:rsidR="009F624A" w:rsidRDefault="009F624A">
      <w:pPr>
        <w:sectPr w:rsidR="009F624A" w:rsidSect="009F624A">
          <w:endnotePr>
            <w:numFmt w:val="decimal"/>
          </w:endnotePr>
          <w:pgSz w:w="12240" w:h="15840"/>
          <w:pgMar w:top="1440" w:right="1440" w:bottom="1440" w:left="1440" w:header="720" w:footer="720" w:gutter="0"/>
          <w:cols w:space="720"/>
          <w:docGrid w:linePitch="360"/>
        </w:sectPr>
      </w:pPr>
    </w:p>
    <w:tbl>
      <w:tblPr>
        <w:tblW w:w="12918" w:type="dxa"/>
        <w:tblInd w:w="108" w:type="dxa"/>
        <w:tblLook w:val="04A0" w:firstRow="1" w:lastRow="0" w:firstColumn="1" w:lastColumn="0" w:noHBand="0" w:noVBand="1"/>
      </w:tblPr>
      <w:tblGrid>
        <w:gridCol w:w="1620"/>
        <w:gridCol w:w="940"/>
        <w:gridCol w:w="866"/>
        <w:gridCol w:w="764"/>
        <w:gridCol w:w="764"/>
        <w:gridCol w:w="633"/>
        <w:gridCol w:w="683"/>
        <w:gridCol w:w="866"/>
        <w:gridCol w:w="866"/>
        <w:gridCol w:w="666"/>
        <w:gridCol w:w="666"/>
        <w:gridCol w:w="952"/>
        <w:gridCol w:w="900"/>
        <w:gridCol w:w="866"/>
        <w:gridCol w:w="866"/>
      </w:tblGrid>
      <w:tr w:rsidR="007F5BD5" w:rsidRPr="00AD0328" w14:paraId="1BC098A6" w14:textId="77777777" w:rsidTr="005831B2">
        <w:trPr>
          <w:trHeight w:hRule="exact" w:val="532"/>
        </w:trPr>
        <w:tc>
          <w:tcPr>
            <w:tcW w:w="11186" w:type="dxa"/>
            <w:gridSpan w:val="13"/>
            <w:tcBorders>
              <w:top w:val="nil"/>
              <w:left w:val="nil"/>
              <w:bottom w:val="single" w:sz="4" w:space="0" w:color="auto"/>
              <w:right w:val="nil"/>
            </w:tcBorders>
            <w:shd w:val="clear" w:color="auto" w:fill="auto"/>
            <w:noWrap/>
            <w:vAlign w:val="bottom"/>
          </w:tcPr>
          <w:p w14:paraId="72FA5DEA" w14:textId="1EACD2B7" w:rsidR="007F5BD5" w:rsidRPr="00AD0328" w:rsidRDefault="007F5BD5" w:rsidP="005831B2">
            <w:pPr>
              <w:pStyle w:val="Heading4"/>
              <w:rPr>
                <w:lang w:bidi="ar-SA"/>
              </w:rPr>
            </w:pPr>
            <w:bookmarkStart w:id="129" w:name="_Toc433373701"/>
            <w:r w:rsidRPr="00181ACD">
              <w:rPr>
                <w:lang w:bidi="ar-SA"/>
              </w:rPr>
              <w:lastRenderedPageBreak/>
              <w:t xml:space="preserve">Table </w:t>
            </w:r>
            <w:r w:rsidR="00130130" w:rsidRPr="00181ACD">
              <w:rPr>
                <w:lang w:bidi="ar-SA"/>
              </w:rPr>
              <w:t>A2</w:t>
            </w:r>
            <w:r w:rsidRPr="00181ACD">
              <w:rPr>
                <w:lang w:bidi="ar-SA"/>
              </w:rPr>
              <w:t>. Demographic and Economic Variables for Case</w:t>
            </w:r>
            <w:r w:rsidRPr="00AD0328">
              <w:rPr>
                <w:lang w:bidi="ar-SA"/>
              </w:rPr>
              <w:t xml:space="preserve"> Study Cities</w:t>
            </w:r>
            <w:bookmarkEnd w:id="129"/>
          </w:p>
        </w:tc>
        <w:tc>
          <w:tcPr>
            <w:tcW w:w="1732" w:type="dxa"/>
            <w:gridSpan w:val="2"/>
            <w:tcBorders>
              <w:top w:val="nil"/>
              <w:left w:val="nil"/>
              <w:bottom w:val="nil"/>
              <w:right w:val="nil"/>
            </w:tcBorders>
            <w:shd w:val="clear" w:color="auto" w:fill="auto"/>
            <w:noWrap/>
            <w:vAlign w:val="bottom"/>
          </w:tcPr>
          <w:p w14:paraId="09F1C934" w14:textId="77777777" w:rsidR="007F5BD5" w:rsidRPr="00AD0328" w:rsidRDefault="007F5BD5" w:rsidP="00453EAF">
            <w:pPr>
              <w:spacing w:after="0" w:line="240" w:lineRule="auto"/>
              <w:jc w:val="center"/>
              <w:rPr>
                <w:color w:val="000000"/>
                <w:sz w:val="20"/>
                <w:szCs w:val="20"/>
                <w:lang w:bidi="ar-SA"/>
              </w:rPr>
            </w:pPr>
          </w:p>
        </w:tc>
      </w:tr>
      <w:tr w:rsidR="007F5BD5" w:rsidRPr="0049452D" w14:paraId="0B2FB687" w14:textId="77777777" w:rsidTr="00455BF8">
        <w:trPr>
          <w:trHeight w:hRule="exact" w:val="504"/>
        </w:trPr>
        <w:tc>
          <w:tcPr>
            <w:tcW w:w="1620" w:type="dxa"/>
            <w:tcBorders>
              <w:top w:val="single" w:sz="4" w:space="0" w:color="auto"/>
              <w:left w:val="nil"/>
              <w:bottom w:val="nil"/>
              <w:right w:val="nil"/>
            </w:tcBorders>
            <w:shd w:val="clear" w:color="auto" w:fill="auto"/>
            <w:noWrap/>
            <w:vAlign w:val="bottom"/>
            <w:hideMark/>
          </w:tcPr>
          <w:p w14:paraId="46ACDA17" w14:textId="77777777" w:rsidR="007F5BD5" w:rsidRPr="00BA7354" w:rsidRDefault="007F5BD5" w:rsidP="00453EAF">
            <w:pPr>
              <w:spacing w:after="0" w:line="240" w:lineRule="auto"/>
              <w:jc w:val="center"/>
              <w:rPr>
                <w:b/>
                <w:bCs/>
                <w:color w:val="000000"/>
                <w:sz w:val="20"/>
                <w:szCs w:val="20"/>
                <w:lang w:bidi="ar-SA"/>
              </w:rPr>
            </w:pPr>
            <w:r w:rsidRPr="00BA7354">
              <w:rPr>
                <w:b/>
                <w:bCs/>
                <w:color w:val="000000"/>
                <w:sz w:val="20"/>
                <w:szCs w:val="20"/>
                <w:lang w:bidi="ar-SA"/>
              </w:rPr>
              <w:t>Cities</w:t>
            </w:r>
          </w:p>
        </w:tc>
        <w:tc>
          <w:tcPr>
            <w:tcW w:w="1806" w:type="dxa"/>
            <w:gridSpan w:val="2"/>
            <w:tcBorders>
              <w:top w:val="single" w:sz="4" w:space="0" w:color="auto"/>
              <w:left w:val="nil"/>
              <w:bottom w:val="nil"/>
              <w:right w:val="nil"/>
            </w:tcBorders>
            <w:shd w:val="clear" w:color="auto" w:fill="auto"/>
            <w:noWrap/>
            <w:vAlign w:val="bottom"/>
            <w:hideMark/>
          </w:tcPr>
          <w:p w14:paraId="703790A0"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Population</w:t>
            </w:r>
          </w:p>
        </w:tc>
        <w:tc>
          <w:tcPr>
            <w:tcW w:w="1528" w:type="dxa"/>
            <w:gridSpan w:val="2"/>
            <w:tcBorders>
              <w:top w:val="single" w:sz="4" w:space="0" w:color="auto"/>
              <w:left w:val="nil"/>
              <w:bottom w:val="nil"/>
              <w:right w:val="nil"/>
            </w:tcBorders>
            <w:shd w:val="clear" w:color="auto" w:fill="auto"/>
            <w:noWrap/>
            <w:vAlign w:val="bottom"/>
            <w:hideMark/>
          </w:tcPr>
          <w:p w14:paraId="1EB43606"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Unemployment</w:t>
            </w:r>
          </w:p>
        </w:tc>
        <w:tc>
          <w:tcPr>
            <w:tcW w:w="1316" w:type="dxa"/>
            <w:gridSpan w:val="2"/>
            <w:tcBorders>
              <w:top w:val="single" w:sz="4" w:space="0" w:color="auto"/>
              <w:left w:val="nil"/>
              <w:bottom w:val="nil"/>
              <w:right w:val="nil"/>
            </w:tcBorders>
            <w:shd w:val="clear" w:color="auto" w:fill="auto"/>
            <w:noWrap/>
            <w:vAlign w:val="bottom"/>
            <w:hideMark/>
          </w:tcPr>
          <w:p w14:paraId="02894D3D"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TANF Recipients</w:t>
            </w:r>
          </w:p>
        </w:tc>
        <w:tc>
          <w:tcPr>
            <w:tcW w:w="1732" w:type="dxa"/>
            <w:gridSpan w:val="2"/>
            <w:tcBorders>
              <w:top w:val="single" w:sz="4" w:space="0" w:color="auto"/>
              <w:left w:val="nil"/>
              <w:bottom w:val="nil"/>
              <w:right w:val="nil"/>
            </w:tcBorders>
            <w:shd w:val="clear" w:color="auto" w:fill="auto"/>
            <w:noWrap/>
            <w:vAlign w:val="bottom"/>
            <w:hideMark/>
          </w:tcPr>
          <w:p w14:paraId="6864D475"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 xml:space="preserve">Net Grand List </w:t>
            </w:r>
          </w:p>
          <w:p w14:paraId="7F37684A"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(in millions)</w:t>
            </w:r>
          </w:p>
        </w:tc>
        <w:tc>
          <w:tcPr>
            <w:tcW w:w="1332" w:type="dxa"/>
            <w:gridSpan w:val="2"/>
            <w:tcBorders>
              <w:top w:val="single" w:sz="4" w:space="0" w:color="auto"/>
              <w:left w:val="nil"/>
              <w:bottom w:val="nil"/>
              <w:right w:val="nil"/>
            </w:tcBorders>
            <w:shd w:val="clear" w:color="auto" w:fill="auto"/>
            <w:noWrap/>
            <w:vAlign w:val="bottom"/>
            <w:hideMark/>
          </w:tcPr>
          <w:p w14:paraId="0BA8E349"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Mill Rate</w:t>
            </w:r>
          </w:p>
        </w:tc>
        <w:tc>
          <w:tcPr>
            <w:tcW w:w="1852" w:type="dxa"/>
            <w:gridSpan w:val="2"/>
            <w:tcBorders>
              <w:top w:val="single" w:sz="4" w:space="0" w:color="auto"/>
              <w:left w:val="nil"/>
              <w:bottom w:val="nil"/>
              <w:right w:val="nil"/>
            </w:tcBorders>
            <w:shd w:val="clear" w:color="auto" w:fill="auto"/>
            <w:noWrap/>
            <w:vAlign w:val="bottom"/>
            <w:hideMark/>
          </w:tcPr>
          <w:p w14:paraId="6924197F"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 xml:space="preserve">Prop Tax Revenues </w:t>
            </w:r>
          </w:p>
          <w:p w14:paraId="28F2FCE6"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(in millions)</w:t>
            </w:r>
          </w:p>
        </w:tc>
        <w:tc>
          <w:tcPr>
            <w:tcW w:w="1732" w:type="dxa"/>
            <w:gridSpan w:val="2"/>
            <w:tcBorders>
              <w:top w:val="single" w:sz="4" w:space="0" w:color="auto"/>
              <w:left w:val="nil"/>
              <w:right w:val="nil"/>
            </w:tcBorders>
            <w:shd w:val="clear" w:color="auto" w:fill="auto"/>
            <w:noWrap/>
            <w:vAlign w:val="bottom"/>
            <w:hideMark/>
          </w:tcPr>
          <w:p w14:paraId="0CDCBC47"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Total Revenues (in millions)</w:t>
            </w:r>
          </w:p>
        </w:tc>
      </w:tr>
      <w:tr w:rsidR="007F5BD5" w:rsidRPr="0049452D" w14:paraId="1C7C74E0" w14:textId="77777777" w:rsidTr="00455BF8">
        <w:trPr>
          <w:trHeight w:hRule="exact" w:val="274"/>
        </w:trPr>
        <w:tc>
          <w:tcPr>
            <w:tcW w:w="1620" w:type="dxa"/>
            <w:tcBorders>
              <w:top w:val="nil"/>
              <w:left w:val="nil"/>
              <w:bottom w:val="single" w:sz="4" w:space="0" w:color="auto"/>
              <w:right w:val="nil"/>
            </w:tcBorders>
            <w:shd w:val="clear" w:color="auto" w:fill="auto"/>
            <w:noWrap/>
            <w:vAlign w:val="bottom"/>
            <w:hideMark/>
          </w:tcPr>
          <w:p w14:paraId="407A1E80" w14:textId="77777777" w:rsidR="007F5BD5" w:rsidRPr="00BA7354" w:rsidRDefault="007F5BD5" w:rsidP="00453EAF">
            <w:pPr>
              <w:spacing w:after="0" w:line="240" w:lineRule="auto"/>
              <w:jc w:val="center"/>
              <w:rPr>
                <w:b/>
                <w:color w:val="000000"/>
                <w:sz w:val="20"/>
                <w:szCs w:val="20"/>
                <w:lang w:bidi="ar-SA"/>
              </w:rPr>
            </w:pPr>
          </w:p>
        </w:tc>
        <w:tc>
          <w:tcPr>
            <w:tcW w:w="940" w:type="dxa"/>
            <w:tcBorders>
              <w:top w:val="nil"/>
              <w:left w:val="nil"/>
              <w:bottom w:val="single" w:sz="4" w:space="0" w:color="auto"/>
              <w:right w:val="nil"/>
            </w:tcBorders>
            <w:shd w:val="clear" w:color="auto" w:fill="auto"/>
            <w:noWrap/>
            <w:vAlign w:val="bottom"/>
            <w:hideMark/>
          </w:tcPr>
          <w:p w14:paraId="27F0FCF4"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2013</w:t>
            </w:r>
          </w:p>
        </w:tc>
        <w:tc>
          <w:tcPr>
            <w:tcW w:w="866" w:type="dxa"/>
            <w:tcBorders>
              <w:top w:val="nil"/>
              <w:left w:val="nil"/>
              <w:bottom w:val="single" w:sz="4" w:space="0" w:color="auto"/>
              <w:right w:val="nil"/>
            </w:tcBorders>
            <w:shd w:val="clear" w:color="auto" w:fill="auto"/>
            <w:noWrap/>
            <w:vAlign w:val="bottom"/>
            <w:hideMark/>
          </w:tcPr>
          <w:p w14:paraId="6324D80F"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2009</w:t>
            </w:r>
          </w:p>
        </w:tc>
        <w:tc>
          <w:tcPr>
            <w:tcW w:w="764" w:type="dxa"/>
            <w:tcBorders>
              <w:top w:val="nil"/>
              <w:left w:val="nil"/>
              <w:bottom w:val="single" w:sz="4" w:space="0" w:color="auto"/>
              <w:right w:val="nil"/>
            </w:tcBorders>
            <w:shd w:val="clear" w:color="auto" w:fill="auto"/>
            <w:noWrap/>
            <w:vAlign w:val="bottom"/>
            <w:hideMark/>
          </w:tcPr>
          <w:p w14:paraId="178192DD"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2013</w:t>
            </w:r>
          </w:p>
        </w:tc>
        <w:tc>
          <w:tcPr>
            <w:tcW w:w="764" w:type="dxa"/>
            <w:tcBorders>
              <w:top w:val="nil"/>
              <w:left w:val="nil"/>
              <w:bottom w:val="single" w:sz="4" w:space="0" w:color="auto"/>
              <w:right w:val="nil"/>
            </w:tcBorders>
            <w:shd w:val="clear" w:color="auto" w:fill="auto"/>
            <w:noWrap/>
            <w:vAlign w:val="bottom"/>
            <w:hideMark/>
          </w:tcPr>
          <w:p w14:paraId="60EBF2D6"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2009</w:t>
            </w:r>
          </w:p>
        </w:tc>
        <w:tc>
          <w:tcPr>
            <w:tcW w:w="633" w:type="dxa"/>
            <w:tcBorders>
              <w:top w:val="nil"/>
              <w:left w:val="nil"/>
              <w:bottom w:val="single" w:sz="4" w:space="0" w:color="auto"/>
              <w:right w:val="nil"/>
            </w:tcBorders>
            <w:shd w:val="clear" w:color="auto" w:fill="auto"/>
            <w:noWrap/>
            <w:vAlign w:val="bottom"/>
            <w:hideMark/>
          </w:tcPr>
          <w:p w14:paraId="56CFF1AE"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2013</w:t>
            </w:r>
          </w:p>
        </w:tc>
        <w:tc>
          <w:tcPr>
            <w:tcW w:w="683" w:type="dxa"/>
            <w:tcBorders>
              <w:top w:val="nil"/>
              <w:left w:val="nil"/>
              <w:bottom w:val="single" w:sz="4" w:space="0" w:color="auto"/>
              <w:right w:val="nil"/>
            </w:tcBorders>
            <w:shd w:val="clear" w:color="auto" w:fill="auto"/>
            <w:noWrap/>
            <w:vAlign w:val="bottom"/>
            <w:hideMark/>
          </w:tcPr>
          <w:p w14:paraId="0277764F"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2009</w:t>
            </w:r>
          </w:p>
        </w:tc>
        <w:tc>
          <w:tcPr>
            <w:tcW w:w="866" w:type="dxa"/>
            <w:tcBorders>
              <w:top w:val="nil"/>
              <w:left w:val="nil"/>
              <w:bottom w:val="single" w:sz="4" w:space="0" w:color="auto"/>
              <w:right w:val="nil"/>
            </w:tcBorders>
            <w:shd w:val="clear" w:color="auto" w:fill="auto"/>
            <w:noWrap/>
            <w:vAlign w:val="bottom"/>
            <w:hideMark/>
          </w:tcPr>
          <w:p w14:paraId="3C025CDD"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2013</w:t>
            </w:r>
          </w:p>
        </w:tc>
        <w:tc>
          <w:tcPr>
            <w:tcW w:w="866" w:type="dxa"/>
            <w:tcBorders>
              <w:top w:val="nil"/>
              <w:left w:val="nil"/>
              <w:bottom w:val="single" w:sz="4" w:space="0" w:color="auto"/>
              <w:right w:val="nil"/>
            </w:tcBorders>
            <w:shd w:val="clear" w:color="auto" w:fill="auto"/>
            <w:noWrap/>
            <w:vAlign w:val="bottom"/>
            <w:hideMark/>
          </w:tcPr>
          <w:p w14:paraId="41B14B8D"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2009</w:t>
            </w:r>
          </w:p>
        </w:tc>
        <w:tc>
          <w:tcPr>
            <w:tcW w:w="666" w:type="dxa"/>
            <w:tcBorders>
              <w:top w:val="nil"/>
              <w:left w:val="nil"/>
              <w:bottom w:val="single" w:sz="4" w:space="0" w:color="auto"/>
              <w:right w:val="nil"/>
            </w:tcBorders>
            <w:shd w:val="clear" w:color="auto" w:fill="auto"/>
            <w:noWrap/>
            <w:vAlign w:val="bottom"/>
            <w:hideMark/>
          </w:tcPr>
          <w:p w14:paraId="49AC32B8"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2013</w:t>
            </w:r>
          </w:p>
        </w:tc>
        <w:tc>
          <w:tcPr>
            <w:tcW w:w="666" w:type="dxa"/>
            <w:tcBorders>
              <w:top w:val="nil"/>
              <w:left w:val="nil"/>
              <w:bottom w:val="single" w:sz="4" w:space="0" w:color="auto"/>
              <w:right w:val="nil"/>
            </w:tcBorders>
            <w:shd w:val="clear" w:color="auto" w:fill="auto"/>
            <w:noWrap/>
            <w:vAlign w:val="bottom"/>
            <w:hideMark/>
          </w:tcPr>
          <w:p w14:paraId="6E229628"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2009</w:t>
            </w:r>
          </w:p>
        </w:tc>
        <w:tc>
          <w:tcPr>
            <w:tcW w:w="952" w:type="dxa"/>
            <w:tcBorders>
              <w:top w:val="nil"/>
              <w:left w:val="nil"/>
              <w:bottom w:val="single" w:sz="4" w:space="0" w:color="auto"/>
              <w:right w:val="nil"/>
            </w:tcBorders>
            <w:shd w:val="clear" w:color="auto" w:fill="auto"/>
            <w:noWrap/>
            <w:vAlign w:val="bottom"/>
            <w:hideMark/>
          </w:tcPr>
          <w:p w14:paraId="3FE76A27"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2013</w:t>
            </w:r>
          </w:p>
        </w:tc>
        <w:tc>
          <w:tcPr>
            <w:tcW w:w="900" w:type="dxa"/>
            <w:tcBorders>
              <w:top w:val="nil"/>
              <w:left w:val="nil"/>
              <w:bottom w:val="single" w:sz="4" w:space="0" w:color="auto"/>
              <w:right w:val="nil"/>
            </w:tcBorders>
            <w:shd w:val="clear" w:color="auto" w:fill="auto"/>
            <w:noWrap/>
            <w:vAlign w:val="bottom"/>
            <w:hideMark/>
          </w:tcPr>
          <w:p w14:paraId="2BE02A1E"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2009</w:t>
            </w:r>
          </w:p>
        </w:tc>
        <w:tc>
          <w:tcPr>
            <w:tcW w:w="866" w:type="dxa"/>
            <w:tcBorders>
              <w:top w:val="nil"/>
              <w:left w:val="nil"/>
              <w:bottom w:val="single" w:sz="4" w:space="0" w:color="auto"/>
              <w:right w:val="nil"/>
            </w:tcBorders>
            <w:shd w:val="clear" w:color="auto" w:fill="auto"/>
            <w:noWrap/>
            <w:vAlign w:val="bottom"/>
            <w:hideMark/>
          </w:tcPr>
          <w:p w14:paraId="51BC9378"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2013</w:t>
            </w:r>
          </w:p>
        </w:tc>
        <w:tc>
          <w:tcPr>
            <w:tcW w:w="866" w:type="dxa"/>
            <w:tcBorders>
              <w:top w:val="nil"/>
              <w:left w:val="nil"/>
              <w:bottom w:val="single" w:sz="4" w:space="0" w:color="auto"/>
              <w:right w:val="nil"/>
            </w:tcBorders>
            <w:shd w:val="clear" w:color="auto" w:fill="auto"/>
            <w:noWrap/>
            <w:vAlign w:val="bottom"/>
            <w:hideMark/>
          </w:tcPr>
          <w:p w14:paraId="4A7242E0" w14:textId="77777777" w:rsidR="007F5BD5" w:rsidRPr="00BA7354" w:rsidRDefault="007F5BD5" w:rsidP="00453EAF">
            <w:pPr>
              <w:spacing w:after="0" w:line="240" w:lineRule="auto"/>
              <w:jc w:val="center"/>
              <w:rPr>
                <w:b/>
                <w:color w:val="000000"/>
                <w:sz w:val="20"/>
                <w:szCs w:val="20"/>
                <w:lang w:bidi="ar-SA"/>
              </w:rPr>
            </w:pPr>
            <w:r w:rsidRPr="00BA7354">
              <w:rPr>
                <w:b/>
                <w:color w:val="000000"/>
                <w:sz w:val="20"/>
                <w:szCs w:val="20"/>
                <w:lang w:bidi="ar-SA"/>
              </w:rPr>
              <w:t>2009</w:t>
            </w:r>
          </w:p>
        </w:tc>
      </w:tr>
      <w:tr w:rsidR="007F5BD5" w:rsidRPr="0049452D" w14:paraId="17984099" w14:textId="77777777" w:rsidTr="00455BF8">
        <w:trPr>
          <w:trHeight w:hRule="exact" w:val="274"/>
        </w:trPr>
        <w:tc>
          <w:tcPr>
            <w:tcW w:w="1620" w:type="dxa"/>
            <w:tcBorders>
              <w:top w:val="single" w:sz="4" w:space="0" w:color="auto"/>
              <w:left w:val="nil"/>
              <w:bottom w:val="nil"/>
              <w:right w:val="nil"/>
            </w:tcBorders>
            <w:shd w:val="clear" w:color="auto" w:fill="auto"/>
            <w:noWrap/>
            <w:vAlign w:val="bottom"/>
            <w:hideMark/>
          </w:tcPr>
          <w:p w14:paraId="6D9C859F" w14:textId="77777777" w:rsidR="007F5BD5" w:rsidRPr="0049452D" w:rsidRDefault="007F5BD5" w:rsidP="00453EAF">
            <w:pPr>
              <w:spacing w:after="0" w:line="240" w:lineRule="auto"/>
              <w:rPr>
                <w:b/>
                <w:bCs/>
                <w:color w:val="000000"/>
                <w:sz w:val="20"/>
                <w:szCs w:val="20"/>
                <w:lang w:bidi="ar-SA"/>
              </w:rPr>
            </w:pPr>
            <w:r w:rsidRPr="0049452D">
              <w:rPr>
                <w:b/>
                <w:bCs/>
                <w:color w:val="000000"/>
                <w:sz w:val="20"/>
                <w:szCs w:val="20"/>
                <w:lang w:bidi="ar-SA"/>
              </w:rPr>
              <w:t xml:space="preserve">   Large Cities</w:t>
            </w:r>
          </w:p>
        </w:tc>
        <w:tc>
          <w:tcPr>
            <w:tcW w:w="940" w:type="dxa"/>
            <w:tcBorders>
              <w:top w:val="single" w:sz="4" w:space="0" w:color="auto"/>
              <w:left w:val="nil"/>
              <w:bottom w:val="nil"/>
              <w:right w:val="nil"/>
            </w:tcBorders>
            <w:shd w:val="clear" w:color="auto" w:fill="auto"/>
            <w:noWrap/>
            <w:vAlign w:val="bottom"/>
            <w:hideMark/>
          </w:tcPr>
          <w:p w14:paraId="28BF1335" w14:textId="77777777" w:rsidR="007F5BD5" w:rsidRPr="0049452D" w:rsidRDefault="007F5BD5" w:rsidP="00453EAF">
            <w:pPr>
              <w:spacing w:after="0" w:line="240" w:lineRule="auto"/>
              <w:rPr>
                <w:b/>
                <w:bCs/>
                <w:color w:val="000000"/>
                <w:sz w:val="20"/>
                <w:szCs w:val="20"/>
                <w:lang w:bidi="ar-SA"/>
              </w:rPr>
            </w:pPr>
          </w:p>
        </w:tc>
        <w:tc>
          <w:tcPr>
            <w:tcW w:w="866" w:type="dxa"/>
            <w:tcBorders>
              <w:top w:val="single" w:sz="4" w:space="0" w:color="auto"/>
              <w:left w:val="nil"/>
              <w:bottom w:val="nil"/>
              <w:right w:val="nil"/>
            </w:tcBorders>
            <w:shd w:val="clear" w:color="auto" w:fill="auto"/>
            <w:noWrap/>
            <w:vAlign w:val="bottom"/>
            <w:hideMark/>
          </w:tcPr>
          <w:p w14:paraId="4550A834" w14:textId="77777777" w:rsidR="007F5BD5" w:rsidRPr="0049452D" w:rsidRDefault="007F5BD5" w:rsidP="00453EAF">
            <w:pPr>
              <w:spacing w:after="0" w:line="240" w:lineRule="auto"/>
              <w:rPr>
                <w:sz w:val="20"/>
                <w:szCs w:val="20"/>
                <w:lang w:bidi="ar-SA"/>
              </w:rPr>
            </w:pPr>
          </w:p>
        </w:tc>
        <w:tc>
          <w:tcPr>
            <w:tcW w:w="764" w:type="dxa"/>
            <w:tcBorders>
              <w:top w:val="single" w:sz="4" w:space="0" w:color="auto"/>
              <w:left w:val="nil"/>
              <w:bottom w:val="nil"/>
              <w:right w:val="nil"/>
            </w:tcBorders>
            <w:shd w:val="clear" w:color="auto" w:fill="auto"/>
            <w:noWrap/>
            <w:vAlign w:val="bottom"/>
            <w:hideMark/>
          </w:tcPr>
          <w:p w14:paraId="4251A576" w14:textId="77777777" w:rsidR="007F5BD5" w:rsidRPr="0049452D" w:rsidRDefault="007F5BD5" w:rsidP="00453EAF">
            <w:pPr>
              <w:spacing w:after="0" w:line="240" w:lineRule="auto"/>
              <w:rPr>
                <w:sz w:val="20"/>
                <w:szCs w:val="20"/>
                <w:lang w:bidi="ar-SA"/>
              </w:rPr>
            </w:pPr>
          </w:p>
        </w:tc>
        <w:tc>
          <w:tcPr>
            <w:tcW w:w="764" w:type="dxa"/>
            <w:tcBorders>
              <w:top w:val="single" w:sz="4" w:space="0" w:color="auto"/>
              <w:left w:val="nil"/>
              <w:bottom w:val="nil"/>
              <w:right w:val="nil"/>
            </w:tcBorders>
            <w:shd w:val="clear" w:color="auto" w:fill="auto"/>
            <w:noWrap/>
            <w:vAlign w:val="bottom"/>
            <w:hideMark/>
          </w:tcPr>
          <w:p w14:paraId="51458026" w14:textId="77777777" w:rsidR="007F5BD5" w:rsidRPr="0049452D" w:rsidRDefault="007F5BD5" w:rsidP="00453EAF">
            <w:pPr>
              <w:spacing w:after="0" w:line="240" w:lineRule="auto"/>
              <w:rPr>
                <w:sz w:val="20"/>
                <w:szCs w:val="20"/>
                <w:lang w:bidi="ar-SA"/>
              </w:rPr>
            </w:pPr>
          </w:p>
        </w:tc>
        <w:tc>
          <w:tcPr>
            <w:tcW w:w="633" w:type="dxa"/>
            <w:tcBorders>
              <w:top w:val="single" w:sz="4" w:space="0" w:color="auto"/>
              <w:left w:val="nil"/>
              <w:bottom w:val="nil"/>
              <w:right w:val="nil"/>
            </w:tcBorders>
            <w:shd w:val="clear" w:color="auto" w:fill="auto"/>
            <w:noWrap/>
            <w:vAlign w:val="bottom"/>
            <w:hideMark/>
          </w:tcPr>
          <w:p w14:paraId="72521B4D" w14:textId="77777777" w:rsidR="007F5BD5" w:rsidRPr="0049452D" w:rsidRDefault="007F5BD5" w:rsidP="00453EAF">
            <w:pPr>
              <w:spacing w:after="0" w:line="240" w:lineRule="auto"/>
              <w:rPr>
                <w:sz w:val="20"/>
                <w:szCs w:val="20"/>
                <w:lang w:bidi="ar-SA"/>
              </w:rPr>
            </w:pPr>
          </w:p>
        </w:tc>
        <w:tc>
          <w:tcPr>
            <w:tcW w:w="683" w:type="dxa"/>
            <w:tcBorders>
              <w:top w:val="single" w:sz="4" w:space="0" w:color="auto"/>
              <w:left w:val="nil"/>
              <w:bottom w:val="nil"/>
              <w:right w:val="nil"/>
            </w:tcBorders>
            <w:shd w:val="clear" w:color="auto" w:fill="auto"/>
            <w:noWrap/>
            <w:vAlign w:val="bottom"/>
            <w:hideMark/>
          </w:tcPr>
          <w:p w14:paraId="52EE4F95" w14:textId="77777777" w:rsidR="007F5BD5" w:rsidRPr="0049452D" w:rsidRDefault="007F5BD5" w:rsidP="00453EAF">
            <w:pPr>
              <w:spacing w:after="0" w:line="240" w:lineRule="auto"/>
              <w:rPr>
                <w:sz w:val="20"/>
                <w:szCs w:val="20"/>
                <w:lang w:bidi="ar-SA"/>
              </w:rPr>
            </w:pPr>
          </w:p>
        </w:tc>
        <w:tc>
          <w:tcPr>
            <w:tcW w:w="866" w:type="dxa"/>
            <w:tcBorders>
              <w:top w:val="single" w:sz="4" w:space="0" w:color="auto"/>
              <w:left w:val="nil"/>
              <w:bottom w:val="nil"/>
              <w:right w:val="nil"/>
            </w:tcBorders>
            <w:shd w:val="clear" w:color="auto" w:fill="auto"/>
            <w:noWrap/>
            <w:vAlign w:val="bottom"/>
            <w:hideMark/>
          </w:tcPr>
          <w:p w14:paraId="1B6FF5A7" w14:textId="77777777" w:rsidR="007F5BD5" w:rsidRPr="0049452D" w:rsidRDefault="007F5BD5" w:rsidP="00453EAF">
            <w:pPr>
              <w:spacing w:after="0" w:line="240" w:lineRule="auto"/>
              <w:rPr>
                <w:sz w:val="20"/>
                <w:szCs w:val="20"/>
                <w:lang w:bidi="ar-SA"/>
              </w:rPr>
            </w:pPr>
          </w:p>
        </w:tc>
        <w:tc>
          <w:tcPr>
            <w:tcW w:w="866" w:type="dxa"/>
            <w:tcBorders>
              <w:top w:val="single" w:sz="4" w:space="0" w:color="auto"/>
              <w:left w:val="nil"/>
              <w:bottom w:val="nil"/>
              <w:right w:val="nil"/>
            </w:tcBorders>
            <w:shd w:val="clear" w:color="auto" w:fill="auto"/>
            <w:noWrap/>
            <w:vAlign w:val="bottom"/>
            <w:hideMark/>
          </w:tcPr>
          <w:p w14:paraId="312FB813" w14:textId="77777777" w:rsidR="007F5BD5" w:rsidRPr="0049452D" w:rsidRDefault="007F5BD5" w:rsidP="00453EAF">
            <w:pPr>
              <w:spacing w:after="0" w:line="240" w:lineRule="auto"/>
              <w:rPr>
                <w:sz w:val="20"/>
                <w:szCs w:val="20"/>
                <w:lang w:bidi="ar-SA"/>
              </w:rPr>
            </w:pPr>
          </w:p>
        </w:tc>
        <w:tc>
          <w:tcPr>
            <w:tcW w:w="666" w:type="dxa"/>
            <w:tcBorders>
              <w:top w:val="single" w:sz="4" w:space="0" w:color="auto"/>
              <w:left w:val="nil"/>
              <w:bottom w:val="nil"/>
              <w:right w:val="nil"/>
            </w:tcBorders>
            <w:shd w:val="clear" w:color="auto" w:fill="auto"/>
            <w:noWrap/>
            <w:vAlign w:val="bottom"/>
            <w:hideMark/>
          </w:tcPr>
          <w:p w14:paraId="0EB5716B" w14:textId="77777777" w:rsidR="007F5BD5" w:rsidRPr="0049452D" w:rsidRDefault="007F5BD5" w:rsidP="00453EAF">
            <w:pPr>
              <w:spacing w:after="0" w:line="240" w:lineRule="auto"/>
              <w:rPr>
                <w:sz w:val="20"/>
                <w:szCs w:val="20"/>
                <w:lang w:bidi="ar-SA"/>
              </w:rPr>
            </w:pPr>
          </w:p>
        </w:tc>
        <w:tc>
          <w:tcPr>
            <w:tcW w:w="666" w:type="dxa"/>
            <w:tcBorders>
              <w:top w:val="single" w:sz="4" w:space="0" w:color="auto"/>
              <w:left w:val="nil"/>
              <w:bottom w:val="nil"/>
              <w:right w:val="nil"/>
            </w:tcBorders>
            <w:shd w:val="clear" w:color="auto" w:fill="auto"/>
            <w:noWrap/>
            <w:vAlign w:val="bottom"/>
            <w:hideMark/>
          </w:tcPr>
          <w:p w14:paraId="61CCD868" w14:textId="77777777" w:rsidR="007F5BD5" w:rsidRPr="0049452D" w:rsidRDefault="007F5BD5" w:rsidP="00453EAF">
            <w:pPr>
              <w:spacing w:after="0" w:line="240" w:lineRule="auto"/>
              <w:rPr>
                <w:sz w:val="20"/>
                <w:szCs w:val="20"/>
                <w:lang w:bidi="ar-SA"/>
              </w:rPr>
            </w:pPr>
          </w:p>
        </w:tc>
        <w:tc>
          <w:tcPr>
            <w:tcW w:w="952" w:type="dxa"/>
            <w:tcBorders>
              <w:top w:val="single" w:sz="4" w:space="0" w:color="auto"/>
              <w:left w:val="nil"/>
              <w:bottom w:val="nil"/>
              <w:right w:val="nil"/>
            </w:tcBorders>
            <w:shd w:val="clear" w:color="auto" w:fill="auto"/>
            <w:noWrap/>
            <w:vAlign w:val="bottom"/>
            <w:hideMark/>
          </w:tcPr>
          <w:p w14:paraId="0A96F303" w14:textId="77777777" w:rsidR="007F5BD5" w:rsidRPr="0049452D" w:rsidRDefault="007F5BD5" w:rsidP="00453EAF">
            <w:pPr>
              <w:spacing w:after="0" w:line="240" w:lineRule="auto"/>
              <w:rPr>
                <w:sz w:val="20"/>
                <w:szCs w:val="20"/>
                <w:lang w:bidi="ar-SA"/>
              </w:rPr>
            </w:pPr>
          </w:p>
        </w:tc>
        <w:tc>
          <w:tcPr>
            <w:tcW w:w="900" w:type="dxa"/>
            <w:tcBorders>
              <w:top w:val="single" w:sz="4" w:space="0" w:color="auto"/>
              <w:left w:val="nil"/>
              <w:bottom w:val="nil"/>
              <w:right w:val="nil"/>
            </w:tcBorders>
            <w:shd w:val="clear" w:color="auto" w:fill="auto"/>
            <w:noWrap/>
            <w:vAlign w:val="bottom"/>
            <w:hideMark/>
          </w:tcPr>
          <w:p w14:paraId="5BF57CC6" w14:textId="77777777" w:rsidR="007F5BD5" w:rsidRPr="0049452D" w:rsidRDefault="007F5BD5" w:rsidP="00453EAF">
            <w:pPr>
              <w:spacing w:after="0" w:line="240" w:lineRule="auto"/>
              <w:rPr>
                <w:sz w:val="20"/>
                <w:szCs w:val="20"/>
                <w:lang w:bidi="ar-SA"/>
              </w:rPr>
            </w:pPr>
          </w:p>
        </w:tc>
        <w:tc>
          <w:tcPr>
            <w:tcW w:w="866" w:type="dxa"/>
            <w:tcBorders>
              <w:top w:val="single" w:sz="4" w:space="0" w:color="auto"/>
              <w:left w:val="nil"/>
              <w:bottom w:val="nil"/>
              <w:right w:val="nil"/>
            </w:tcBorders>
            <w:shd w:val="clear" w:color="auto" w:fill="auto"/>
            <w:noWrap/>
            <w:vAlign w:val="bottom"/>
            <w:hideMark/>
          </w:tcPr>
          <w:p w14:paraId="73C0AB17" w14:textId="77777777" w:rsidR="007F5BD5" w:rsidRPr="0049452D" w:rsidRDefault="007F5BD5" w:rsidP="00453EAF">
            <w:pPr>
              <w:spacing w:after="0" w:line="240" w:lineRule="auto"/>
              <w:rPr>
                <w:sz w:val="20"/>
                <w:szCs w:val="20"/>
                <w:lang w:bidi="ar-SA"/>
              </w:rPr>
            </w:pPr>
          </w:p>
        </w:tc>
        <w:tc>
          <w:tcPr>
            <w:tcW w:w="866" w:type="dxa"/>
            <w:tcBorders>
              <w:top w:val="single" w:sz="4" w:space="0" w:color="auto"/>
              <w:left w:val="nil"/>
              <w:bottom w:val="nil"/>
              <w:right w:val="nil"/>
            </w:tcBorders>
            <w:shd w:val="clear" w:color="auto" w:fill="auto"/>
            <w:noWrap/>
            <w:vAlign w:val="bottom"/>
            <w:hideMark/>
          </w:tcPr>
          <w:p w14:paraId="41709887" w14:textId="77777777" w:rsidR="007F5BD5" w:rsidRPr="0049452D" w:rsidRDefault="007F5BD5" w:rsidP="00453EAF">
            <w:pPr>
              <w:spacing w:after="0" w:line="240" w:lineRule="auto"/>
              <w:rPr>
                <w:sz w:val="20"/>
                <w:szCs w:val="20"/>
                <w:lang w:bidi="ar-SA"/>
              </w:rPr>
            </w:pPr>
          </w:p>
        </w:tc>
      </w:tr>
      <w:tr w:rsidR="007F5BD5" w:rsidRPr="0049452D" w14:paraId="6E94E5B9" w14:textId="77777777" w:rsidTr="00455BF8">
        <w:trPr>
          <w:trHeight w:hRule="exact" w:val="274"/>
        </w:trPr>
        <w:tc>
          <w:tcPr>
            <w:tcW w:w="1620" w:type="dxa"/>
            <w:tcBorders>
              <w:top w:val="nil"/>
              <w:left w:val="nil"/>
              <w:bottom w:val="nil"/>
              <w:right w:val="nil"/>
            </w:tcBorders>
            <w:shd w:val="clear" w:color="auto" w:fill="auto"/>
            <w:noWrap/>
            <w:vAlign w:val="bottom"/>
            <w:hideMark/>
          </w:tcPr>
          <w:p w14:paraId="46F2E0FC"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Bridgeport</w:t>
            </w:r>
          </w:p>
        </w:tc>
        <w:tc>
          <w:tcPr>
            <w:tcW w:w="940" w:type="dxa"/>
            <w:tcBorders>
              <w:top w:val="nil"/>
              <w:left w:val="nil"/>
              <w:bottom w:val="nil"/>
              <w:right w:val="nil"/>
            </w:tcBorders>
            <w:shd w:val="clear" w:color="auto" w:fill="auto"/>
            <w:noWrap/>
            <w:vAlign w:val="bottom"/>
            <w:hideMark/>
          </w:tcPr>
          <w:p w14:paraId="6EADEE3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147,216</w:t>
            </w:r>
          </w:p>
        </w:tc>
        <w:tc>
          <w:tcPr>
            <w:tcW w:w="866" w:type="dxa"/>
            <w:tcBorders>
              <w:top w:val="nil"/>
              <w:left w:val="nil"/>
              <w:bottom w:val="nil"/>
              <w:right w:val="nil"/>
            </w:tcBorders>
            <w:shd w:val="clear" w:color="auto" w:fill="auto"/>
            <w:noWrap/>
            <w:vAlign w:val="bottom"/>
            <w:hideMark/>
          </w:tcPr>
          <w:p w14:paraId="2199EAC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137,298</w:t>
            </w:r>
          </w:p>
        </w:tc>
        <w:tc>
          <w:tcPr>
            <w:tcW w:w="764" w:type="dxa"/>
            <w:tcBorders>
              <w:top w:val="nil"/>
              <w:left w:val="nil"/>
              <w:bottom w:val="nil"/>
              <w:right w:val="nil"/>
            </w:tcBorders>
            <w:shd w:val="clear" w:color="auto" w:fill="auto"/>
            <w:noWrap/>
            <w:vAlign w:val="bottom"/>
            <w:hideMark/>
          </w:tcPr>
          <w:p w14:paraId="28D008B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11.8%</w:t>
            </w:r>
          </w:p>
        </w:tc>
        <w:tc>
          <w:tcPr>
            <w:tcW w:w="764" w:type="dxa"/>
            <w:tcBorders>
              <w:top w:val="nil"/>
              <w:left w:val="nil"/>
              <w:bottom w:val="nil"/>
              <w:right w:val="nil"/>
            </w:tcBorders>
            <w:shd w:val="clear" w:color="auto" w:fill="auto"/>
            <w:noWrap/>
            <w:vAlign w:val="bottom"/>
            <w:hideMark/>
          </w:tcPr>
          <w:p w14:paraId="4FEA3D9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12.3%</w:t>
            </w:r>
          </w:p>
        </w:tc>
        <w:tc>
          <w:tcPr>
            <w:tcW w:w="633" w:type="dxa"/>
            <w:tcBorders>
              <w:top w:val="nil"/>
              <w:left w:val="nil"/>
              <w:bottom w:val="nil"/>
              <w:right w:val="nil"/>
            </w:tcBorders>
            <w:shd w:val="clear" w:color="auto" w:fill="auto"/>
            <w:noWrap/>
            <w:vAlign w:val="bottom"/>
            <w:hideMark/>
          </w:tcPr>
          <w:p w14:paraId="684910F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2.3%</w:t>
            </w:r>
          </w:p>
        </w:tc>
        <w:tc>
          <w:tcPr>
            <w:tcW w:w="683" w:type="dxa"/>
            <w:tcBorders>
              <w:top w:val="nil"/>
              <w:left w:val="nil"/>
              <w:bottom w:val="nil"/>
              <w:right w:val="nil"/>
            </w:tcBorders>
            <w:shd w:val="clear" w:color="auto" w:fill="auto"/>
            <w:noWrap/>
            <w:vAlign w:val="bottom"/>
            <w:hideMark/>
          </w:tcPr>
          <w:p w14:paraId="561D728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2.6%</w:t>
            </w:r>
          </w:p>
        </w:tc>
        <w:tc>
          <w:tcPr>
            <w:tcW w:w="866" w:type="dxa"/>
            <w:tcBorders>
              <w:top w:val="nil"/>
              <w:left w:val="nil"/>
              <w:bottom w:val="nil"/>
              <w:right w:val="nil"/>
            </w:tcBorders>
            <w:shd w:val="clear" w:color="auto" w:fill="auto"/>
            <w:noWrap/>
            <w:vAlign w:val="bottom"/>
            <w:hideMark/>
          </w:tcPr>
          <w:p w14:paraId="42C097B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$6,981 </w:t>
            </w:r>
          </w:p>
        </w:tc>
        <w:tc>
          <w:tcPr>
            <w:tcW w:w="866" w:type="dxa"/>
            <w:tcBorders>
              <w:top w:val="nil"/>
              <w:left w:val="nil"/>
              <w:bottom w:val="nil"/>
              <w:right w:val="nil"/>
            </w:tcBorders>
            <w:shd w:val="clear" w:color="auto" w:fill="auto"/>
            <w:noWrap/>
            <w:vAlign w:val="bottom"/>
            <w:hideMark/>
          </w:tcPr>
          <w:p w14:paraId="7189110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$5,540 </w:t>
            </w:r>
          </w:p>
        </w:tc>
        <w:tc>
          <w:tcPr>
            <w:tcW w:w="666" w:type="dxa"/>
            <w:tcBorders>
              <w:top w:val="nil"/>
              <w:left w:val="nil"/>
              <w:bottom w:val="nil"/>
              <w:right w:val="nil"/>
            </w:tcBorders>
            <w:shd w:val="clear" w:color="auto" w:fill="auto"/>
            <w:noWrap/>
            <w:vAlign w:val="bottom"/>
            <w:hideMark/>
          </w:tcPr>
          <w:p w14:paraId="3260548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41.11</w:t>
            </w:r>
          </w:p>
        </w:tc>
        <w:tc>
          <w:tcPr>
            <w:tcW w:w="666" w:type="dxa"/>
            <w:tcBorders>
              <w:top w:val="nil"/>
              <w:left w:val="nil"/>
              <w:bottom w:val="nil"/>
              <w:right w:val="nil"/>
            </w:tcBorders>
            <w:shd w:val="clear" w:color="auto" w:fill="auto"/>
            <w:noWrap/>
            <w:vAlign w:val="bottom"/>
            <w:hideMark/>
          </w:tcPr>
          <w:p w14:paraId="34977E0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44.58</w:t>
            </w:r>
          </w:p>
        </w:tc>
        <w:tc>
          <w:tcPr>
            <w:tcW w:w="952" w:type="dxa"/>
            <w:tcBorders>
              <w:top w:val="nil"/>
              <w:left w:val="nil"/>
              <w:bottom w:val="nil"/>
              <w:right w:val="nil"/>
            </w:tcBorders>
            <w:shd w:val="clear" w:color="auto" w:fill="auto"/>
            <w:noWrap/>
            <w:vAlign w:val="bottom"/>
            <w:hideMark/>
          </w:tcPr>
          <w:p w14:paraId="32CBD61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$285.96 </w:t>
            </w:r>
          </w:p>
        </w:tc>
        <w:tc>
          <w:tcPr>
            <w:tcW w:w="900" w:type="dxa"/>
            <w:tcBorders>
              <w:top w:val="nil"/>
              <w:left w:val="nil"/>
              <w:bottom w:val="nil"/>
              <w:right w:val="nil"/>
            </w:tcBorders>
            <w:shd w:val="clear" w:color="auto" w:fill="auto"/>
            <w:noWrap/>
            <w:vAlign w:val="bottom"/>
            <w:hideMark/>
          </w:tcPr>
          <w:p w14:paraId="50E05B7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$248.74 </w:t>
            </w:r>
          </w:p>
        </w:tc>
        <w:tc>
          <w:tcPr>
            <w:tcW w:w="866" w:type="dxa"/>
            <w:tcBorders>
              <w:top w:val="nil"/>
              <w:left w:val="nil"/>
              <w:bottom w:val="nil"/>
              <w:right w:val="nil"/>
            </w:tcBorders>
            <w:shd w:val="clear" w:color="auto" w:fill="auto"/>
            <w:noWrap/>
            <w:vAlign w:val="bottom"/>
            <w:hideMark/>
          </w:tcPr>
          <w:p w14:paraId="4A219F6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$539.08 </w:t>
            </w:r>
          </w:p>
        </w:tc>
        <w:tc>
          <w:tcPr>
            <w:tcW w:w="866" w:type="dxa"/>
            <w:tcBorders>
              <w:top w:val="nil"/>
              <w:left w:val="nil"/>
              <w:bottom w:val="nil"/>
              <w:right w:val="nil"/>
            </w:tcBorders>
            <w:shd w:val="clear" w:color="auto" w:fill="auto"/>
            <w:noWrap/>
            <w:vAlign w:val="bottom"/>
            <w:hideMark/>
          </w:tcPr>
          <w:p w14:paraId="06EDDF1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$484.34 </w:t>
            </w:r>
          </w:p>
        </w:tc>
      </w:tr>
      <w:tr w:rsidR="007F5BD5" w:rsidRPr="0049452D" w14:paraId="00F3E827" w14:textId="77777777" w:rsidTr="00455BF8">
        <w:trPr>
          <w:trHeight w:hRule="exact" w:val="274"/>
        </w:trPr>
        <w:tc>
          <w:tcPr>
            <w:tcW w:w="1620" w:type="dxa"/>
            <w:tcBorders>
              <w:top w:val="nil"/>
              <w:left w:val="nil"/>
              <w:bottom w:val="nil"/>
              <w:right w:val="nil"/>
            </w:tcBorders>
            <w:shd w:val="clear" w:color="auto" w:fill="auto"/>
            <w:noWrap/>
            <w:vAlign w:val="bottom"/>
            <w:hideMark/>
          </w:tcPr>
          <w:p w14:paraId="613DDF05"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Hartford</w:t>
            </w:r>
          </w:p>
        </w:tc>
        <w:tc>
          <w:tcPr>
            <w:tcW w:w="940" w:type="dxa"/>
            <w:tcBorders>
              <w:top w:val="nil"/>
              <w:left w:val="nil"/>
              <w:bottom w:val="nil"/>
              <w:right w:val="nil"/>
            </w:tcBorders>
            <w:shd w:val="clear" w:color="auto" w:fill="auto"/>
            <w:noWrap/>
            <w:vAlign w:val="bottom"/>
            <w:hideMark/>
          </w:tcPr>
          <w:p w14:paraId="1DA1A38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125,017</w:t>
            </w:r>
          </w:p>
        </w:tc>
        <w:tc>
          <w:tcPr>
            <w:tcW w:w="866" w:type="dxa"/>
            <w:tcBorders>
              <w:top w:val="nil"/>
              <w:left w:val="nil"/>
              <w:bottom w:val="nil"/>
              <w:right w:val="nil"/>
            </w:tcBorders>
            <w:shd w:val="clear" w:color="auto" w:fill="auto"/>
            <w:noWrap/>
            <w:vAlign w:val="bottom"/>
            <w:hideMark/>
          </w:tcPr>
          <w:p w14:paraId="5D0C1EC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124,060</w:t>
            </w:r>
          </w:p>
        </w:tc>
        <w:tc>
          <w:tcPr>
            <w:tcW w:w="764" w:type="dxa"/>
            <w:tcBorders>
              <w:top w:val="nil"/>
              <w:left w:val="nil"/>
              <w:bottom w:val="nil"/>
              <w:right w:val="nil"/>
            </w:tcBorders>
            <w:shd w:val="clear" w:color="auto" w:fill="auto"/>
            <w:noWrap/>
            <w:vAlign w:val="bottom"/>
            <w:hideMark/>
          </w:tcPr>
          <w:p w14:paraId="3506A2B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14.7%</w:t>
            </w:r>
          </w:p>
        </w:tc>
        <w:tc>
          <w:tcPr>
            <w:tcW w:w="764" w:type="dxa"/>
            <w:tcBorders>
              <w:top w:val="nil"/>
              <w:left w:val="nil"/>
              <w:bottom w:val="nil"/>
              <w:right w:val="nil"/>
            </w:tcBorders>
            <w:shd w:val="clear" w:color="auto" w:fill="auto"/>
            <w:noWrap/>
            <w:vAlign w:val="bottom"/>
            <w:hideMark/>
          </w:tcPr>
          <w:p w14:paraId="5A9D5D8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14.3%</w:t>
            </w:r>
          </w:p>
        </w:tc>
        <w:tc>
          <w:tcPr>
            <w:tcW w:w="633" w:type="dxa"/>
            <w:tcBorders>
              <w:top w:val="nil"/>
              <w:left w:val="nil"/>
              <w:bottom w:val="nil"/>
              <w:right w:val="nil"/>
            </w:tcBorders>
            <w:shd w:val="clear" w:color="auto" w:fill="auto"/>
            <w:noWrap/>
            <w:vAlign w:val="bottom"/>
            <w:hideMark/>
          </w:tcPr>
          <w:p w14:paraId="621A31C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4.3%</w:t>
            </w:r>
          </w:p>
        </w:tc>
        <w:tc>
          <w:tcPr>
            <w:tcW w:w="683" w:type="dxa"/>
            <w:tcBorders>
              <w:top w:val="nil"/>
              <w:left w:val="nil"/>
              <w:bottom w:val="nil"/>
              <w:right w:val="nil"/>
            </w:tcBorders>
            <w:shd w:val="clear" w:color="auto" w:fill="auto"/>
            <w:noWrap/>
            <w:vAlign w:val="bottom"/>
            <w:hideMark/>
          </w:tcPr>
          <w:p w14:paraId="21F567E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5.5%</w:t>
            </w:r>
          </w:p>
        </w:tc>
        <w:tc>
          <w:tcPr>
            <w:tcW w:w="866" w:type="dxa"/>
            <w:tcBorders>
              <w:top w:val="nil"/>
              <w:left w:val="nil"/>
              <w:bottom w:val="nil"/>
              <w:right w:val="nil"/>
            </w:tcBorders>
            <w:shd w:val="clear" w:color="auto" w:fill="auto"/>
            <w:noWrap/>
            <w:vAlign w:val="bottom"/>
            <w:hideMark/>
          </w:tcPr>
          <w:p w14:paraId="5EA0E2D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$3,398 </w:t>
            </w:r>
          </w:p>
        </w:tc>
        <w:tc>
          <w:tcPr>
            <w:tcW w:w="866" w:type="dxa"/>
            <w:tcBorders>
              <w:top w:val="nil"/>
              <w:left w:val="nil"/>
              <w:bottom w:val="nil"/>
              <w:right w:val="nil"/>
            </w:tcBorders>
            <w:shd w:val="clear" w:color="auto" w:fill="auto"/>
            <w:noWrap/>
            <w:vAlign w:val="bottom"/>
            <w:hideMark/>
          </w:tcPr>
          <w:p w14:paraId="5D2C041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$3,451 </w:t>
            </w:r>
          </w:p>
        </w:tc>
        <w:tc>
          <w:tcPr>
            <w:tcW w:w="666" w:type="dxa"/>
            <w:tcBorders>
              <w:top w:val="nil"/>
              <w:left w:val="nil"/>
              <w:bottom w:val="nil"/>
              <w:right w:val="nil"/>
            </w:tcBorders>
            <w:shd w:val="clear" w:color="auto" w:fill="auto"/>
            <w:noWrap/>
            <w:vAlign w:val="bottom"/>
            <w:hideMark/>
          </w:tcPr>
          <w:p w14:paraId="7CA69F7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74.29</w:t>
            </w:r>
          </w:p>
        </w:tc>
        <w:tc>
          <w:tcPr>
            <w:tcW w:w="666" w:type="dxa"/>
            <w:tcBorders>
              <w:top w:val="nil"/>
              <w:left w:val="nil"/>
              <w:bottom w:val="nil"/>
              <w:right w:val="nil"/>
            </w:tcBorders>
            <w:shd w:val="clear" w:color="auto" w:fill="auto"/>
            <w:noWrap/>
            <w:vAlign w:val="bottom"/>
            <w:hideMark/>
          </w:tcPr>
          <w:p w14:paraId="1F410E7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68.34</w:t>
            </w:r>
          </w:p>
        </w:tc>
        <w:tc>
          <w:tcPr>
            <w:tcW w:w="952" w:type="dxa"/>
            <w:tcBorders>
              <w:top w:val="nil"/>
              <w:left w:val="nil"/>
              <w:bottom w:val="nil"/>
              <w:right w:val="nil"/>
            </w:tcBorders>
            <w:shd w:val="clear" w:color="auto" w:fill="auto"/>
            <w:noWrap/>
            <w:vAlign w:val="bottom"/>
            <w:hideMark/>
          </w:tcPr>
          <w:p w14:paraId="1DD4007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$255.55 </w:t>
            </w:r>
          </w:p>
        </w:tc>
        <w:tc>
          <w:tcPr>
            <w:tcW w:w="900" w:type="dxa"/>
            <w:tcBorders>
              <w:top w:val="nil"/>
              <w:left w:val="nil"/>
              <w:bottom w:val="nil"/>
              <w:right w:val="nil"/>
            </w:tcBorders>
            <w:shd w:val="clear" w:color="auto" w:fill="auto"/>
            <w:noWrap/>
            <w:vAlign w:val="bottom"/>
            <w:hideMark/>
          </w:tcPr>
          <w:p w14:paraId="6922688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$250.67 </w:t>
            </w:r>
          </w:p>
        </w:tc>
        <w:tc>
          <w:tcPr>
            <w:tcW w:w="866" w:type="dxa"/>
            <w:tcBorders>
              <w:top w:val="nil"/>
              <w:left w:val="nil"/>
              <w:bottom w:val="nil"/>
              <w:right w:val="nil"/>
            </w:tcBorders>
            <w:shd w:val="clear" w:color="auto" w:fill="auto"/>
            <w:noWrap/>
            <w:vAlign w:val="bottom"/>
            <w:hideMark/>
          </w:tcPr>
          <w:p w14:paraId="681230E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$549.64 </w:t>
            </w:r>
          </w:p>
        </w:tc>
        <w:tc>
          <w:tcPr>
            <w:tcW w:w="866" w:type="dxa"/>
            <w:tcBorders>
              <w:top w:val="nil"/>
              <w:left w:val="nil"/>
              <w:bottom w:val="nil"/>
              <w:right w:val="nil"/>
            </w:tcBorders>
            <w:shd w:val="clear" w:color="auto" w:fill="auto"/>
            <w:noWrap/>
            <w:vAlign w:val="bottom"/>
            <w:hideMark/>
          </w:tcPr>
          <w:p w14:paraId="1CEB10E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$540.96 </w:t>
            </w:r>
          </w:p>
        </w:tc>
      </w:tr>
      <w:tr w:rsidR="007F5BD5" w:rsidRPr="0049452D" w14:paraId="35126E33" w14:textId="77777777" w:rsidTr="00455BF8">
        <w:trPr>
          <w:trHeight w:hRule="exact" w:val="274"/>
        </w:trPr>
        <w:tc>
          <w:tcPr>
            <w:tcW w:w="1620" w:type="dxa"/>
            <w:tcBorders>
              <w:top w:val="nil"/>
              <w:left w:val="nil"/>
              <w:bottom w:val="nil"/>
              <w:right w:val="nil"/>
            </w:tcBorders>
            <w:shd w:val="clear" w:color="auto" w:fill="auto"/>
            <w:noWrap/>
            <w:vAlign w:val="bottom"/>
            <w:hideMark/>
          </w:tcPr>
          <w:p w14:paraId="281DD42C"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New Haven</w:t>
            </w:r>
          </w:p>
        </w:tc>
        <w:tc>
          <w:tcPr>
            <w:tcW w:w="940" w:type="dxa"/>
            <w:tcBorders>
              <w:top w:val="nil"/>
              <w:left w:val="nil"/>
              <w:bottom w:val="nil"/>
              <w:right w:val="nil"/>
            </w:tcBorders>
            <w:shd w:val="clear" w:color="auto" w:fill="auto"/>
            <w:noWrap/>
            <w:vAlign w:val="bottom"/>
            <w:hideMark/>
          </w:tcPr>
          <w:p w14:paraId="1B6151B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130,660</w:t>
            </w:r>
          </w:p>
        </w:tc>
        <w:tc>
          <w:tcPr>
            <w:tcW w:w="866" w:type="dxa"/>
            <w:tcBorders>
              <w:top w:val="nil"/>
              <w:left w:val="nil"/>
              <w:bottom w:val="nil"/>
              <w:right w:val="nil"/>
            </w:tcBorders>
            <w:shd w:val="clear" w:color="auto" w:fill="auto"/>
            <w:noWrap/>
            <w:vAlign w:val="bottom"/>
            <w:hideMark/>
          </w:tcPr>
          <w:p w14:paraId="7F887B2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123,330</w:t>
            </w:r>
          </w:p>
        </w:tc>
        <w:tc>
          <w:tcPr>
            <w:tcW w:w="764" w:type="dxa"/>
            <w:tcBorders>
              <w:top w:val="nil"/>
              <w:left w:val="nil"/>
              <w:bottom w:val="nil"/>
              <w:right w:val="nil"/>
            </w:tcBorders>
            <w:shd w:val="clear" w:color="auto" w:fill="auto"/>
            <w:noWrap/>
            <w:vAlign w:val="bottom"/>
            <w:hideMark/>
          </w:tcPr>
          <w:p w14:paraId="31E9B36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11.2%</w:t>
            </w:r>
          </w:p>
        </w:tc>
        <w:tc>
          <w:tcPr>
            <w:tcW w:w="764" w:type="dxa"/>
            <w:tcBorders>
              <w:top w:val="nil"/>
              <w:left w:val="nil"/>
              <w:bottom w:val="nil"/>
              <w:right w:val="nil"/>
            </w:tcBorders>
            <w:shd w:val="clear" w:color="auto" w:fill="auto"/>
            <w:noWrap/>
            <w:vAlign w:val="bottom"/>
            <w:hideMark/>
          </w:tcPr>
          <w:p w14:paraId="6D93DD5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11.4%</w:t>
            </w:r>
          </w:p>
        </w:tc>
        <w:tc>
          <w:tcPr>
            <w:tcW w:w="633" w:type="dxa"/>
            <w:tcBorders>
              <w:top w:val="nil"/>
              <w:left w:val="nil"/>
              <w:bottom w:val="nil"/>
              <w:right w:val="nil"/>
            </w:tcBorders>
            <w:shd w:val="clear" w:color="auto" w:fill="auto"/>
            <w:noWrap/>
            <w:vAlign w:val="bottom"/>
            <w:hideMark/>
          </w:tcPr>
          <w:p w14:paraId="5C9E4C0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3.3%</w:t>
            </w:r>
          </w:p>
        </w:tc>
        <w:tc>
          <w:tcPr>
            <w:tcW w:w="683" w:type="dxa"/>
            <w:tcBorders>
              <w:top w:val="nil"/>
              <w:left w:val="nil"/>
              <w:bottom w:val="nil"/>
              <w:right w:val="nil"/>
            </w:tcBorders>
            <w:shd w:val="clear" w:color="auto" w:fill="auto"/>
            <w:noWrap/>
            <w:vAlign w:val="bottom"/>
            <w:hideMark/>
          </w:tcPr>
          <w:p w14:paraId="3FD7C66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3.6%</w:t>
            </w:r>
          </w:p>
        </w:tc>
        <w:tc>
          <w:tcPr>
            <w:tcW w:w="866" w:type="dxa"/>
            <w:tcBorders>
              <w:top w:val="nil"/>
              <w:left w:val="nil"/>
              <w:bottom w:val="nil"/>
              <w:right w:val="nil"/>
            </w:tcBorders>
            <w:shd w:val="clear" w:color="auto" w:fill="auto"/>
            <w:noWrap/>
            <w:vAlign w:val="bottom"/>
            <w:hideMark/>
          </w:tcPr>
          <w:p w14:paraId="53E3C5D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$5,995 </w:t>
            </w:r>
          </w:p>
        </w:tc>
        <w:tc>
          <w:tcPr>
            <w:tcW w:w="866" w:type="dxa"/>
            <w:tcBorders>
              <w:top w:val="nil"/>
              <w:left w:val="nil"/>
              <w:bottom w:val="nil"/>
              <w:right w:val="nil"/>
            </w:tcBorders>
            <w:shd w:val="clear" w:color="auto" w:fill="auto"/>
            <w:noWrap/>
            <w:vAlign w:val="bottom"/>
            <w:hideMark/>
          </w:tcPr>
          <w:p w14:paraId="6429DA8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$4,945 </w:t>
            </w:r>
          </w:p>
        </w:tc>
        <w:tc>
          <w:tcPr>
            <w:tcW w:w="666" w:type="dxa"/>
            <w:tcBorders>
              <w:top w:val="nil"/>
              <w:left w:val="nil"/>
              <w:bottom w:val="nil"/>
              <w:right w:val="nil"/>
            </w:tcBorders>
            <w:shd w:val="clear" w:color="auto" w:fill="auto"/>
            <w:noWrap/>
            <w:vAlign w:val="bottom"/>
            <w:hideMark/>
          </w:tcPr>
          <w:p w14:paraId="34B1CFA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38.88</w:t>
            </w:r>
          </w:p>
        </w:tc>
        <w:tc>
          <w:tcPr>
            <w:tcW w:w="666" w:type="dxa"/>
            <w:tcBorders>
              <w:top w:val="nil"/>
              <w:left w:val="nil"/>
              <w:bottom w:val="nil"/>
              <w:right w:val="nil"/>
            </w:tcBorders>
            <w:shd w:val="clear" w:color="auto" w:fill="auto"/>
            <w:noWrap/>
            <w:vAlign w:val="bottom"/>
            <w:hideMark/>
          </w:tcPr>
          <w:p w14:paraId="247711C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42.21</w:t>
            </w:r>
          </w:p>
        </w:tc>
        <w:tc>
          <w:tcPr>
            <w:tcW w:w="952" w:type="dxa"/>
            <w:tcBorders>
              <w:top w:val="nil"/>
              <w:left w:val="nil"/>
              <w:bottom w:val="nil"/>
              <w:right w:val="nil"/>
            </w:tcBorders>
            <w:shd w:val="clear" w:color="auto" w:fill="auto"/>
            <w:noWrap/>
            <w:vAlign w:val="bottom"/>
            <w:hideMark/>
          </w:tcPr>
          <w:p w14:paraId="06F0F0C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$230.99 </w:t>
            </w:r>
          </w:p>
        </w:tc>
        <w:tc>
          <w:tcPr>
            <w:tcW w:w="900" w:type="dxa"/>
            <w:tcBorders>
              <w:top w:val="nil"/>
              <w:left w:val="nil"/>
              <w:bottom w:val="nil"/>
              <w:right w:val="nil"/>
            </w:tcBorders>
            <w:shd w:val="clear" w:color="auto" w:fill="auto"/>
            <w:noWrap/>
            <w:vAlign w:val="bottom"/>
            <w:hideMark/>
          </w:tcPr>
          <w:p w14:paraId="6451F01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$203.40 </w:t>
            </w:r>
          </w:p>
        </w:tc>
        <w:tc>
          <w:tcPr>
            <w:tcW w:w="866" w:type="dxa"/>
            <w:tcBorders>
              <w:top w:val="nil"/>
              <w:left w:val="nil"/>
              <w:bottom w:val="nil"/>
              <w:right w:val="nil"/>
            </w:tcBorders>
            <w:shd w:val="clear" w:color="auto" w:fill="auto"/>
            <w:noWrap/>
            <w:vAlign w:val="bottom"/>
            <w:hideMark/>
          </w:tcPr>
          <w:p w14:paraId="367373A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$507.02 </w:t>
            </w:r>
          </w:p>
        </w:tc>
        <w:tc>
          <w:tcPr>
            <w:tcW w:w="866" w:type="dxa"/>
            <w:tcBorders>
              <w:top w:val="nil"/>
              <w:left w:val="nil"/>
              <w:bottom w:val="nil"/>
              <w:right w:val="nil"/>
            </w:tcBorders>
            <w:shd w:val="clear" w:color="auto" w:fill="auto"/>
            <w:noWrap/>
            <w:vAlign w:val="bottom"/>
            <w:hideMark/>
          </w:tcPr>
          <w:p w14:paraId="0627847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$469.08 </w:t>
            </w:r>
          </w:p>
        </w:tc>
      </w:tr>
      <w:tr w:rsidR="007F5BD5" w:rsidRPr="0049452D" w14:paraId="1C031BA2" w14:textId="77777777" w:rsidTr="00455BF8">
        <w:trPr>
          <w:trHeight w:hRule="exact" w:val="274"/>
        </w:trPr>
        <w:tc>
          <w:tcPr>
            <w:tcW w:w="1620" w:type="dxa"/>
            <w:tcBorders>
              <w:top w:val="nil"/>
              <w:left w:val="nil"/>
              <w:bottom w:val="nil"/>
              <w:right w:val="nil"/>
            </w:tcBorders>
            <w:shd w:val="clear" w:color="auto" w:fill="auto"/>
            <w:noWrap/>
            <w:vAlign w:val="bottom"/>
            <w:hideMark/>
          </w:tcPr>
          <w:p w14:paraId="1F1A7C9C"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Stamford</w:t>
            </w:r>
          </w:p>
        </w:tc>
        <w:tc>
          <w:tcPr>
            <w:tcW w:w="940" w:type="dxa"/>
            <w:tcBorders>
              <w:top w:val="nil"/>
              <w:left w:val="nil"/>
              <w:bottom w:val="nil"/>
              <w:right w:val="nil"/>
            </w:tcBorders>
            <w:shd w:val="clear" w:color="auto" w:fill="auto"/>
            <w:noWrap/>
            <w:vAlign w:val="bottom"/>
            <w:hideMark/>
          </w:tcPr>
          <w:p w14:paraId="562B3D9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126,456</w:t>
            </w:r>
          </w:p>
        </w:tc>
        <w:tc>
          <w:tcPr>
            <w:tcW w:w="866" w:type="dxa"/>
            <w:tcBorders>
              <w:top w:val="nil"/>
              <w:left w:val="nil"/>
              <w:bottom w:val="nil"/>
              <w:right w:val="nil"/>
            </w:tcBorders>
            <w:shd w:val="clear" w:color="auto" w:fill="auto"/>
            <w:noWrap/>
            <w:vAlign w:val="bottom"/>
            <w:hideMark/>
          </w:tcPr>
          <w:p w14:paraId="53E6D0A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121,026</w:t>
            </w:r>
          </w:p>
        </w:tc>
        <w:tc>
          <w:tcPr>
            <w:tcW w:w="764" w:type="dxa"/>
            <w:tcBorders>
              <w:top w:val="nil"/>
              <w:left w:val="nil"/>
              <w:bottom w:val="nil"/>
              <w:right w:val="nil"/>
            </w:tcBorders>
            <w:shd w:val="clear" w:color="auto" w:fill="auto"/>
            <w:noWrap/>
            <w:vAlign w:val="bottom"/>
            <w:hideMark/>
          </w:tcPr>
          <w:p w14:paraId="58DF67B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6.4%</w:t>
            </w:r>
          </w:p>
        </w:tc>
        <w:tc>
          <w:tcPr>
            <w:tcW w:w="764" w:type="dxa"/>
            <w:tcBorders>
              <w:top w:val="nil"/>
              <w:left w:val="nil"/>
              <w:bottom w:val="nil"/>
              <w:right w:val="nil"/>
            </w:tcBorders>
            <w:shd w:val="clear" w:color="auto" w:fill="auto"/>
            <w:noWrap/>
            <w:vAlign w:val="bottom"/>
            <w:hideMark/>
          </w:tcPr>
          <w:p w14:paraId="0D9BAC0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7.4%</w:t>
            </w:r>
          </w:p>
        </w:tc>
        <w:tc>
          <w:tcPr>
            <w:tcW w:w="633" w:type="dxa"/>
            <w:tcBorders>
              <w:top w:val="nil"/>
              <w:left w:val="nil"/>
              <w:bottom w:val="nil"/>
              <w:right w:val="nil"/>
            </w:tcBorders>
            <w:shd w:val="clear" w:color="auto" w:fill="auto"/>
            <w:noWrap/>
            <w:vAlign w:val="bottom"/>
            <w:hideMark/>
          </w:tcPr>
          <w:p w14:paraId="282377B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0.6%</w:t>
            </w:r>
          </w:p>
        </w:tc>
        <w:tc>
          <w:tcPr>
            <w:tcW w:w="683" w:type="dxa"/>
            <w:tcBorders>
              <w:top w:val="nil"/>
              <w:left w:val="nil"/>
              <w:bottom w:val="nil"/>
              <w:right w:val="nil"/>
            </w:tcBorders>
            <w:shd w:val="clear" w:color="auto" w:fill="auto"/>
            <w:noWrap/>
            <w:vAlign w:val="bottom"/>
            <w:hideMark/>
          </w:tcPr>
          <w:p w14:paraId="73B5566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0..5%</w:t>
            </w:r>
          </w:p>
        </w:tc>
        <w:tc>
          <w:tcPr>
            <w:tcW w:w="866" w:type="dxa"/>
            <w:tcBorders>
              <w:top w:val="nil"/>
              <w:left w:val="nil"/>
              <w:bottom w:val="nil"/>
              <w:right w:val="nil"/>
            </w:tcBorders>
            <w:shd w:val="clear" w:color="auto" w:fill="auto"/>
            <w:noWrap/>
            <w:vAlign w:val="bottom"/>
            <w:hideMark/>
          </w:tcPr>
          <w:p w14:paraId="0EC108A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$24,294 </w:t>
            </w:r>
          </w:p>
        </w:tc>
        <w:tc>
          <w:tcPr>
            <w:tcW w:w="866" w:type="dxa"/>
            <w:tcBorders>
              <w:top w:val="nil"/>
              <w:left w:val="nil"/>
              <w:bottom w:val="nil"/>
              <w:right w:val="nil"/>
            </w:tcBorders>
            <w:shd w:val="clear" w:color="auto" w:fill="auto"/>
            <w:noWrap/>
            <w:vAlign w:val="bottom"/>
            <w:hideMark/>
          </w:tcPr>
          <w:p w14:paraId="1E76017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$23,929 </w:t>
            </w:r>
          </w:p>
        </w:tc>
        <w:tc>
          <w:tcPr>
            <w:tcW w:w="666" w:type="dxa"/>
            <w:tcBorders>
              <w:top w:val="nil"/>
              <w:left w:val="nil"/>
              <w:bottom w:val="nil"/>
              <w:right w:val="nil"/>
            </w:tcBorders>
            <w:shd w:val="clear" w:color="auto" w:fill="auto"/>
            <w:noWrap/>
            <w:vAlign w:val="bottom"/>
            <w:hideMark/>
          </w:tcPr>
          <w:p w14:paraId="3022929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17.89</w:t>
            </w:r>
          </w:p>
        </w:tc>
        <w:tc>
          <w:tcPr>
            <w:tcW w:w="666" w:type="dxa"/>
            <w:tcBorders>
              <w:top w:val="nil"/>
              <w:left w:val="nil"/>
              <w:bottom w:val="nil"/>
              <w:right w:val="nil"/>
            </w:tcBorders>
            <w:shd w:val="clear" w:color="auto" w:fill="auto"/>
            <w:noWrap/>
            <w:vAlign w:val="bottom"/>
            <w:hideMark/>
          </w:tcPr>
          <w:p w14:paraId="395F51D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16.18</w:t>
            </w:r>
          </w:p>
        </w:tc>
        <w:tc>
          <w:tcPr>
            <w:tcW w:w="952" w:type="dxa"/>
            <w:tcBorders>
              <w:top w:val="nil"/>
              <w:left w:val="nil"/>
              <w:bottom w:val="nil"/>
              <w:right w:val="nil"/>
            </w:tcBorders>
            <w:shd w:val="clear" w:color="auto" w:fill="auto"/>
            <w:noWrap/>
            <w:vAlign w:val="bottom"/>
            <w:hideMark/>
          </w:tcPr>
          <w:p w14:paraId="18D3D03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$432.10 </w:t>
            </w:r>
          </w:p>
        </w:tc>
        <w:tc>
          <w:tcPr>
            <w:tcW w:w="900" w:type="dxa"/>
            <w:tcBorders>
              <w:top w:val="nil"/>
              <w:left w:val="nil"/>
              <w:bottom w:val="nil"/>
              <w:right w:val="nil"/>
            </w:tcBorders>
            <w:shd w:val="clear" w:color="auto" w:fill="auto"/>
            <w:noWrap/>
            <w:vAlign w:val="bottom"/>
            <w:hideMark/>
          </w:tcPr>
          <w:p w14:paraId="10E8AF4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$386.68 </w:t>
            </w:r>
          </w:p>
        </w:tc>
        <w:tc>
          <w:tcPr>
            <w:tcW w:w="866" w:type="dxa"/>
            <w:tcBorders>
              <w:top w:val="nil"/>
              <w:left w:val="nil"/>
              <w:bottom w:val="nil"/>
              <w:right w:val="nil"/>
            </w:tcBorders>
            <w:shd w:val="clear" w:color="auto" w:fill="auto"/>
            <w:noWrap/>
            <w:vAlign w:val="bottom"/>
            <w:hideMark/>
          </w:tcPr>
          <w:p w14:paraId="4998AE4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$512.39 </w:t>
            </w:r>
          </w:p>
        </w:tc>
        <w:tc>
          <w:tcPr>
            <w:tcW w:w="866" w:type="dxa"/>
            <w:tcBorders>
              <w:top w:val="nil"/>
              <w:left w:val="nil"/>
              <w:bottom w:val="nil"/>
              <w:right w:val="nil"/>
            </w:tcBorders>
            <w:shd w:val="clear" w:color="auto" w:fill="auto"/>
            <w:noWrap/>
            <w:vAlign w:val="bottom"/>
            <w:hideMark/>
          </w:tcPr>
          <w:p w14:paraId="0161B25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$458.84 </w:t>
            </w:r>
          </w:p>
        </w:tc>
      </w:tr>
      <w:tr w:rsidR="007F5BD5" w:rsidRPr="0049452D" w14:paraId="50E1984D" w14:textId="77777777" w:rsidTr="00455BF8">
        <w:trPr>
          <w:trHeight w:hRule="exact" w:val="274"/>
        </w:trPr>
        <w:tc>
          <w:tcPr>
            <w:tcW w:w="1620" w:type="dxa"/>
            <w:tcBorders>
              <w:top w:val="nil"/>
              <w:left w:val="nil"/>
              <w:bottom w:val="nil"/>
              <w:right w:val="nil"/>
            </w:tcBorders>
            <w:shd w:val="clear" w:color="auto" w:fill="auto"/>
            <w:noWrap/>
            <w:vAlign w:val="bottom"/>
            <w:hideMark/>
          </w:tcPr>
          <w:p w14:paraId="3E47C489" w14:textId="77777777" w:rsidR="007F5BD5" w:rsidRPr="0049452D" w:rsidRDefault="007F5BD5" w:rsidP="00453EAF">
            <w:pPr>
              <w:spacing w:after="0" w:line="240" w:lineRule="auto"/>
              <w:rPr>
                <w:b/>
                <w:bCs/>
                <w:color w:val="000000"/>
                <w:sz w:val="20"/>
                <w:szCs w:val="20"/>
                <w:lang w:bidi="ar-SA"/>
              </w:rPr>
            </w:pPr>
            <w:r w:rsidRPr="0049452D">
              <w:rPr>
                <w:b/>
                <w:bCs/>
                <w:color w:val="000000"/>
                <w:sz w:val="20"/>
                <w:szCs w:val="20"/>
                <w:lang w:bidi="ar-SA"/>
              </w:rPr>
              <w:t xml:space="preserve">   Small Cities</w:t>
            </w:r>
          </w:p>
        </w:tc>
        <w:tc>
          <w:tcPr>
            <w:tcW w:w="940" w:type="dxa"/>
            <w:tcBorders>
              <w:top w:val="nil"/>
              <w:left w:val="nil"/>
              <w:bottom w:val="nil"/>
              <w:right w:val="nil"/>
            </w:tcBorders>
            <w:shd w:val="clear" w:color="auto" w:fill="auto"/>
            <w:noWrap/>
            <w:vAlign w:val="bottom"/>
            <w:hideMark/>
          </w:tcPr>
          <w:p w14:paraId="624B80F7" w14:textId="77777777" w:rsidR="007F5BD5" w:rsidRPr="0049452D" w:rsidRDefault="007F5BD5" w:rsidP="00453EAF">
            <w:pPr>
              <w:spacing w:after="0" w:line="240" w:lineRule="auto"/>
              <w:rPr>
                <w:b/>
                <w:bCs/>
                <w:color w:val="000000"/>
                <w:sz w:val="20"/>
                <w:szCs w:val="20"/>
                <w:lang w:bidi="ar-SA"/>
              </w:rPr>
            </w:pPr>
          </w:p>
        </w:tc>
        <w:tc>
          <w:tcPr>
            <w:tcW w:w="866" w:type="dxa"/>
            <w:tcBorders>
              <w:top w:val="nil"/>
              <w:left w:val="nil"/>
              <w:bottom w:val="nil"/>
              <w:right w:val="nil"/>
            </w:tcBorders>
            <w:shd w:val="clear" w:color="auto" w:fill="auto"/>
            <w:noWrap/>
            <w:vAlign w:val="bottom"/>
            <w:hideMark/>
          </w:tcPr>
          <w:p w14:paraId="059F66F0" w14:textId="77777777" w:rsidR="007F5BD5" w:rsidRPr="0049452D" w:rsidRDefault="007F5BD5" w:rsidP="00453EAF">
            <w:pPr>
              <w:spacing w:after="0" w:line="240" w:lineRule="auto"/>
              <w:rPr>
                <w:sz w:val="20"/>
                <w:szCs w:val="20"/>
                <w:lang w:bidi="ar-SA"/>
              </w:rPr>
            </w:pPr>
          </w:p>
        </w:tc>
        <w:tc>
          <w:tcPr>
            <w:tcW w:w="764" w:type="dxa"/>
            <w:tcBorders>
              <w:top w:val="nil"/>
              <w:left w:val="nil"/>
              <w:bottom w:val="nil"/>
              <w:right w:val="nil"/>
            </w:tcBorders>
            <w:shd w:val="clear" w:color="auto" w:fill="auto"/>
            <w:noWrap/>
            <w:vAlign w:val="bottom"/>
            <w:hideMark/>
          </w:tcPr>
          <w:p w14:paraId="4F3CCB8B" w14:textId="77777777" w:rsidR="007F5BD5" w:rsidRPr="0049452D" w:rsidRDefault="007F5BD5" w:rsidP="00453EAF">
            <w:pPr>
              <w:spacing w:after="0" w:line="240" w:lineRule="auto"/>
              <w:rPr>
                <w:sz w:val="20"/>
                <w:szCs w:val="20"/>
                <w:lang w:bidi="ar-SA"/>
              </w:rPr>
            </w:pPr>
          </w:p>
        </w:tc>
        <w:tc>
          <w:tcPr>
            <w:tcW w:w="764" w:type="dxa"/>
            <w:tcBorders>
              <w:top w:val="nil"/>
              <w:left w:val="nil"/>
              <w:bottom w:val="nil"/>
              <w:right w:val="nil"/>
            </w:tcBorders>
            <w:shd w:val="clear" w:color="auto" w:fill="auto"/>
            <w:noWrap/>
            <w:vAlign w:val="bottom"/>
            <w:hideMark/>
          </w:tcPr>
          <w:p w14:paraId="6A5982D6" w14:textId="77777777" w:rsidR="007F5BD5" w:rsidRPr="0049452D" w:rsidRDefault="007F5BD5" w:rsidP="00453EAF">
            <w:pPr>
              <w:spacing w:after="0" w:line="240" w:lineRule="auto"/>
              <w:rPr>
                <w:sz w:val="20"/>
                <w:szCs w:val="20"/>
                <w:lang w:bidi="ar-SA"/>
              </w:rPr>
            </w:pPr>
          </w:p>
        </w:tc>
        <w:tc>
          <w:tcPr>
            <w:tcW w:w="633" w:type="dxa"/>
            <w:tcBorders>
              <w:top w:val="nil"/>
              <w:left w:val="nil"/>
              <w:bottom w:val="nil"/>
              <w:right w:val="nil"/>
            </w:tcBorders>
            <w:shd w:val="clear" w:color="auto" w:fill="auto"/>
            <w:noWrap/>
            <w:vAlign w:val="bottom"/>
            <w:hideMark/>
          </w:tcPr>
          <w:p w14:paraId="06FD48CD" w14:textId="77777777" w:rsidR="007F5BD5" w:rsidRPr="0049452D" w:rsidRDefault="007F5BD5" w:rsidP="00453EAF">
            <w:pPr>
              <w:spacing w:after="0" w:line="240" w:lineRule="auto"/>
              <w:rPr>
                <w:sz w:val="20"/>
                <w:szCs w:val="20"/>
                <w:lang w:bidi="ar-SA"/>
              </w:rPr>
            </w:pPr>
          </w:p>
        </w:tc>
        <w:tc>
          <w:tcPr>
            <w:tcW w:w="683" w:type="dxa"/>
            <w:tcBorders>
              <w:top w:val="nil"/>
              <w:left w:val="nil"/>
              <w:bottom w:val="nil"/>
              <w:right w:val="nil"/>
            </w:tcBorders>
            <w:shd w:val="clear" w:color="auto" w:fill="auto"/>
            <w:noWrap/>
            <w:vAlign w:val="bottom"/>
            <w:hideMark/>
          </w:tcPr>
          <w:p w14:paraId="3DDE9A05"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1FC7787A"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42659ED0" w14:textId="77777777" w:rsidR="007F5BD5" w:rsidRPr="0049452D" w:rsidRDefault="007F5BD5" w:rsidP="00453EAF">
            <w:pPr>
              <w:spacing w:after="0" w:line="240" w:lineRule="auto"/>
              <w:rPr>
                <w:sz w:val="20"/>
                <w:szCs w:val="20"/>
                <w:lang w:bidi="ar-SA"/>
              </w:rPr>
            </w:pPr>
          </w:p>
        </w:tc>
        <w:tc>
          <w:tcPr>
            <w:tcW w:w="666" w:type="dxa"/>
            <w:tcBorders>
              <w:top w:val="nil"/>
              <w:left w:val="nil"/>
              <w:bottom w:val="nil"/>
              <w:right w:val="nil"/>
            </w:tcBorders>
            <w:shd w:val="clear" w:color="auto" w:fill="auto"/>
            <w:noWrap/>
            <w:vAlign w:val="bottom"/>
            <w:hideMark/>
          </w:tcPr>
          <w:p w14:paraId="4F8A57C5" w14:textId="77777777" w:rsidR="007F5BD5" w:rsidRPr="0049452D" w:rsidRDefault="007F5BD5" w:rsidP="00453EAF">
            <w:pPr>
              <w:spacing w:after="0" w:line="240" w:lineRule="auto"/>
              <w:rPr>
                <w:sz w:val="20"/>
                <w:szCs w:val="20"/>
                <w:lang w:bidi="ar-SA"/>
              </w:rPr>
            </w:pPr>
          </w:p>
        </w:tc>
        <w:tc>
          <w:tcPr>
            <w:tcW w:w="666" w:type="dxa"/>
            <w:tcBorders>
              <w:top w:val="nil"/>
              <w:left w:val="nil"/>
              <w:bottom w:val="nil"/>
              <w:right w:val="nil"/>
            </w:tcBorders>
            <w:shd w:val="clear" w:color="auto" w:fill="auto"/>
            <w:noWrap/>
            <w:vAlign w:val="bottom"/>
            <w:hideMark/>
          </w:tcPr>
          <w:p w14:paraId="095601FA" w14:textId="77777777" w:rsidR="007F5BD5" w:rsidRPr="0049452D" w:rsidRDefault="007F5BD5" w:rsidP="00453EAF">
            <w:pPr>
              <w:spacing w:after="0" w:line="240" w:lineRule="auto"/>
              <w:rPr>
                <w:sz w:val="20"/>
                <w:szCs w:val="20"/>
                <w:lang w:bidi="ar-SA"/>
              </w:rPr>
            </w:pPr>
          </w:p>
        </w:tc>
        <w:tc>
          <w:tcPr>
            <w:tcW w:w="952" w:type="dxa"/>
            <w:tcBorders>
              <w:top w:val="nil"/>
              <w:left w:val="nil"/>
              <w:bottom w:val="nil"/>
              <w:right w:val="nil"/>
            </w:tcBorders>
            <w:shd w:val="clear" w:color="auto" w:fill="auto"/>
            <w:noWrap/>
            <w:vAlign w:val="bottom"/>
            <w:hideMark/>
          </w:tcPr>
          <w:p w14:paraId="43968C64" w14:textId="77777777" w:rsidR="007F5BD5" w:rsidRPr="0049452D" w:rsidRDefault="007F5BD5" w:rsidP="00453EAF">
            <w:pPr>
              <w:spacing w:after="0" w:line="240" w:lineRule="auto"/>
              <w:rPr>
                <w:sz w:val="20"/>
                <w:szCs w:val="20"/>
                <w:lang w:bidi="ar-SA"/>
              </w:rPr>
            </w:pPr>
          </w:p>
        </w:tc>
        <w:tc>
          <w:tcPr>
            <w:tcW w:w="900" w:type="dxa"/>
            <w:tcBorders>
              <w:top w:val="nil"/>
              <w:left w:val="nil"/>
              <w:bottom w:val="nil"/>
              <w:right w:val="nil"/>
            </w:tcBorders>
            <w:shd w:val="clear" w:color="auto" w:fill="auto"/>
            <w:noWrap/>
            <w:vAlign w:val="bottom"/>
            <w:hideMark/>
          </w:tcPr>
          <w:p w14:paraId="0194B77E"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4150041C"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35BA8DE0" w14:textId="77777777" w:rsidR="007F5BD5" w:rsidRPr="0049452D" w:rsidRDefault="007F5BD5" w:rsidP="00453EAF">
            <w:pPr>
              <w:spacing w:after="0" w:line="240" w:lineRule="auto"/>
              <w:rPr>
                <w:sz w:val="20"/>
                <w:szCs w:val="20"/>
                <w:lang w:bidi="ar-SA"/>
              </w:rPr>
            </w:pPr>
          </w:p>
        </w:tc>
      </w:tr>
      <w:tr w:rsidR="007F5BD5" w:rsidRPr="0049452D" w14:paraId="475CF7A4" w14:textId="77777777" w:rsidTr="00455BF8">
        <w:trPr>
          <w:trHeight w:hRule="exact" w:val="274"/>
        </w:trPr>
        <w:tc>
          <w:tcPr>
            <w:tcW w:w="1620" w:type="dxa"/>
            <w:tcBorders>
              <w:top w:val="nil"/>
              <w:left w:val="nil"/>
              <w:bottom w:val="nil"/>
              <w:right w:val="nil"/>
            </w:tcBorders>
            <w:shd w:val="clear" w:color="auto" w:fill="auto"/>
            <w:noWrap/>
            <w:vAlign w:val="bottom"/>
            <w:hideMark/>
          </w:tcPr>
          <w:p w14:paraId="799C9836"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Manchester</w:t>
            </w:r>
          </w:p>
        </w:tc>
        <w:tc>
          <w:tcPr>
            <w:tcW w:w="940" w:type="dxa"/>
            <w:tcBorders>
              <w:top w:val="nil"/>
              <w:left w:val="nil"/>
              <w:bottom w:val="nil"/>
              <w:right w:val="nil"/>
            </w:tcBorders>
            <w:shd w:val="clear" w:color="auto" w:fill="auto"/>
            <w:noWrap/>
            <w:vAlign w:val="bottom"/>
            <w:hideMark/>
          </w:tcPr>
          <w:p w14:paraId="0788527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58,211</w:t>
            </w:r>
          </w:p>
        </w:tc>
        <w:tc>
          <w:tcPr>
            <w:tcW w:w="866" w:type="dxa"/>
            <w:tcBorders>
              <w:top w:val="nil"/>
              <w:left w:val="nil"/>
              <w:bottom w:val="nil"/>
              <w:right w:val="nil"/>
            </w:tcBorders>
            <w:shd w:val="clear" w:color="auto" w:fill="auto"/>
            <w:noWrap/>
            <w:vAlign w:val="bottom"/>
            <w:hideMark/>
          </w:tcPr>
          <w:p w14:paraId="13CF989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56,388</w:t>
            </w:r>
          </w:p>
        </w:tc>
        <w:tc>
          <w:tcPr>
            <w:tcW w:w="764" w:type="dxa"/>
            <w:tcBorders>
              <w:top w:val="nil"/>
              <w:left w:val="nil"/>
              <w:bottom w:val="nil"/>
              <w:right w:val="nil"/>
            </w:tcBorders>
            <w:shd w:val="clear" w:color="auto" w:fill="auto"/>
            <w:noWrap/>
            <w:vAlign w:val="bottom"/>
            <w:hideMark/>
          </w:tcPr>
          <w:p w14:paraId="1E1D7CA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7.4%</w:t>
            </w:r>
          </w:p>
        </w:tc>
        <w:tc>
          <w:tcPr>
            <w:tcW w:w="764" w:type="dxa"/>
            <w:tcBorders>
              <w:top w:val="nil"/>
              <w:left w:val="nil"/>
              <w:bottom w:val="nil"/>
              <w:right w:val="nil"/>
            </w:tcBorders>
            <w:shd w:val="clear" w:color="auto" w:fill="auto"/>
            <w:noWrap/>
            <w:vAlign w:val="bottom"/>
            <w:hideMark/>
          </w:tcPr>
          <w:p w14:paraId="6C44A59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8.2%</w:t>
            </w:r>
          </w:p>
        </w:tc>
        <w:tc>
          <w:tcPr>
            <w:tcW w:w="633" w:type="dxa"/>
            <w:tcBorders>
              <w:top w:val="nil"/>
              <w:left w:val="nil"/>
              <w:bottom w:val="nil"/>
              <w:right w:val="nil"/>
            </w:tcBorders>
            <w:shd w:val="clear" w:color="auto" w:fill="auto"/>
            <w:noWrap/>
            <w:vAlign w:val="bottom"/>
            <w:hideMark/>
          </w:tcPr>
          <w:p w14:paraId="2091097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1.1%</w:t>
            </w:r>
          </w:p>
        </w:tc>
        <w:tc>
          <w:tcPr>
            <w:tcW w:w="683" w:type="dxa"/>
            <w:tcBorders>
              <w:top w:val="nil"/>
              <w:left w:val="nil"/>
              <w:bottom w:val="nil"/>
              <w:right w:val="nil"/>
            </w:tcBorders>
            <w:shd w:val="clear" w:color="auto" w:fill="auto"/>
            <w:noWrap/>
            <w:vAlign w:val="bottom"/>
            <w:hideMark/>
          </w:tcPr>
          <w:p w14:paraId="7724E6E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1.4%</w:t>
            </w:r>
          </w:p>
        </w:tc>
        <w:tc>
          <w:tcPr>
            <w:tcW w:w="866" w:type="dxa"/>
            <w:tcBorders>
              <w:top w:val="nil"/>
              <w:left w:val="nil"/>
              <w:bottom w:val="nil"/>
              <w:right w:val="nil"/>
            </w:tcBorders>
            <w:shd w:val="clear" w:color="auto" w:fill="auto"/>
            <w:noWrap/>
            <w:vAlign w:val="bottom"/>
            <w:hideMark/>
          </w:tcPr>
          <w:p w14:paraId="5DBA3EF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$3,888 </w:t>
            </w:r>
          </w:p>
        </w:tc>
        <w:tc>
          <w:tcPr>
            <w:tcW w:w="866" w:type="dxa"/>
            <w:tcBorders>
              <w:top w:val="nil"/>
              <w:left w:val="nil"/>
              <w:bottom w:val="nil"/>
              <w:right w:val="nil"/>
            </w:tcBorders>
            <w:shd w:val="clear" w:color="auto" w:fill="auto"/>
            <w:noWrap/>
            <w:vAlign w:val="bottom"/>
            <w:hideMark/>
          </w:tcPr>
          <w:p w14:paraId="4D0EAC6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$3,837 </w:t>
            </w:r>
          </w:p>
        </w:tc>
        <w:tc>
          <w:tcPr>
            <w:tcW w:w="666" w:type="dxa"/>
            <w:tcBorders>
              <w:top w:val="nil"/>
              <w:left w:val="nil"/>
              <w:bottom w:val="nil"/>
              <w:right w:val="nil"/>
            </w:tcBorders>
            <w:shd w:val="clear" w:color="auto" w:fill="auto"/>
            <w:noWrap/>
            <w:vAlign w:val="bottom"/>
            <w:hideMark/>
          </w:tcPr>
          <w:p w14:paraId="46F8AC0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35.83</w:t>
            </w:r>
          </w:p>
        </w:tc>
        <w:tc>
          <w:tcPr>
            <w:tcW w:w="666" w:type="dxa"/>
            <w:tcBorders>
              <w:top w:val="nil"/>
              <w:left w:val="nil"/>
              <w:bottom w:val="nil"/>
              <w:right w:val="nil"/>
            </w:tcBorders>
            <w:shd w:val="clear" w:color="auto" w:fill="auto"/>
            <w:noWrap/>
            <w:vAlign w:val="bottom"/>
            <w:hideMark/>
          </w:tcPr>
          <w:p w14:paraId="4CEB923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32.98</w:t>
            </w:r>
          </w:p>
        </w:tc>
        <w:tc>
          <w:tcPr>
            <w:tcW w:w="952" w:type="dxa"/>
            <w:tcBorders>
              <w:top w:val="nil"/>
              <w:left w:val="nil"/>
              <w:bottom w:val="nil"/>
              <w:right w:val="nil"/>
            </w:tcBorders>
            <w:shd w:val="clear" w:color="auto" w:fill="auto"/>
            <w:noWrap/>
            <w:vAlign w:val="bottom"/>
            <w:hideMark/>
          </w:tcPr>
          <w:p w14:paraId="0455C28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$122.29 </w:t>
            </w:r>
          </w:p>
        </w:tc>
        <w:tc>
          <w:tcPr>
            <w:tcW w:w="900" w:type="dxa"/>
            <w:tcBorders>
              <w:top w:val="nil"/>
              <w:left w:val="nil"/>
              <w:bottom w:val="nil"/>
              <w:right w:val="nil"/>
            </w:tcBorders>
            <w:shd w:val="clear" w:color="auto" w:fill="auto"/>
            <w:noWrap/>
            <w:vAlign w:val="bottom"/>
            <w:hideMark/>
          </w:tcPr>
          <w:p w14:paraId="6915118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$112.76 </w:t>
            </w:r>
          </w:p>
        </w:tc>
        <w:tc>
          <w:tcPr>
            <w:tcW w:w="866" w:type="dxa"/>
            <w:tcBorders>
              <w:top w:val="nil"/>
              <w:left w:val="nil"/>
              <w:bottom w:val="nil"/>
              <w:right w:val="nil"/>
            </w:tcBorders>
            <w:shd w:val="clear" w:color="auto" w:fill="auto"/>
            <w:noWrap/>
            <w:vAlign w:val="bottom"/>
            <w:hideMark/>
          </w:tcPr>
          <w:p w14:paraId="684F643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$172.93 </w:t>
            </w:r>
          </w:p>
        </w:tc>
        <w:tc>
          <w:tcPr>
            <w:tcW w:w="866" w:type="dxa"/>
            <w:tcBorders>
              <w:top w:val="nil"/>
              <w:left w:val="nil"/>
              <w:bottom w:val="nil"/>
              <w:right w:val="nil"/>
            </w:tcBorders>
            <w:shd w:val="clear" w:color="auto" w:fill="auto"/>
            <w:noWrap/>
            <w:vAlign w:val="bottom"/>
            <w:hideMark/>
          </w:tcPr>
          <w:p w14:paraId="48C4F7A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$161.45 </w:t>
            </w:r>
          </w:p>
        </w:tc>
      </w:tr>
      <w:tr w:rsidR="007F5BD5" w:rsidRPr="0049452D" w14:paraId="12365EA9" w14:textId="77777777" w:rsidTr="00455BF8">
        <w:trPr>
          <w:trHeight w:hRule="exact" w:val="274"/>
        </w:trPr>
        <w:tc>
          <w:tcPr>
            <w:tcW w:w="1620" w:type="dxa"/>
            <w:tcBorders>
              <w:top w:val="nil"/>
              <w:left w:val="nil"/>
              <w:bottom w:val="nil"/>
              <w:right w:val="nil"/>
            </w:tcBorders>
            <w:shd w:val="clear" w:color="auto" w:fill="auto"/>
            <w:noWrap/>
            <w:vAlign w:val="bottom"/>
            <w:hideMark/>
          </w:tcPr>
          <w:p w14:paraId="549516BC"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Meriden</w:t>
            </w:r>
          </w:p>
        </w:tc>
        <w:tc>
          <w:tcPr>
            <w:tcW w:w="940" w:type="dxa"/>
            <w:tcBorders>
              <w:top w:val="nil"/>
              <w:left w:val="nil"/>
              <w:bottom w:val="nil"/>
              <w:right w:val="nil"/>
            </w:tcBorders>
            <w:shd w:val="clear" w:color="auto" w:fill="auto"/>
            <w:noWrap/>
            <w:vAlign w:val="bottom"/>
            <w:hideMark/>
          </w:tcPr>
          <w:p w14:paraId="7696011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60,456</w:t>
            </w:r>
          </w:p>
        </w:tc>
        <w:tc>
          <w:tcPr>
            <w:tcW w:w="866" w:type="dxa"/>
            <w:tcBorders>
              <w:top w:val="nil"/>
              <w:left w:val="nil"/>
              <w:bottom w:val="nil"/>
              <w:right w:val="nil"/>
            </w:tcBorders>
            <w:shd w:val="clear" w:color="auto" w:fill="auto"/>
            <w:noWrap/>
            <w:vAlign w:val="bottom"/>
            <w:hideMark/>
          </w:tcPr>
          <w:p w14:paraId="73B3A9B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59,186</w:t>
            </w:r>
          </w:p>
        </w:tc>
        <w:tc>
          <w:tcPr>
            <w:tcW w:w="764" w:type="dxa"/>
            <w:tcBorders>
              <w:top w:val="nil"/>
              <w:left w:val="nil"/>
              <w:bottom w:val="nil"/>
              <w:right w:val="nil"/>
            </w:tcBorders>
            <w:shd w:val="clear" w:color="auto" w:fill="auto"/>
            <w:noWrap/>
            <w:vAlign w:val="bottom"/>
            <w:hideMark/>
          </w:tcPr>
          <w:p w14:paraId="4E81ADE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9.5%</w:t>
            </w:r>
          </w:p>
        </w:tc>
        <w:tc>
          <w:tcPr>
            <w:tcW w:w="764" w:type="dxa"/>
            <w:tcBorders>
              <w:top w:val="nil"/>
              <w:left w:val="nil"/>
              <w:bottom w:val="nil"/>
              <w:right w:val="nil"/>
            </w:tcBorders>
            <w:shd w:val="clear" w:color="auto" w:fill="auto"/>
            <w:noWrap/>
            <w:vAlign w:val="bottom"/>
            <w:hideMark/>
          </w:tcPr>
          <w:p w14:paraId="5FF9AFE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10.3%</w:t>
            </w:r>
          </w:p>
        </w:tc>
        <w:tc>
          <w:tcPr>
            <w:tcW w:w="633" w:type="dxa"/>
            <w:tcBorders>
              <w:top w:val="nil"/>
              <w:left w:val="nil"/>
              <w:bottom w:val="nil"/>
              <w:right w:val="nil"/>
            </w:tcBorders>
            <w:shd w:val="clear" w:color="auto" w:fill="auto"/>
            <w:noWrap/>
            <w:vAlign w:val="bottom"/>
            <w:hideMark/>
          </w:tcPr>
          <w:p w14:paraId="08DE8FE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2.2%</w:t>
            </w:r>
          </w:p>
        </w:tc>
        <w:tc>
          <w:tcPr>
            <w:tcW w:w="683" w:type="dxa"/>
            <w:tcBorders>
              <w:top w:val="nil"/>
              <w:left w:val="nil"/>
              <w:bottom w:val="nil"/>
              <w:right w:val="nil"/>
            </w:tcBorders>
            <w:shd w:val="clear" w:color="auto" w:fill="auto"/>
            <w:noWrap/>
            <w:vAlign w:val="bottom"/>
            <w:hideMark/>
          </w:tcPr>
          <w:p w14:paraId="5D43805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2.4%</w:t>
            </w:r>
          </w:p>
        </w:tc>
        <w:tc>
          <w:tcPr>
            <w:tcW w:w="866" w:type="dxa"/>
            <w:tcBorders>
              <w:top w:val="nil"/>
              <w:left w:val="nil"/>
              <w:bottom w:val="nil"/>
              <w:right w:val="nil"/>
            </w:tcBorders>
            <w:shd w:val="clear" w:color="auto" w:fill="auto"/>
            <w:noWrap/>
            <w:vAlign w:val="bottom"/>
            <w:hideMark/>
          </w:tcPr>
          <w:p w14:paraId="019F40E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$3,246 </w:t>
            </w:r>
          </w:p>
        </w:tc>
        <w:tc>
          <w:tcPr>
            <w:tcW w:w="866" w:type="dxa"/>
            <w:tcBorders>
              <w:top w:val="nil"/>
              <w:left w:val="nil"/>
              <w:bottom w:val="nil"/>
              <w:right w:val="nil"/>
            </w:tcBorders>
            <w:shd w:val="clear" w:color="auto" w:fill="auto"/>
            <w:noWrap/>
            <w:vAlign w:val="bottom"/>
            <w:hideMark/>
          </w:tcPr>
          <w:p w14:paraId="5589B9B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$3,659 </w:t>
            </w:r>
          </w:p>
        </w:tc>
        <w:tc>
          <w:tcPr>
            <w:tcW w:w="666" w:type="dxa"/>
            <w:tcBorders>
              <w:top w:val="nil"/>
              <w:left w:val="nil"/>
              <w:bottom w:val="nil"/>
              <w:right w:val="nil"/>
            </w:tcBorders>
            <w:shd w:val="clear" w:color="auto" w:fill="auto"/>
            <w:noWrap/>
            <w:vAlign w:val="bottom"/>
            <w:hideMark/>
          </w:tcPr>
          <w:p w14:paraId="1FA61BC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34.70</w:t>
            </w:r>
          </w:p>
        </w:tc>
        <w:tc>
          <w:tcPr>
            <w:tcW w:w="666" w:type="dxa"/>
            <w:tcBorders>
              <w:top w:val="nil"/>
              <w:left w:val="nil"/>
              <w:bottom w:val="nil"/>
              <w:right w:val="nil"/>
            </w:tcBorders>
            <w:shd w:val="clear" w:color="auto" w:fill="auto"/>
            <w:noWrap/>
            <w:vAlign w:val="bottom"/>
            <w:hideMark/>
          </w:tcPr>
          <w:p w14:paraId="4284DAD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27.96</w:t>
            </w:r>
          </w:p>
        </w:tc>
        <w:tc>
          <w:tcPr>
            <w:tcW w:w="952" w:type="dxa"/>
            <w:tcBorders>
              <w:top w:val="nil"/>
              <w:left w:val="nil"/>
              <w:bottom w:val="nil"/>
              <w:right w:val="nil"/>
            </w:tcBorders>
            <w:shd w:val="clear" w:color="auto" w:fill="auto"/>
            <w:noWrap/>
            <w:vAlign w:val="bottom"/>
            <w:hideMark/>
          </w:tcPr>
          <w:p w14:paraId="7DCB53D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$113.89 </w:t>
            </w:r>
          </w:p>
        </w:tc>
        <w:tc>
          <w:tcPr>
            <w:tcW w:w="900" w:type="dxa"/>
            <w:tcBorders>
              <w:top w:val="nil"/>
              <w:left w:val="nil"/>
              <w:bottom w:val="nil"/>
              <w:right w:val="nil"/>
            </w:tcBorders>
            <w:shd w:val="clear" w:color="auto" w:fill="auto"/>
            <w:noWrap/>
            <w:vAlign w:val="bottom"/>
            <w:hideMark/>
          </w:tcPr>
          <w:p w14:paraId="7C5D8AF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$104.18 </w:t>
            </w:r>
          </w:p>
        </w:tc>
        <w:tc>
          <w:tcPr>
            <w:tcW w:w="866" w:type="dxa"/>
            <w:tcBorders>
              <w:top w:val="nil"/>
              <w:left w:val="nil"/>
              <w:bottom w:val="nil"/>
              <w:right w:val="nil"/>
            </w:tcBorders>
            <w:shd w:val="clear" w:color="auto" w:fill="auto"/>
            <w:noWrap/>
            <w:vAlign w:val="bottom"/>
            <w:hideMark/>
          </w:tcPr>
          <w:p w14:paraId="2BA8465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$196.86 </w:t>
            </w:r>
          </w:p>
        </w:tc>
        <w:tc>
          <w:tcPr>
            <w:tcW w:w="866" w:type="dxa"/>
            <w:tcBorders>
              <w:top w:val="nil"/>
              <w:left w:val="nil"/>
              <w:bottom w:val="nil"/>
              <w:right w:val="nil"/>
            </w:tcBorders>
            <w:shd w:val="clear" w:color="auto" w:fill="auto"/>
            <w:noWrap/>
            <w:vAlign w:val="bottom"/>
            <w:hideMark/>
          </w:tcPr>
          <w:p w14:paraId="719F957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$187.84 </w:t>
            </w:r>
          </w:p>
        </w:tc>
      </w:tr>
      <w:tr w:rsidR="007F5BD5" w:rsidRPr="0049452D" w14:paraId="0C0480AA" w14:textId="77777777" w:rsidTr="00455BF8">
        <w:trPr>
          <w:trHeight w:hRule="exact" w:val="274"/>
        </w:trPr>
        <w:tc>
          <w:tcPr>
            <w:tcW w:w="1620" w:type="dxa"/>
            <w:tcBorders>
              <w:top w:val="nil"/>
              <w:left w:val="nil"/>
              <w:bottom w:val="nil"/>
              <w:right w:val="nil"/>
            </w:tcBorders>
            <w:shd w:val="clear" w:color="auto" w:fill="auto"/>
            <w:noWrap/>
            <w:vAlign w:val="bottom"/>
            <w:hideMark/>
          </w:tcPr>
          <w:p w14:paraId="4ADA3E41"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New London</w:t>
            </w:r>
          </w:p>
        </w:tc>
        <w:tc>
          <w:tcPr>
            <w:tcW w:w="940" w:type="dxa"/>
            <w:tcBorders>
              <w:top w:val="nil"/>
              <w:left w:val="nil"/>
              <w:bottom w:val="nil"/>
              <w:right w:val="nil"/>
            </w:tcBorders>
            <w:shd w:val="clear" w:color="auto" w:fill="auto"/>
            <w:noWrap/>
            <w:vAlign w:val="bottom"/>
            <w:hideMark/>
          </w:tcPr>
          <w:p w14:paraId="31931AA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27,545</w:t>
            </w:r>
          </w:p>
        </w:tc>
        <w:tc>
          <w:tcPr>
            <w:tcW w:w="866" w:type="dxa"/>
            <w:tcBorders>
              <w:top w:val="nil"/>
              <w:left w:val="nil"/>
              <w:bottom w:val="nil"/>
              <w:right w:val="nil"/>
            </w:tcBorders>
            <w:shd w:val="clear" w:color="auto" w:fill="auto"/>
            <w:noWrap/>
            <w:vAlign w:val="bottom"/>
            <w:hideMark/>
          </w:tcPr>
          <w:p w14:paraId="7373619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26,184</w:t>
            </w:r>
          </w:p>
        </w:tc>
        <w:tc>
          <w:tcPr>
            <w:tcW w:w="764" w:type="dxa"/>
            <w:tcBorders>
              <w:top w:val="nil"/>
              <w:left w:val="nil"/>
              <w:bottom w:val="nil"/>
              <w:right w:val="nil"/>
            </w:tcBorders>
            <w:shd w:val="clear" w:color="auto" w:fill="auto"/>
            <w:noWrap/>
            <w:vAlign w:val="bottom"/>
            <w:hideMark/>
          </w:tcPr>
          <w:p w14:paraId="2C74030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10.5%</w:t>
            </w:r>
          </w:p>
        </w:tc>
        <w:tc>
          <w:tcPr>
            <w:tcW w:w="764" w:type="dxa"/>
            <w:tcBorders>
              <w:top w:val="nil"/>
              <w:left w:val="nil"/>
              <w:bottom w:val="nil"/>
              <w:right w:val="nil"/>
            </w:tcBorders>
            <w:shd w:val="clear" w:color="auto" w:fill="auto"/>
            <w:noWrap/>
            <w:vAlign w:val="bottom"/>
            <w:hideMark/>
          </w:tcPr>
          <w:p w14:paraId="79A3D75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9.6%</w:t>
            </w:r>
          </w:p>
        </w:tc>
        <w:tc>
          <w:tcPr>
            <w:tcW w:w="633" w:type="dxa"/>
            <w:tcBorders>
              <w:top w:val="nil"/>
              <w:left w:val="nil"/>
              <w:bottom w:val="nil"/>
              <w:right w:val="nil"/>
            </w:tcBorders>
            <w:shd w:val="clear" w:color="auto" w:fill="auto"/>
            <w:noWrap/>
            <w:vAlign w:val="bottom"/>
            <w:hideMark/>
          </w:tcPr>
          <w:p w14:paraId="1D89E5C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2.5%</w:t>
            </w:r>
          </w:p>
        </w:tc>
        <w:tc>
          <w:tcPr>
            <w:tcW w:w="683" w:type="dxa"/>
            <w:tcBorders>
              <w:top w:val="nil"/>
              <w:left w:val="nil"/>
              <w:bottom w:val="nil"/>
              <w:right w:val="nil"/>
            </w:tcBorders>
            <w:shd w:val="clear" w:color="auto" w:fill="auto"/>
            <w:noWrap/>
            <w:vAlign w:val="bottom"/>
            <w:hideMark/>
          </w:tcPr>
          <w:p w14:paraId="4E3FBE0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2.8%</w:t>
            </w:r>
          </w:p>
        </w:tc>
        <w:tc>
          <w:tcPr>
            <w:tcW w:w="866" w:type="dxa"/>
            <w:tcBorders>
              <w:top w:val="nil"/>
              <w:left w:val="nil"/>
              <w:bottom w:val="nil"/>
              <w:right w:val="nil"/>
            </w:tcBorders>
            <w:shd w:val="clear" w:color="auto" w:fill="auto"/>
            <w:noWrap/>
            <w:vAlign w:val="bottom"/>
            <w:hideMark/>
          </w:tcPr>
          <w:p w14:paraId="7E69229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$1,565 </w:t>
            </w:r>
          </w:p>
        </w:tc>
        <w:tc>
          <w:tcPr>
            <w:tcW w:w="866" w:type="dxa"/>
            <w:tcBorders>
              <w:top w:val="nil"/>
              <w:left w:val="nil"/>
              <w:bottom w:val="nil"/>
              <w:right w:val="nil"/>
            </w:tcBorders>
            <w:shd w:val="clear" w:color="auto" w:fill="auto"/>
            <w:noWrap/>
            <w:vAlign w:val="bottom"/>
            <w:hideMark/>
          </w:tcPr>
          <w:p w14:paraId="2261398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$1,272 </w:t>
            </w:r>
          </w:p>
        </w:tc>
        <w:tc>
          <w:tcPr>
            <w:tcW w:w="666" w:type="dxa"/>
            <w:tcBorders>
              <w:top w:val="nil"/>
              <w:left w:val="nil"/>
              <w:bottom w:val="nil"/>
              <w:right w:val="nil"/>
            </w:tcBorders>
            <w:shd w:val="clear" w:color="auto" w:fill="auto"/>
            <w:noWrap/>
            <w:vAlign w:val="bottom"/>
            <w:hideMark/>
          </w:tcPr>
          <w:p w14:paraId="06E9945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26.60</w:t>
            </w:r>
          </w:p>
        </w:tc>
        <w:tc>
          <w:tcPr>
            <w:tcW w:w="666" w:type="dxa"/>
            <w:tcBorders>
              <w:top w:val="nil"/>
              <w:left w:val="nil"/>
              <w:bottom w:val="nil"/>
              <w:right w:val="nil"/>
            </w:tcBorders>
            <w:shd w:val="clear" w:color="auto" w:fill="auto"/>
            <w:noWrap/>
            <w:vAlign w:val="bottom"/>
            <w:hideMark/>
          </w:tcPr>
          <w:p w14:paraId="49EC975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30.89</w:t>
            </w:r>
          </w:p>
        </w:tc>
        <w:tc>
          <w:tcPr>
            <w:tcW w:w="952" w:type="dxa"/>
            <w:tcBorders>
              <w:top w:val="nil"/>
              <w:left w:val="nil"/>
              <w:bottom w:val="nil"/>
              <w:right w:val="nil"/>
            </w:tcBorders>
            <w:shd w:val="clear" w:color="auto" w:fill="auto"/>
            <w:noWrap/>
            <w:vAlign w:val="bottom"/>
            <w:hideMark/>
          </w:tcPr>
          <w:p w14:paraId="14768DE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$41.47 </w:t>
            </w:r>
          </w:p>
        </w:tc>
        <w:tc>
          <w:tcPr>
            <w:tcW w:w="900" w:type="dxa"/>
            <w:tcBorders>
              <w:top w:val="nil"/>
              <w:left w:val="nil"/>
              <w:bottom w:val="nil"/>
              <w:right w:val="nil"/>
            </w:tcBorders>
            <w:shd w:val="clear" w:color="auto" w:fill="auto"/>
            <w:noWrap/>
            <w:vAlign w:val="bottom"/>
            <w:hideMark/>
          </w:tcPr>
          <w:p w14:paraId="232E40E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$39.60 </w:t>
            </w:r>
          </w:p>
        </w:tc>
        <w:tc>
          <w:tcPr>
            <w:tcW w:w="866" w:type="dxa"/>
            <w:tcBorders>
              <w:top w:val="nil"/>
              <w:left w:val="nil"/>
              <w:bottom w:val="nil"/>
              <w:right w:val="nil"/>
            </w:tcBorders>
            <w:shd w:val="clear" w:color="auto" w:fill="auto"/>
            <w:noWrap/>
            <w:vAlign w:val="bottom"/>
            <w:hideMark/>
          </w:tcPr>
          <w:p w14:paraId="407C353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$84.16 </w:t>
            </w:r>
          </w:p>
        </w:tc>
        <w:tc>
          <w:tcPr>
            <w:tcW w:w="866" w:type="dxa"/>
            <w:tcBorders>
              <w:top w:val="nil"/>
              <w:left w:val="nil"/>
              <w:bottom w:val="nil"/>
              <w:right w:val="nil"/>
            </w:tcBorders>
            <w:shd w:val="clear" w:color="auto" w:fill="auto"/>
            <w:noWrap/>
            <w:vAlign w:val="bottom"/>
            <w:hideMark/>
          </w:tcPr>
          <w:p w14:paraId="7813006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$83.26 </w:t>
            </w:r>
          </w:p>
        </w:tc>
      </w:tr>
      <w:tr w:rsidR="007F5BD5" w:rsidRPr="0049452D" w14:paraId="0B54468A" w14:textId="77777777" w:rsidTr="00455BF8">
        <w:trPr>
          <w:trHeight w:hRule="exact" w:val="274"/>
        </w:trPr>
        <w:tc>
          <w:tcPr>
            <w:tcW w:w="1620" w:type="dxa"/>
            <w:tcBorders>
              <w:top w:val="nil"/>
              <w:left w:val="nil"/>
              <w:bottom w:val="nil"/>
              <w:right w:val="nil"/>
            </w:tcBorders>
            <w:shd w:val="clear" w:color="auto" w:fill="auto"/>
            <w:noWrap/>
            <w:vAlign w:val="bottom"/>
            <w:hideMark/>
          </w:tcPr>
          <w:p w14:paraId="23C8A13F"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Torrington</w:t>
            </w:r>
          </w:p>
        </w:tc>
        <w:tc>
          <w:tcPr>
            <w:tcW w:w="940" w:type="dxa"/>
            <w:tcBorders>
              <w:top w:val="nil"/>
              <w:left w:val="nil"/>
              <w:bottom w:val="nil"/>
              <w:right w:val="nil"/>
            </w:tcBorders>
            <w:shd w:val="clear" w:color="auto" w:fill="auto"/>
            <w:noWrap/>
            <w:vAlign w:val="bottom"/>
            <w:hideMark/>
          </w:tcPr>
          <w:p w14:paraId="62DEBD2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35,611</w:t>
            </w:r>
          </w:p>
        </w:tc>
        <w:tc>
          <w:tcPr>
            <w:tcW w:w="866" w:type="dxa"/>
            <w:tcBorders>
              <w:top w:val="nil"/>
              <w:left w:val="nil"/>
              <w:bottom w:val="nil"/>
              <w:right w:val="nil"/>
            </w:tcBorders>
            <w:shd w:val="clear" w:color="auto" w:fill="auto"/>
            <w:noWrap/>
            <w:vAlign w:val="bottom"/>
            <w:hideMark/>
          </w:tcPr>
          <w:p w14:paraId="160BAE7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35,408</w:t>
            </w:r>
          </w:p>
        </w:tc>
        <w:tc>
          <w:tcPr>
            <w:tcW w:w="764" w:type="dxa"/>
            <w:tcBorders>
              <w:top w:val="nil"/>
              <w:left w:val="nil"/>
              <w:bottom w:val="nil"/>
              <w:right w:val="nil"/>
            </w:tcBorders>
            <w:shd w:val="clear" w:color="auto" w:fill="auto"/>
            <w:noWrap/>
            <w:vAlign w:val="bottom"/>
            <w:hideMark/>
          </w:tcPr>
          <w:p w14:paraId="59315D5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8.5%</w:t>
            </w:r>
          </w:p>
        </w:tc>
        <w:tc>
          <w:tcPr>
            <w:tcW w:w="764" w:type="dxa"/>
            <w:tcBorders>
              <w:top w:val="nil"/>
              <w:left w:val="nil"/>
              <w:bottom w:val="nil"/>
              <w:right w:val="nil"/>
            </w:tcBorders>
            <w:shd w:val="clear" w:color="auto" w:fill="auto"/>
            <w:noWrap/>
            <w:vAlign w:val="bottom"/>
            <w:hideMark/>
          </w:tcPr>
          <w:p w14:paraId="55D645A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10.3%</w:t>
            </w:r>
          </w:p>
        </w:tc>
        <w:tc>
          <w:tcPr>
            <w:tcW w:w="633" w:type="dxa"/>
            <w:tcBorders>
              <w:top w:val="nil"/>
              <w:left w:val="nil"/>
              <w:bottom w:val="nil"/>
              <w:right w:val="nil"/>
            </w:tcBorders>
            <w:shd w:val="clear" w:color="auto" w:fill="auto"/>
            <w:noWrap/>
            <w:vAlign w:val="bottom"/>
            <w:hideMark/>
          </w:tcPr>
          <w:p w14:paraId="183A948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0.8%</w:t>
            </w:r>
          </w:p>
        </w:tc>
        <w:tc>
          <w:tcPr>
            <w:tcW w:w="683" w:type="dxa"/>
            <w:tcBorders>
              <w:top w:val="nil"/>
              <w:left w:val="nil"/>
              <w:bottom w:val="nil"/>
              <w:right w:val="nil"/>
            </w:tcBorders>
            <w:shd w:val="clear" w:color="auto" w:fill="auto"/>
            <w:noWrap/>
            <w:vAlign w:val="bottom"/>
            <w:hideMark/>
          </w:tcPr>
          <w:p w14:paraId="1A609A6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1.1%</w:t>
            </w:r>
          </w:p>
        </w:tc>
        <w:tc>
          <w:tcPr>
            <w:tcW w:w="866" w:type="dxa"/>
            <w:tcBorders>
              <w:top w:val="nil"/>
              <w:left w:val="nil"/>
              <w:bottom w:val="nil"/>
              <w:right w:val="nil"/>
            </w:tcBorders>
            <w:shd w:val="clear" w:color="auto" w:fill="auto"/>
            <w:noWrap/>
            <w:vAlign w:val="bottom"/>
            <w:hideMark/>
          </w:tcPr>
          <w:p w14:paraId="070FD3A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$2,359 </w:t>
            </w:r>
          </w:p>
        </w:tc>
        <w:tc>
          <w:tcPr>
            <w:tcW w:w="866" w:type="dxa"/>
            <w:tcBorders>
              <w:top w:val="nil"/>
              <w:left w:val="nil"/>
              <w:bottom w:val="nil"/>
              <w:right w:val="nil"/>
            </w:tcBorders>
            <w:shd w:val="clear" w:color="auto" w:fill="auto"/>
            <w:noWrap/>
            <w:vAlign w:val="bottom"/>
            <w:hideMark/>
          </w:tcPr>
          <w:p w14:paraId="0536B78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$1,928 </w:t>
            </w:r>
          </w:p>
        </w:tc>
        <w:tc>
          <w:tcPr>
            <w:tcW w:w="666" w:type="dxa"/>
            <w:tcBorders>
              <w:top w:val="nil"/>
              <w:left w:val="nil"/>
              <w:bottom w:val="nil"/>
              <w:right w:val="nil"/>
            </w:tcBorders>
            <w:shd w:val="clear" w:color="auto" w:fill="auto"/>
            <w:noWrap/>
            <w:vAlign w:val="bottom"/>
            <w:hideMark/>
          </w:tcPr>
          <w:p w14:paraId="1F2ABEE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33.47</w:t>
            </w:r>
          </w:p>
        </w:tc>
        <w:tc>
          <w:tcPr>
            <w:tcW w:w="666" w:type="dxa"/>
            <w:tcBorders>
              <w:top w:val="nil"/>
              <w:left w:val="nil"/>
              <w:bottom w:val="nil"/>
              <w:right w:val="nil"/>
            </w:tcBorders>
            <w:shd w:val="clear" w:color="auto" w:fill="auto"/>
            <w:noWrap/>
            <w:vAlign w:val="bottom"/>
            <w:hideMark/>
          </w:tcPr>
          <w:p w14:paraId="45EAAB7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35.33</w:t>
            </w:r>
          </w:p>
        </w:tc>
        <w:tc>
          <w:tcPr>
            <w:tcW w:w="952" w:type="dxa"/>
            <w:tcBorders>
              <w:top w:val="nil"/>
              <w:left w:val="nil"/>
              <w:bottom w:val="nil"/>
              <w:right w:val="nil"/>
            </w:tcBorders>
            <w:shd w:val="clear" w:color="auto" w:fill="auto"/>
            <w:noWrap/>
            <w:vAlign w:val="bottom"/>
            <w:hideMark/>
          </w:tcPr>
          <w:p w14:paraId="56C0BE4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$79.23 </w:t>
            </w:r>
          </w:p>
        </w:tc>
        <w:tc>
          <w:tcPr>
            <w:tcW w:w="900" w:type="dxa"/>
            <w:tcBorders>
              <w:top w:val="nil"/>
              <w:left w:val="nil"/>
              <w:bottom w:val="nil"/>
              <w:right w:val="nil"/>
            </w:tcBorders>
            <w:shd w:val="clear" w:color="auto" w:fill="auto"/>
            <w:noWrap/>
            <w:vAlign w:val="bottom"/>
            <w:hideMark/>
          </w:tcPr>
          <w:p w14:paraId="3B4FD58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$68.67 </w:t>
            </w:r>
          </w:p>
        </w:tc>
        <w:tc>
          <w:tcPr>
            <w:tcW w:w="866" w:type="dxa"/>
            <w:tcBorders>
              <w:top w:val="nil"/>
              <w:left w:val="nil"/>
              <w:bottom w:val="nil"/>
              <w:right w:val="nil"/>
            </w:tcBorders>
            <w:shd w:val="clear" w:color="auto" w:fill="auto"/>
            <w:noWrap/>
            <w:vAlign w:val="bottom"/>
            <w:hideMark/>
          </w:tcPr>
          <w:p w14:paraId="00BE5C1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$120.66 </w:t>
            </w:r>
          </w:p>
        </w:tc>
        <w:tc>
          <w:tcPr>
            <w:tcW w:w="866" w:type="dxa"/>
            <w:tcBorders>
              <w:top w:val="nil"/>
              <w:left w:val="nil"/>
              <w:bottom w:val="nil"/>
              <w:right w:val="nil"/>
            </w:tcBorders>
            <w:shd w:val="clear" w:color="auto" w:fill="auto"/>
            <w:noWrap/>
            <w:vAlign w:val="bottom"/>
            <w:hideMark/>
          </w:tcPr>
          <w:p w14:paraId="21DF372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$110.59 </w:t>
            </w:r>
          </w:p>
        </w:tc>
      </w:tr>
      <w:tr w:rsidR="007F5BD5" w:rsidRPr="0049452D" w14:paraId="2670DBB1" w14:textId="77777777" w:rsidTr="00455BF8">
        <w:trPr>
          <w:trHeight w:hRule="exact" w:val="274"/>
        </w:trPr>
        <w:tc>
          <w:tcPr>
            <w:tcW w:w="1620" w:type="dxa"/>
            <w:tcBorders>
              <w:top w:val="nil"/>
              <w:left w:val="nil"/>
              <w:bottom w:val="nil"/>
              <w:right w:val="nil"/>
            </w:tcBorders>
            <w:shd w:val="clear" w:color="auto" w:fill="auto"/>
            <w:noWrap/>
            <w:vAlign w:val="bottom"/>
            <w:hideMark/>
          </w:tcPr>
          <w:p w14:paraId="3B22D9E9" w14:textId="77777777" w:rsidR="007F5BD5" w:rsidRPr="0049452D" w:rsidRDefault="007F5BD5" w:rsidP="00453EAF">
            <w:pPr>
              <w:spacing w:after="0" w:line="240" w:lineRule="auto"/>
              <w:rPr>
                <w:b/>
                <w:bCs/>
                <w:color w:val="000000"/>
                <w:sz w:val="20"/>
                <w:szCs w:val="20"/>
                <w:lang w:bidi="ar-SA"/>
              </w:rPr>
            </w:pPr>
            <w:r w:rsidRPr="0049452D">
              <w:rPr>
                <w:b/>
                <w:bCs/>
                <w:color w:val="000000"/>
                <w:sz w:val="20"/>
                <w:szCs w:val="20"/>
                <w:lang w:bidi="ar-SA"/>
              </w:rPr>
              <w:t xml:space="preserve">   Rich Suburbs</w:t>
            </w:r>
          </w:p>
        </w:tc>
        <w:tc>
          <w:tcPr>
            <w:tcW w:w="940" w:type="dxa"/>
            <w:tcBorders>
              <w:top w:val="nil"/>
              <w:left w:val="nil"/>
              <w:bottom w:val="nil"/>
              <w:right w:val="nil"/>
            </w:tcBorders>
            <w:shd w:val="clear" w:color="auto" w:fill="auto"/>
            <w:noWrap/>
            <w:vAlign w:val="bottom"/>
            <w:hideMark/>
          </w:tcPr>
          <w:p w14:paraId="430EA390" w14:textId="77777777" w:rsidR="007F5BD5" w:rsidRPr="0049452D" w:rsidRDefault="007F5BD5" w:rsidP="00453EAF">
            <w:pPr>
              <w:spacing w:after="0" w:line="240" w:lineRule="auto"/>
              <w:rPr>
                <w:b/>
                <w:bCs/>
                <w:color w:val="000000"/>
                <w:sz w:val="20"/>
                <w:szCs w:val="20"/>
                <w:lang w:bidi="ar-SA"/>
              </w:rPr>
            </w:pPr>
          </w:p>
        </w:tc>
        <w:tc>
          <w:tcPr>
            <w:tcW w:w="866" w:type="dxa"/>
            <w:tcBorders>
              <w:top w:val="nil"/>
              <w:left w:val="nil"/>
              <w:bottom w:val="nil"/>
              <w:right w:val="nil"/>
            </w:tcBorders>
            <w:shd w:val="clear" w:color="auto" w:fill="auto"/>
            <w:noWrap/>
            <w:vAlign w:val="bottom"/>
            <w:hideMark/>
          </w:tcPr>
          <w:p w14:paraId="23A59A4A" w14:textId="77777777" w:rsidR="007F5BD5" w:rsidRPr="0049452D" w:rsidRDefault="007F5BD5" w:rsidP="00453EAF">
            <w:pPr>
              <w:spacing w:after="0" w:line="240" w:lineRule="auto"/>
              <w:rPr>
                <w:sz w:val="20"/>
                <w:szCs w:val="20"/>
                <w:lang w:bidi="ar-SA"/>
              </w:rPr>
            </w:pPr>
          </w:p>
        </w:tc>
        <w:tc>
          <w:tcPr>
            <w:tcW w:w="764" w:type="dxa"/>
            <w:tcBorders>
              <w:top w:val="nil"/>
              <w:left w:val="nil"/>
              <w:bottom w:val="nil"/>
              <w:right w:val="nil"/>
            </w:tcBorders>
            <w:shd w:val="clear" w:color="auto" w:fill="auto"/>
            <w:noWrap/>
            <w:vAlign w:val="bottom"/>
            <w:hideMark/>
          </w:tcPr>
          <w:p w14:paraId="231CCD98" w14:textId="77777777" w:rsidR="007F5BD5" w:rsidRPr="0049452D" w:rsidRDefault="007F5BD5" w:rsidP="00453EAF">
            <w:pPr>
              <w:spacing w:after="0" w:line="240" w:lineRule="auto"/>
              <w:rPr>
                <w:sz w:val="20"/>
                <w:szCs w:val="20"/>
                <w:lang w:bidi="ar-SA"/>
              </w:rPr>
            </w:pPr>
          </w:p>
        </w:tc>
        <w:tc>
          <w:tcPr>
            <w:tcW w:w="764" w:type="dxa"/>
            <w:tcBorders>
              <w:top w:val="nil"/>
              <w:left w:val="nil"/>
              <w:bottom w:val="nil"/>
              <w:right w:val="nil"/>
            </w:tcBorders>
            <w:shd w:val="clear" w:color="auto" w:fill="auto"/>
            <w:noWrap/>
            <w:vAlign w:val="bottom"/>
            <w:hideMark/>
          </w:tcPr>
          <w:p w14:paraId="2308095A" w14:textId="77777777" w:rsidR="007F5BD5" w:rsidRPr="0049452D" w:rsidRDefault="007F5BD5" w:rsidP="00453EAF">
            <w:pPr>
              <w:spacing w:after="0" w:line="240" w:lineRule="auto"/>
              <w:rPr>
                <w:sz w:val="20"/>
                <w:szCs w:val="20"/>
                <w:lang w:bidi="ar-SA"/>
              </w:rPr>
            </w:pPr>
          </w:p>
        </w:tc>
        <w:tc>
          <w:tcPr>
            <w:tcW w:w="633" w:type="dxa"/>
            <w:tcBorders>
              <w:top w:val="nil"/>
              <w:left w:val="nil"/>
              <w:bottom w:val="nil"/>
              <w:right w:val="nil"/>
            </w:tcBorders>
            <w:shd w:val="clear" w:color="auto" w:fill="auto"/>
            <w:noWrap/>
            <w:vAlign w:val="bottom"/>
            <w:hideMark/>
          </w:tcPr>
          <w:p w14:paraId="065B7FF7" w14:textId="77777777" w:rsidR="007F5BD5" w:rsidRPr="0049452D" w:rsidRDefault="007F5BD5" w:rsidP="00453EAF">
            <w:pPr>
              <w:spacing w:after="0" w:line="240" w:lineRule="auto"/>
              <w:rPr>
                <w:sz w:val="20"/>
                <w:szCs w:val="20"/>
                <w:lang w:bidi="ar-SA"/>
              </w:rPr>
            </w:pPr>
          </w:p>
        </w:tc>
        <w:tc>
          <w:tcPr>
            <w:tcW w:w="683" w:type="dxa"/>
            <w:tcBorders>
              <w:top w:val="nil"/>
              <w:left w:val="nil"/>
              <w:bottom w:val="nil"/>
              <w:right w:val="nil"/>
            </w:tcBorders>
            <w:shd w:val="clear" w:color="auto" w:fill="auto"/>
            <w:noWrap/>
            <w:vAlign w:val="bottom"/>
            <w:hideMark/>
          </w:tcPr>
          <w:p w14:paraId="7F48D808"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289498AE"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67B202BB" w14:textId="77777777" w:rsidR="007F5BD5" w:rsidRPr="0049452D" w:rsidRDefault="007F5BD5" w:rsidP="00453EAF">
            <w:pPr>
              <w:spacing w:after="0" w:line="240" w:lineRule="auto"/>
              <w:rPr>
                <w:sz w:val="20"/>
                <w:szCs w:val="20"/>
                <w:lang w:bidi="ar-SA"/>
              </w:rPr>
            </w:pPr>
          </w:p>
        </w:tc>
        <w:tc>
          <w:tcPr>
            <w:tcW w:w="666" w:type="dxa"/>
            <w:tcBorders>
              <w:top w:val="nil"/>
              <w:left w:val="nil"/>
              <w:bottom w:val="nil"/>
              <w:right w:val="nil"/>
            </w:tcBorders>
            <w:shd w:val="clear" w:color="auto" w:fill="auto"/>
            <w:noWrap/>
            <w:vAlign w:val="bottom"/>
            <w:hideMark/>
          </w:tcPr>
          <w:p w14:paraId="331FB0A0" w14:textId="77777777" w:rsidR="007F5BD5" w:rsidRPr="0049452D" w:rsidRDefault="007F5BD5" w:rsidP="00453EAF">
            <w:pPr>
              <w:spacing w:after="0" w:line="240" w:lineRule="auto"/>
              <w:rPr>
                <w:sz w:val="20"/>
                <w:szCs w:val="20"/>
                <w:lang w:bidi="ar-SA"/>
              </w:rPr>
            </w:pPr>
          </w:p>
        </w:tc>
        <w:tc>
          <w:tcPr>
            <w:tcW w:w="666" w:type="dxa"/>
            <w:tcBorders>
              <w:top w:val="nil"/>
              <w:left w:val="nil"/>
              <w:bottom w:val="nil"/>
              <w:right w:val="nil"/>
            </w:tcBorders>
            <w:shd w:val="clear" w:color="auto" w:fill="auto"/>
            <w:noWrap/>
            <w:vAlign w:val="bottom"/>
            <w:hideMark/>
          </w:tcPr>
          <w:p w14:paraId="61C7CB28" w14:textId="77777777" w:rsidR="007F5BD5" w:rsidRPr="0049452D" w:rsidRDefault="007F5BD5" w:rsidP="00453EAF">
            <w:pPr>
              <w:spacing w:after="0" w:line="240" w:lineRule="auto"/>
              <w:rPr>
                <w:sz w:val="20"/>
                <w:szCs w:val="20"/>
                <w:lang w:bidi="ar-SA"/>
              </w:rPr>
            </w:pPr>
          </w:p>
        </w:tc>
        <w:tc>
          <w:tcPr>
            <w:tcW w:w="952" w:type="dxa"/>
            <w:tcBorders>
              <w:top w:val="nil"/>
              <w:left w:val="nil"/>
              <w:bottom w:val="nil"/>
              <w:right w:val="nil"/>
            </w:tcBorders>
            <w:shd w:val="clear" w:color="auto" w:fill="auto"/>
            <w:noWrap/>
            <w:vAlign w:val="bottom"/>
            <w:hideMark/>
          </w:tcPr>
          <w:p w14:paraId="48C99FFD" w14:textId="77777777" w:rsidR="007F5BD5" w:rsidRPr="0049452D" w:rsidRDefault="007F5BD5" w:rsidP="00453EAF">
            <w:pPr>
              <w:spacing w:after="0" w:line="240" w:lineRule="auto"/>
              <w:rPr>
                <w:sz w:val="20"/>
                <w:szCs w:val="20"/>
                <w:lang w:bidi="ar-SA"/>
              </w:rPr>
            </w:pPr>
          </w:p>
        </w:tc>
        <w:tc>
          <w:tcPr>
            <w:tcW w:w="900" w:type="dxa"/>
            <w:tcBorders>
              <w:top w:val="nil"/>
              <w:left w:val="nil"/>
              <w:bottom w:val="nil"/>
              <w:right w:val="nil"/>
            </w:tcBorders>
            <w:shd w:val="clear" w:color="auto" w:fill="auto"/>
            <w:noWrap/>
            <w:vAlign w:val="bottom"/>
            <w:hideMark/>
          </w:tcPr>
          <w:p w14:paraId="7A0B7A4F"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25601AE4"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72F46FC5" w14:textId="77777777" w:rsidR="007F5BD5" w:rsidRPr="0049452D" w:rsidRDefault="007F5BD5" w:rsidP="00453EAF">
            <w:pPr>
              <w:spacing w:after="0" w:line="240" w:lineRule="auto"/>
              <w:rPr>
                <w:sz w:val="20"/>
                <w:szCs w:val="20"/>
                <w:lang w:bidi="ar-SA"/>
              </w:rPr>
            </w:pPr>
          </w:p>
        </w:tc>
      </w:tr>
      <w:tr w:rsidR="007F5BD5" w:rsidRPr="0049452D" w14:paraId="437C0038" w14:textId="77777777" w:rsidTr="00455BF8">
        <w:trPr>
          <w:trHeight w:hRule="exact" w:val="274"/>
        </w:trPr>
        <w:tc>
          <w:tcPr>
            <w:tcW w:w="1620" w:type="dxa"/>
            <w:tcBorders>
              <w:top w:val="nil"/>
              <w:left w:val="nil"/>
              <w:bottom w:val="nil"/>
              <w:right w:val="nil"/>
            </w:tcBorders>
            <w:shd w:val="clear" w:color="auto" w:fill="auto"/>
            <w:noWrap/>
            <w:vAlign w:val="bottom"/>
            <w:hideMark/>
          </w:tcPr>
          <w:p w14:paraId="52A8EA58"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Glastonbury</w:t>
            </w:r>
          </w:p>
        </w:tc>
        <w:tc>
          <w:tcPr>
            <w:tcW w:w="940" w:type="dxa"/>
            <w:tcBorders>
              <w:top w:val="nil"/>
              <w:left w:val="nil"/>
              <w:bottom w:val="nil"/>
              <w:right w:val="nil"/>
            </w:tcBorders>
            <w:shd w:val="clear" w:color="auto" w:fill="auto"/>
            <w:noWrap/>
            <w:vAlign w:val="bottom"/>
            <w:hideMark/>
          </w:tcPr>
          <w:p w14:paraId="3533120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34,768</w:t>
            </w:r>
          </w:p>
        </w:tc>
        <w:tc>
          <w:tcPr>
            <w:tcW w:w="866" w:type="dxa"/>
            <w:tcBorders>
              <w:top w:val="nil"/>
              <w:left w:val="nil"/>
              <w:bottom w:val="nil"/>
              <w:right w:val="nil"/>
            </w:tcBorders>
            <w:shd w:val="clear" w:color="auto" w:fill="auto"/>
            <w:noWrap/>
            <w:vAlign w:val="bottom"/>
            <w:hideMark/>
          </w:tcPr>
          <w:p w14:paraId="03476B2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33,353</w:t>
            </w:r>
          </w:p>
        </w:tc>
        <w:tc>
          <w:tcPr>
            <w:tcW w:w="764" w:type="dxa"/>
            <w:tcBorders>
              <w:top w:val="nil"/>
              <w:left w:val="nil"/>
              <w:bottom w:val="nil"/>
              <w:right w:val="nil"/>
            </w:tcBorders>
            <w:shd w:val="clear" w:color="auto" w:fill="auto"/>
            <w:noWrap/>
            <w:vAlign w:val="bottom"/>
            <w:hideMark/>
          </w:tcPr>
          <w:p w14:paraId="65E5FA5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5.3%</w:t>
            </w:r>
          </w:p>
        </w:tc>
        <w:tc>
          <w:tcPr>
            <w:tcW w:w="764" w:type="dxa"/>
            <w:tcBorders>
              <w:top w:val="nil"/>
              <w:left w:val="nil"/>
              <w:bottom w:val="nil"/>
              <w:right w:val="nil"/>
            </w:tcBorders>
            <w:shd w:val="clear" w:color="auto" w:fill="auto"/>
            <w:noWrap/>
            <w:vAlign w:val="bottom"/>
            <w:hideMark/>
          </w:tcPr>
          <w:p w14:paraId="42C12F7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5.8%</w:t>
            </w:r>
          </w:p>
        </w:tc>
        <w:tc>
          <w:tcPr>
            <w:tcW w:w="633" w:type="dxa"/>
            <w:tcBorders>
              <w:top w:val="nil"/>
              <w:left w:val="nil"/>
              <w:bottom w:val="nil"/>
              <w:right w:val="nil"/>
            </w:tcBorders>
            <w:shd w:val="clear" w:color="auto" w:fill="auto"/>
            <w:noWrap/>
            <w:vAlign w:val="bottom"/>
            <w:hideMark/>
          </w:tcPr>
          <w:p w14:paraId="0847265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0.1%</w:t>
            </w:r>
          </w:p>
        </w:tc>
        <w:tc>
          <w:tcPr>
            <w:tcW w:w="683" w:type="dxa"/>
            <w:tcBorders>
              <w:top w:val="nil"/>
              <w:left w:val="nil"/>
              <w:bottom w:val="nil"/>
              <w:right w:val="nil"/>
            </w:tcBorders>
            <w:shd w:val="clear" w:color="auto" w:fill="auto"/>
            <w:noWrap/>
            <w:vAlign w:val="bottom"/>
            <w:hideMark/>
          </w:tcPr>
          <w:p w14:paraId="2C96112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0.2%</w:t>
            </w:r>
          </w:p>
        </w:tc>
        <w:tc>
          <w:tcPr>
            <w:tcW w:w="866" w:type="dxa"/>
            <w:tcBorders>
              <w:top w:val="nil"/>
              <w:left w:val="nil"/>
              <w:bottom w:val="nil"/>
              <w:right w:val="nil"/>
            </w:tcBorders>
            <w:shd w:val="clear" w:color="auto" w:fill="auto"/>
            <w:noWrap/>
            <w:vAlign w:val="bottom"/>
            <w:hideMark/>
          </w:tcPr>
          <w:p w14:paraId="141DA8B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$4,208 </w:t>
            </w:r>
          </w:p>
        </w:tc>
        <w:tc>
          <w:tcPr>
            <w:tcW w:w="866" w:type="dxa"/>
            <w:tcBorders>
              <w:top w:val="nil"/>
              <w:left w:val="nil"/>
              <w:bottom w:val="nil"/>
              <w:right w:val="nil"/>
            </w:tcBorders>
            <w:shd w:val="clear" w:color="auto" w:fill="auto"/>
            <w:noWrap/>
            <w:vAlign w:val="bottom"/>
            <w:hideMark/>
          </w:tcPr>
          <w:p w14:paraId="50DE454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$4,074 </w:t>
            </w:r>
          </w:p>
        </w:tc>
        <w:tc>
          <w:tcPr>
            <w:tcW w:w="666" w:type="dxa"/>
            <w:tcBorders>
              <w:top w:val="nil"/>
              <w:left w:val="nil"/>
              <w:bottom w:val="nil"/>
              <w:right w:val="nil"/>
            </w:tcBorders>
            <w:shd w:val="clear" w:color="auto" w:fill="auto"/>
            <w:noWrap/>
            <w:vAlign w:val="bottom"/>
            <w:hideMark/>
          </w:tcPr>
          <w:p w14:paraId="7A13A11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30.50</w:t>
            </w:r>
          </w:p>
        </w:tc>
        <w:tc>
          <w:tcPr>
            <w:tcW w:w="666" w:type="dxa"/>
            <w:tcBorders>
              <w:top w:val="nil"/>
              <w:left w:val="nil"/>
              <w:bottom w:val="nil"/>
              <w:right w:val="nil"/>
            </w:tcBorders>
            <w:shd w:val="clear" w:color="auto" w:fill="auto"/>
            <w:noWrap/>
            <w:vAlign w:val="bottom"/>
            <w:hideMark/>
          </w:tcPr>
          <w:p w14:paraId="5E18887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28.35</w:t>
            </w:r>
          </w:p>
        </w:tc>
        <w:tc>
          <w:tcPr>
            <w:tcW w:w="952" w:type="dxa"/>
            <w:tcBorders>
              <w:top w:val="nil"/>
              <w:left w:val="nil"/>
              <w:bottom w:val="nil"/>
              <w:right w:val="nil"/>
            </w:tcBorders>
            <w:shd w:val="clear" w:color="auto" w:fill="auto"/>
            <w:noWrap/>
            <w:vAlign w:val="bottom"/>
            <w:hideMark/>
          </w:tcPr>
          <w:p w14:paraId="6E38EAA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$128.47 </w:t>
            </w:r>
          </w:p>
        </w:tc>
        <w:tc>
          <w:tcPr>
            <w:tcW w:w="900" w:type="dxa"/>
            <w:tcBorders>
              <w:top w:val="nil"/>
              <w:left w:val="nil"/>
              <w:bottom w:val="nil"/>
              <w:right w:val="nil"/>
            </w:tcBorders>
            <w:shd w:val="clear" w:color="auto" w:fill="auto"/>
            <w:noWrap/>
            <w:vAlign w:val="bottom"/>
            <w:hideMark/>
          </w:tcPr>
          <w:p w14:paraId="188F71F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$115.60 </w:t>
            </w:r>
          </w:p>
        </w:tc>
        <w:tc>
          <w:tcPr>
            <w:tcW w:w="866" w:type="dxa"/>
            <w:tcBorders>
              <w:top w:val="nil"/>
              <w:left w:val="nil"/>
              <w:bottom w:val="nil"/>
              <w:right w:val="nil"/>
            </w:tcBorders>
            <w:shd w:val="clear" w:color="auto" w:fill="auto"/>
            <w:noWrap/>
            <w:vAlign w:val="bottom"/>
            <w:hideMark/>
          </w:tcPr>
          <w:p w14:paraId="52150F6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$156.35 </w:t>
            </w:r>
          </w:p>
        </w:tc>
        <w:tc>
          <w:tcPr>
            <w:tcW w:w="866" w:type="dxa"/>
            <w:tcBorders>
              <w:top w:val="nil"/>
              <w:left w:val="nil"/>
              <w:bottom w:val="nil"/>
              <w:right w:val="nil"/>
            </w:tcBorders>
            <w:shd w:val="clear" w:color="auto" w:fill="auto"/>
            <w:noWrap/>
            <w:vAlign w:val="bottom"/>
            <w:hideMark/>
          </w:tcPr>
          <w:p w14:paraId="0CFC3B4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$136.52 </w:t>
            </w:r>
          </w:p>
        </w:tc>
      </w:tr>
      <w:tr w:rsidR="007F5BD5" w:rsidRPr="0049452D" w14:paraId="149C4ACB" w14:textId="77777777" w:rsidTr="00455BF8">
        <w:trPr>
          <w:trHeight w:hRule="exact" w:val="274"/>
        </w:trPr>
        <w:tc>
          <w:tcPr>
            <w:tcW w:w="1620" w:type="dxa"/>
            <w:tcBorders>
              <w:top w:val="nil"/>
              <w:left w:val="nil"/>
              <w:bottom w:val="nil"/>
              <w:right w:val="nil"/>
            </w:tcBorders>
            <w:shd w:val="clear" w:color="auto" w:fill="auto"/>
            <w:noWrap/>
            <w:vAlign w:val="bottom"/>
            <w:hideMark/>
          </w:tcPr>
          <w:p w14:paraId="072138DE"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Guilford</w:t>
            </w:r>
          </w:p>
        </w:tc>
        <w:tc>
          <w:tcPr>
            <w:tcW w:w="940" w:type="dxa"/>
            <w:tcBorders>
              <w:top w:val="nil"/>
              <w:left w:val="nil"/>
              <w:bottom w:val="nil"/>
              <w:right w:val="nil"/>
            </w:tcBorders>
            <w:shd w:val="clear" w:color="auto" w:fill="auto"/>
            <w:noWrap/>
            <w:vAlign w:val="bottom"/>
            <w:hideMark/>
          </w:tcPr>
          <w:p w14:paraId="208F4BE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22,417</w:t>
            </w:r>
          </w:p>
        </w:tc>
        <w:tc>
          <w:tcPr>
            <w:tcW w:w="866" w:type="dxa"/>
            <w:tcBorders>
              <w:top w:val="nil"/>
              <w:left w:val="nil"/>
              <w:bottom w:val="nil"/>
              <w:right w:val="nil"/>
            </w:tcBorders>
            <w:shd w:val="clear" w:color="auto" w:fill="auto"/>
            <w:noWrap/>
            <w:vAlign w:val="bottom"/>
            <w:hideMark/>
          </w:tcPr>
          <w:p w14:paraId="3460B48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22,469</w:t>
            </w:r>
          </w:p>
        </w:tc>
        <w:tc>
          <w:tcPr>
            <w:tcW w:w="764" w:type="dxa"/>
            <w:tcBorders>
              <w:top w:val="nil"/>
              <w:left w:val="nil"/>
              <w:bottom w:val="nil"/>
              <w:right w:val="nil"/>
            </w:tcBorders>
            <w:shd w:val="clear" w:color="auto" w:fill="auto"/>
            <w:noWrap/>
            <w:vAlign w:val="bottom"/>
            <w:hideMark/>
          </w:tcPr>
          <w:p w14:paraId="7CFAEC1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5.6%</w:t>
            </w:r>
          </w:p>
        </w:tc>
        <w:tc>
          <w:tcPr>
            <w:tcW w:w="764" w:type="dxa"/>
            <w:tcBorders>
              <w:top w:val="nil"/>
              <w:left w:val="nil"/>
              <w:bottom w:val="nil"/>
              <w:right w:val="nil"/>
            </w:tcBorders>
            <w:shd w:val="clear" w:color="auto" w:fill="auto"/>
            <w:noWrap/>
            <w:vAlign w:val="bottom"/>
            <w:hideMark/>
          </w:tcPr>
          <w:p w14:paraId="414140D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5.6%</w:t>
            </w:r>
          </w:p>
        </w:tc>
        <w:tc>
          <w:tcPr>
            <w:tcW w:w="633" w:type="dxa"/>
            <w:tcBorders>
              <w:top w:val="nil"/>
              <w:left w:val="nil"/>
              <w:bottom w:val="nil"/>
              <w:right w:val="nil"/>
            </w:tcBorders>
            <w:shd w:val="clear" w:color="auto" w:fill="auto"/>
            <w:noWrap/>
            <w:vAlign w:val="bottom"/>
            <w:hideMark/>
          </w:tcPr>
          <w:p w14:paraId="7F627C2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0.1%</w:t>
            </w:r>
          </w:p>
        </w:tc>
        <w:tc>
          <w:tcPr>
            <w:tcW w:w="683" w:type="dxa"/>
            <w:tcBorders>
              <w:top w:val="nil"/>
              <w:left w:val="nil"/>
              <w:bottom w:val="nil"/>
              <w:right w:val="nil"/>
            </w:tcBorders>
            <w:shd w:val="clear" w:color="auto" w:fill="auto"/>
            <w:noWrap/>
            <w:vAlign w:val="bottom"/>
            <w:hideMark/>
          </w:tcPr>
          <w:p w14:paraId="0041FFE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0.2%</w:t>
            </w:r>
          </w:p>
        </w:tc>
        <w:tc>
          <w:tcPr>
            <w:tcW w:w="866" w:type="dxa"/>
            <w:tcBorders>
              <w:top w:val="nil"/>
              <w:left w:val="nil"/>
              <w:bottom w:val="nil"/>
              <w:right w:val="nil"/>
            </w:tcBorders>
            <w:shd w:val="clear" w:color="auto" w:fill="auto"/>
            <w:noWrap/>
            <w:vAlign w:val="bottom"/>
            <w:hideMark/>
          </w:tcPr>
          <w:p w14:paraId="7F01D2D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$3,490 </w:t>
            </w:r>
          </w:p>
        </w:tc>
        <w:tc>
          <w:tcPr>
            <w:tcW w:w="866" w:type="dxa"/>
            <w:tcBorders>
              <w:top w:val="nil"/>
              <w:left w:val="nil"/>
              <w:bottom w:val="nil"/>
              <w:right w:val="nil"/>
            </w:tcBorders>
            <w:shd w:val="clear" w:color="auto" w:fill="auto"/>
            <w:noWrap/>
            <w:vAlign w:val="bottom"/>
            <w:hideMark/>
          </w:tcPr>
          <w:p w14:paraId="04038C1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$3,455 </w:t>
            </w:r>
          </w:p>
        </w:tc>
        <w:tc>
          <w:tcPr>
            <w:tcW w:w="666" w:type="dxa"/>
            <w:tcBorders>
              <w:top w:val="nil"/>
              <w:left w:val="nil"/>
              <w:bottom w:val="nil"/>
              <w:right w:val="nil"/>
            </w:tcBorders>
            <w:shd w:val="clear" w:color="auto" w:fill="auto"/>
            <w:noWrap/>
            <w:vAlign w:val="bottom"/>
            <w:hideMark/>
          </w:tcPr>
          <w:p w14:paraId="1721C60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22.36</w:t>
            </w:r>
          </w:p>
        </w:tc>
        <w:tc>
          <w:tcPr>
            <w:tcW w:w="666" w:type="dxa"/>
            <w:tcBorders>
              <w:top w:val="nil"/>
              <w:left w:val="nil"/>
              <w:bottom w:val="nil"/>
              <w:right w:val="nil"/>
            </w:tcBorders>
            <w:shd w:val="clear" w:color="auto" w:fill="auto"/>
            <w:noWrap/>
            <w:vAlign w:val="bottom"/>
            <w:hideMark/>
          </w:tcPr>
          <w:p w14:paraId="05B7414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19.19</w:t>
            </w:r>
          </w:p>
        </w:tc>
        <w:tc>
          <w:tcPr>
            <w:tcW w:w="952" w:type="dxa"/>
            <w:tcBorders>
              <w:top w:val="nil"/>
              <w:left w:val="nil"/>
              <w:bottom w:val="nil"/>
              <w:right w:val="nil"/>
            </w:tcBorders>
            <w:shd w:val="clear" w:color="auto" w:fill="auto"/>
            <w:noWrap/>
            <w:vAlign w:val="bottom"/>
            <w:hideMark/>
          </w:tcPr>
          <w:p w14:paraId="624F295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$77.17 </w:t>
            </w:r>
          </w:p>
        </w:tc>
        <w:tc>
          <w:tcPr>
            <w:tcW w:w="900" w:type="dxa"/>
            <w:tcBorders>
              <w:top w:val="nil"/>
              <w:left w:val="nil"/>
              <w:bottom w:val="nil"/>
              <w:right w:val="nil"/>
            </w:tcBorders>
            <w:shd w:val="clear" w:color="auto" w:fill="auto"/>
            <w:noWrap/>
            <w:vAlign w:val="bottom"/>
            <w:hideMark/>
          </w:tcPr>
          <w:p w14:paraId="11F2AAF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$65.71 </w:t>
            </w:r>
          </w:p>
        </w:tc>
        <w:tc>
          <w:tcPr>
            <w:tcW w:w="866" w:type="dxa"/>
            <w:tcBorders>
              <w:top w:val="nil"/>
              <w:left w:val="nil"/>
              <w:bottom w:val="nil"/>
              <w:right w:val="nil"/>
            </w:tcBorders>
            <w:shd w:val="clear" w:color="auto" w:fill="auto"/>
            <w:noWrap/>
            <w:vAlign w:val="bottom"/>
            <w:hideMark/>
          </w:tcPr>
          <w:p w14:paraId="2595282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$89.45 </w:t>
            </w:r>
          </w:p>
        </w:tc>
        <w:tc>
          <w:tcPr>
            <w:tcW w:w="866" w:type="dxa"/>
            <w:tcBorders>
              <w:top w:val="nil"/>
              <w:left w:val="nil"/>
              <w:bottom w:val="nil"/>
              <w:right w:val="nil"/>
            </w:tcBorders>
            <w:shd w:val="clear" w:color="auto" w:fill="auto"/>
            <w:noWrap/>
            <w:vAlign w:val="bottom"/>
            <w:hideMark/>
          </w:tcPr>
          <w:p w14:paraId="663183D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$77.34 </w:t>
            </w:r>
          </w:p>
        </w:tc>
      </w:tr>
      <w:tr w:rsidR="007F5BD5" w:rsidRPr="0049452D" w14:paraId="11CEEE45" w14:textId="77777777" w:rsidTr="00455BF8">
        <w:trPr>
          <w:trHeight w:hRule="exact" w:val="274"/>
        </w:trPr>
        <w:tc>
          <w:tcPr>
            <w:tcW w:w="1620" w:type="dxa"/>
            <w:tcBorders>
              <w:top w:val="nil"/>
              <w:left w:val="nil"/>
              <w:bottom w:val="nil"/>
              <w:right w:val="nil"/>
            </w:tcBorders>
            <w:shd w:val="clear" w:color="auto" w:fill="auto"/>
            <w:noWrap/>
            <w:vAlign w:val="bottom"/>
            <w:hideMark/>
          </w:tcPr>
          <w:p w14:paraId="4AEE063E"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Litchfield</w:t>
            </w:r>
          </w:p>
        </w:tc>
        <w:tc>
          <w:tcPr>
            <w:tcW w:w="940" w:type="dxa"/>
            <w:tcBorders>
              <w:top w:val="nil"/>
              <w:left w:val="nil"/>
              <w:bottom w:val="nil"/>
              <w:right w:val="nil"/>
            </w:tcBorders>
            <w:shd w:val="clear" w:color="auto" w:fill="auto"/>
            <w:noWrap/>
            <w:vAlign w:val="bottom"/>
            <w:hideMark/>
          </w:tcPr>
          <w:p w14:paraId="287250B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8,333</w:t>
            </w:r>
          </w:p>
        </w:tc>
        <w:tc>
          <w:tcPr>
            <w:tcW w:w="866" w:type="dxa"/>
            <w:tcBorders>
              <w:top w:val="nil"/>
              <w:left w:val="nil"/>
              <w:bottom w:val="nil"/>
              <w:right w:val="nil"/>
            </w:tcBorders>
            <w:shd w:val="clear" w:color="auto" w:fill="auto"/>
            <w:noWrap/>
            <w:vAlign w:val="bottom"/>
            <w:hideMark/>
          </w:tcPr>
          <w:p w14:paraId="448F4E4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8,686</w:t>
            </w:r>
          </w:p>
        </w:tc>
        <w:tc>
          <w:tcPr>
            <w:tcW w:w="764" w:type="dxa"/>
            <w:tcBorders>
              <w:top w:val="nil"/>
              <w:left w:val="nil"/>
              <w:bottom w:val="nil"/>
              <w:right w:val="nil"/>
            </w:tcBorders>
            <w:shd w:val="clear" w:color="auto" w:fill="auto"/>
            <w:noWrap/>
            <w:vAlign w:val="bottom"/>
            <w:hideMark/>
          </w:tcPr>
          <w:p w14:paraId="48BBC74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6.5%</w:t>
            </w:r>
          </w:p>
        </w:tc>
        <w:tc>
          <w:tcPr>
            <w:tcW w:w="764" w:type="dxa"/>
            <w:tcBorders>
              <w:top w:val="nil"/>
              <w:left w:val="nil"/>
              <w:bottom w:val="nil"/>
              <w:right w:val="nil"/>
            </w:tcBorders>
            <w:shd w:val="clear" w:color="auto" w:fill="auto"/>
            <w:noWrap/>
            <w:vAlign w:val="bottom"/>
            <w:hideMark/>
          </w:tcPr>
          <w:p w14:paraId="66D99AF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7.1%</w:t>
            </w:r>
          </w:p>
        </w:tc>
        <w:tc>
          <w:tcPr>
            <w:tcW w:w="633" w:type="dxa"/>
            <w:tcBorders>
              <w:top w:val="nil"/>
              <w:left w:val="nil"/>
              <w:bottom w:val="nil"/>
              <w:right w:val="nil"/>
            </w:tcBorders>
            <w:shd w:val="clear" w:color="auto" w:fill="auto"/>
            <w:noWrap/>
            <w:vAlign w:val="bottom"/>
            <w:hideMark/>
          </w:tcPr>
          <w:p w14:paraId="451A758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0.2%</w:t>
            </w:r>
          </w:p>
        </w:tc>
        <w:tc>
          <w:tcPr>
            <w:tcW w:w="683" w:type="dxa"/>
            <w:tcBorders>
              <w:top w:val="nil"/>
              <w:left w:val="nil"/>
              <w:bottom w:val="nil"/>
              <w:right w:val="nil"/>
            </w:tcBorders>
            <w:shd w:val="clear" w:color="auto" w:fill="auto"/>
            <w:noWrap/>
            <w:vAlign w:val="bottom"/>
            <w:hideMark/>
          </w:tcPr>
          <w:p w14:paraId="231AC12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0.1%</w:t>
            </w:r>
          </w:p>
        </w:tc>
        <w:tc>
          <w:tcPr>
            <w:tcW w:w="866" w:type="dxa"/>
            <w:tcBorders>
              <w:top w:val="nil"/>
              <w:left w:val="nil"/>
              <w:bottom w:val="nil"/>
              <w:right w:val="nil"/>
            </w:tcBorders>
            <w:shd w:val="clear" w:color="auto" w:fill="auto"/>
            <w:noWrap/>
            <w:vAlign w:val="bottom"/>
            <w:hideMark/>
          </w:tcPr>
          <w:p w14:paraId="54711FE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$1,109 </w:t>
            </w:r>
          </w:p>
        </w:tc>
        <w:tc>
          <w:tcPr>
            <w:tcW w:w="866" w:type="dxa"/>
            <w:tcBorders>
              <w:top w:val="nil"/>
              <w:left w:val="nil"/>
              <w:bottom w:val="nil"/>
              <w:right w:val="nil"/>
            </w:tcBorders>
            <w:shd w:val="clear" w:color="auto" w:fill="auto"/>
            <w:noWrap/>
            <w:vAlign w:val="bottom"/>
            <w:hideMark/>
          </w:tcPr>
          <w:p w14:paraId="12E2C5B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$901 </w:t>
            </w:r>
          </w:p>
        </w:tc>
        <w:tc>
          <w:tcPr>
            <w:tcW w:w="666" w:type="dxa"/>
            <w:tcBorders>
              <w:top w:val="nil"/>
              <w:left w:val="nil"/>
              <w:bottom w:val="nil"/>
              <w:right w:val="nil"/>
            </w:tcBorders>
            <w:shd w:val="clear" w:color="auto" w:fill="auto"/>
            <w:noWrap/>
            <w:vAlign w:val="bottom"/>
            <w:hideMark/>
          </w:tcPr>
          <w:p w14:paraId="20C8495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22.20</w:t>
            </w:r>
          </w:p>
        </w:tc>
        <w:tc>
          <w:tcPr>
            <w:tcW w:w="666" w:type="dxa"/>
            <w:tcBorders>
              <w:top w:val="nil"/>
              <w:left w:val="nil"/>
              <w:bottom w:val="nil"/>
              <w:right w:val="nil"/>
            </w:tcBorders>
            <w:shd w:val="clear" w:color="auto" w:fill="auto"/>
            <w:noWrap/>
            <w:vAlign w:val="bottom"/>
            <w:hideMark/>
          </w:tcPr>
          <w:p w14:paraId="3EB331A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25.50</w:t>
            </w:r>
          </w:p>
        </w:tc>
        <w:tc>
          <w:tcPr>
            <w:tcW w:w="952" w:type="dxa"/>
            <w:tcBorders>
              <w:top w:val="nil"/>
              <w:left w:val="nil"/>
              <w:bottom w:val="nil"/>
              <w:right w:val="nil"/>
            </w:tcBorders>
            <w:shd w:val="clear" w:color="auto" w:fill="auto"/>
            <w:noWrap/>
            <w:vAlign w:val="bottom"/>
            <w:hideMark/>
          </w:tcPr>
          <w:p w14:paraId="7B83B3D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$24.79 </w:t>
            </w:r>
          </w:p>
        </w:tc>
        <w:tc>
          <w:tcPr>
            <w:tcW w:w="900" w:type="dxa"/>
            <w:tcBorders>
              <w:top w:val="nil"/>
              <w:left w:val="nil"/>
              <w:bottom w:val="nil"/>
              <w:right w:val="nil"/>
            </w:tcBorders>
            <w:shd w:val="clear" w:color="auto" w:fill="auto"/>
            <w:noWrap/>
            <w:vAlign w:val="bottom"/>
            <w:hideMark/>
          </w:tcPr>
          <w:p w14:paraId="069754D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$23.03 </w:t>
            </w:r>
          </w:p>
        </w:tc>
        <w:tc>
          <w:tcPr>
            <w:tcW w:w="866" w:type="dxa"/>
            <w:tcBorders>
              <w:top w:val="nil"/>
              <w:left w:val="nil"/>
              <w:bottom w:val="nil"/>
              <w:right w:val="nil"/>
            </w:tcBorders>
            <w:shd w:val="clear" w:color="auto" w:fill="auto"/>
            <w:noWrap/>
            <w:vAlign w:val="bottom"/>
            <w:hideMark/>
          </w:tcPr>
          <w:p w14:paraId="769D866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$28.88 </w:t>
            </w:r>
          </w:p>
        </w:tc>
        <w:tc>
          <w:tcPr>
            <w:tcW w:w="866" w:type="dxa"/>
            <w:tcBorders>
              <w:top w:val="nil"/>
              <w:left w:val="nil"/>
              <w:bottom w:val="nil"/>
              <w:right w:val="nil"/>
            </w:tcBorders>
            <w:shd w:val="clear" w:color="auto" w:fill="auto"/>
            <w:noWrap/>
            <w:vAlign w:val="bottom"/>
            <w:hideMark/>
          </w:tcPr>
          <w:p w14:paraId="143A0B4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$26.63 </w:t>
            </w:r>
          </w:p>
        </w:tc>
      </w:tr>
      <w:tr w:rsidR="007F5BD5" w:rsidRPr="0049452D" w14:paraId="3C091E86" w14:textId="77777777" w:rsidTr="00455BF8">
        <w:trPr>
          <w:trHeight w:hRule="exact" w:val="274"/>
        </w:trPr>
        <w:tc>
          <w:tcPr>
            <w:tcW w:w="1620" w:type="dxa"/>
            <w:tcBorders>
              <w:top w:val="nil"/>
              <w:left w:val="nil"/>
              <w:bottom w:val="nil"/>
              <w:right w:val="nil"/>
            </w:tcBorders>
            <w:shd w:val="clear" w:color="auto" w:fill="auto"/>
            <w:noWrap/>
            <w:vAlign w:val="bottom"/>
            <w:hideMark/>
          </w:tcPr>
          <w:p w14:paraId="4A979A3E"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New Canaan</w:t>
            </w:r>
          </w:p>
        </w:tc>
        <w:tc>
          <w:tcPr>
            <w:tcW w:w="940" w:type="dxa"/>
            <w:tcBorders>
              <w:top w:val="nil"/>
              <w:left w:val="nil"/>
              <w:bottom w:val="nil"/>
              <w:right w:val="nil"/>
            </w:tcBorders>
            <w:shd w:val="clear" w:color="auto" w:fill="auto"/>
            <w:noWrap/>
            <w:vAlign w:val="bottom"/>
            <w:hideMark/>
          </w:tcPr>
          <w:p w14:paraId="350519C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20,194</w:t>
            </w:r>
          </w:p>
        </w:tc>
        <w:tc>
          <w:tcPr>
            <w:tcW w:w="866" w:type="dxa"/>
            <w:tcBorders>
              <w:top w:val="nil"/>
              <w:left w:val="nil"/>
              <w:bottom w:val="nil"/>
              <w:right w:val="nil"/>
            </w:tcBorders>
            <w:shd w:val="clear" w:color="auto" w:fill="auto"/>
            <w:noWrap/>
            <w:vAlign w:val="bottom"/>
            <w:hideMark/>
          </w:tcPr>
          <w:p w14:paraId="1FBBF98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20,000</w:t>
            </w:r>
          </w:p>
        </w:tc>
        <w:tc>
          <w:tcPr>
            <w:tcW w:w="764" w:type="dxa"/>
            <w:tcBorders>
              <w:top w:val="nil"/>
              <w:left w:val="nil"/>
              <w:bottom w:val="nil"/>
              <w:right w:val="nil"/>
            </w:tcBorders>
            <w:shd w:val="clear" w:color="auto" w:fill="auto"/>
            <w:noWrap/>
            <w:vAlign w:val="bottom"/>
            <w:hideMark/>
          </w:tcPr>
          <w:p w14:paraId="095FCBD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5.4%</w:t>
            </w:r>
          </w:p>
        </w:tc>
        <w:tc>
          <w:tcPr>
            <w:tcW w:w="764" w:type="dxa"/>
            <w:tcBorders>
              <w:top w:val="nil"/>
              <w:left w:val="nil"/>
              <w:bottom w:val="nil"/>
              <w:right w:val="nil"/>
            </w:tcBorders>
            <w:shd w:val="clear" w:color="auto" w:fill="auto"/>
            <w:noWrap/>
            <w:vAlign w:val="bottom"/>
            <w:hideMark/>
          </w:tcPr>
          <w:p w14:paraId="3B1CBCB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5.9%</w:t>
            </w:r>
          </w:p>
        </w:tc>
        <w:tc>
          <w:tcPr>
            <w:tcW w:w="633" w:type="dxa"/>
            <w:tcBorders>
              <w:top w:val="nil"/>
              <w:left w:val="nil"/>
              <w:bottom w:val="nil"/>
              <w:right w:val="nil"/>
            </w:tcBorders>
            <w:shd w:val="clear" w:color="auto" w:fill="auto"/>
            <w:noWrap/>
            <w:vAlign w:val="bottom"/>
            <w:hideMark/>
          </w:tcPr>
          <w:p w14:paraId="5881AE9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0.0%</w:t>
            </w:r>
          </w:p>
        </w:tc>
        <w:tc>
          <w:tcPr>
            <w:tcW w:w="683" w:type="dxa"/>
            <w:tcBorders>
              <w:top w:val="nil"/>
              <w:left w:val="nil"/>
              <w:bottom w:val="nil"/>
              <w:right w:val="nil"/>
            </w:tcBorders>
            <w:shd w:val="clear" w:color="auto" w:fill="auto"/>
            <w:noWrap/>
            <w:vAlign w:val="bottom"/>
            <w:hideMark/>
          </w:tcPr>
          <w:p w14:paraId="0213FAC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0.0%</w:t>
            </w:r>
          </w:p>
        </w:tc>
        <w:tc>
          <w:tcPr>
            <w:tcW w:w="866" w:type="dxa"/>
            <w:tcBorders>
              <w:top w:val="nil"/>
              <w:left w:val="nil"/>
              <w:bottom w:val="nil"/>
              <w:right w:val="nil"/>
            </w:tcBorders>
            <w:shd w:val="clear" w:color="auto" w:fill="auto"/>
            <w:noWrap/>
            <w:vAlign w:val="bottom"/>
            <w:hideMark/>
          </w:tcPr>
          <w:p w14:paraId="53894E6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$8,249 </w:t>
            </w:r>
          </w:p>
        </w:tc>
        <w:tc>
          <w:tcPr>
            <w:tcW w:w="866" w:type="dxa"/>
            <w:tcBorders>
              <w:top w:val="nil"/>
              <w:left w:val="nil"/>
              <w:bottom w:val="nil"/>
              <w:right w:val="nil"/>
            </w:tcBorders>
            <w:shd w:val="clear" w:color="auto" w:fill="auto"/>
            <w:noWrap/>
            <w:vAlign w:val="bottom"/>
            <w:hideMark/>
          </w:tcPr>
          <w:p w14:paraId="5592C88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$7,049 </w:t>
            </w:r>
          </w:p>
        </w:tc>
        <w:tc>
          <w:tcPr>
            <w:tcW w:w="666" w:type="dxa"/>
            <w:tcBorders>
              <w:top w:val="nil"/>
              <w:left w:val="nil"/>
              <w:bottom w:val="nil"/>
              <w:right w:val="nil"/>
            </w:tcBorders>
            <w:shd w:val="clear" w:color="auto" w:fill="auto"/>
            <w:noWrap/>
            <w:vAlign w:val="bottom"/>
            <w:hideMark/>
          </w:tcPr>
          <w:p w14:paraId="7B22AE9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14.08</w:t>
            </w:r>
          </w:p>
        </w:tc>
        <w:tc>
          <w:tcPr>
            <w:tcW w:w="666" w:type="dxa"/>
            <w:tcBorders>
              <w:top w:val="nil"/>
              <w:left w:val="nil"/>
              <w:bottom w:val="nil"/>
              <w:right w:val="nil"/>
            </w:tcBorders>
            <w:shd w:val="clear" w:color="auto" w:fill="auto"/>
            <w:noWrap/>
            <w:vAlign w:val="bottom"/>
            <w:hideMark/>
          </w:tcPr>
          <w:p w14:paraId="7C91AE4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15.12</w:t>
            </w:r>
          </w:p>
        </w:tc>
        <w:tc>
          <w:tcPr>
            <w:tcW w:w="952" w:type="dxa"/>
            <w:tcBorders>
              <w:top w:val="nil"/>
              <w:left w:val="nil"/>
              <w:bottom w:val="nil"/>
              <w:right w:val="nil"/>
            </w:tcBorders>
            <w:shd w:val="clear" w:color="auto" w:fill="auto"/>
            <w:noWrap/>
            <w:vAlign w:val="bottom"/>
            <w:hideMark/>
          </w:tcPr>
          <w:p w14:paraId="7BD6B8C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$116.62 </w:t>
            </w:r>
          </w:p>
        </w:tc>
        <w:tc>
          <w:tcPr>
            <w:tcW w:w="900" w:type="dxa"/>
            <w:tcBorders>
              <w:top w:val="nil"/>
              <w:left w:val="nil"/>
              <w:bottom w:val="nil"/>
              <w:right w:val="nil"/>
            </w:tcBorders>
            <w:shd w:val="clear" w:color="auto" w:fill="auto"/>
            <w:noWrap/>
            <w:vAlign w:val="bottom"/>
            <w:hideMark/>
          </w:tcPr>
          <w:p w14:paraId="777B509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$106.92 </w:t>
            </w:r>
          </w:p>
        </w:tc>
        <w:tc>
          <w:tcPr>
            <w:tcW w:w="866" w:type="dxa"/>
            <w:tcBorders>
              <w:top w:val="nil"/>
              <w:left w:val="nil"/>
              <w:bottom w:val="nil"/>
              <w:right w:val="nil"/>
            </w:tcBorders>
            <w:shd w:val="clear" w:color="auto" w:fill="auto"/>
            <w:noWrap/>
            <w:vAlign w:val="bottom"/>
            <w:hideMark/>
          </w:tcPr>
          <w:p w14:paraId="50CF371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$133.65 </w:t>
            </w:r>
          </w:p>
        </w:tc>
        <w:tc>
          <w:tcPr>
            <w:tcW w:w="866" w:type="dxa"/>
            <w:tcBorders>
              <w:top w:val="nil"/>
              <w:left w:val="nil"/>
              <w:bottom w:val="nil"/>
              <w:right w:val="nil"/>
            </w:tcBorders>
            <w:shd w:val="clear" w:color="auto" w:fill="auto"/>
            <w:noWrap/>
            <w:vAlign w:val="bottom"/>
            <w:hideMark/>
          </w:tcPr>
          <w:p w14:paraId="3880B0B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$119.24 </w:t>
            </w:r>
          </w:p>
        </w:tc>
      </w:tr>
      <w:tr w:rsidR="007F5BD5" w:rsidRPr="0049452D" w14:paraId="167DE15E" w14:textId="77777777" w:rsidTr="00455BF8">
        <w:trPr>
          <w:trHeight w:hRule="exact" w:val="274"/>
        </w:trPr>
        <w:tc>
          <w:tcPr>
            <w:tcW w:w="1620" w:type="dxa"/>
            <w:tcBorders>
              <w:top w:val="nil"/>
              <w:left w:val="nil"/>
              <w:bottom w:val="nil"/>
              <w:right w:val="nil"/>
            </w:tcBorders>
            <w:shd w:val="clear" w:color="auto" w:fill="auto"/>
            <w:noWrap/>
            <w:vAlign w:val="bottom"/>
            <w:hideMark/>
          </w:tcPr>
          <w:p w14:paraId="44E4C8AE" w14:textId="77777777" w:rsidR="007F5BD5" w:rsidRPr="0049452D" w:rsidRDefault="007F5BD5" w:rsidP="00453EAF">
            <w:pPr>
              <w:spacing w:after="0" w:line="240" w:lineRule="auto"/>
              <w:rPr>
                <w:b/>
                <w:bCs/>
                <w:color w:val="000000"/>
                <w:sz w:val="20"/>
                <w:szCs w:val="20"/>
                <w:lang w:bidi="ar-SA"/>
              </w:rPr>
            </w:pPr>
            <w:r w:rsidRPr="0049452D">
              <w:rPr>
                <w:b/>
                <w:bCs/>
                <w:color w:val="000000"/>
                <w:sz w:val="20"/>
                <w:szCs w:val="20"/>
                <w:lang w:bidi="ar-SA"/>
              </w:rPr>
              <w:t xml:space="preserve">   Mixed Base</w:t>
            </w:r>
          </w:p>
        </w:tc>
        <w:tc>
          <w:tcPr>
            <w:tcW w:w="940" w:type="dxa"/>
            <w:tcBorders>
              <w:top w:val="nil"/>
              <w:left w:val="nil"/>
              <w:bottom w:val="nil"/>
              <w:right w:val="nil"/>
            </w:tcBorders>
            <w:shd w:val="clear" w:color="auto" w:fill="auto"/>
            <w:noWrap/>
            <w:vAlign w:val="bottom"/>
            <w:hideMark/>
          </w:tcPr>
          <w:p w14:paraId="17F3986D" w14:textId="77777777" w:rsidR="007F5BD5" w:rsidRPr="0049452D" w:rsidRDefault="007F5BD5" w:rsidP="00453EAF">
            <w:pPr>
              <w:spacing w:after="0" w:line="240" w:lineRule="auto"/>
              <w:rPr>
                <w:b/>
                <w:bCs/>
                <w:color w:val="000000"/>
                <w:sz w:val="20"/>
                <w:szCs w:val="20"/>
                <w:lang w:bidi="ar-SA"/>
              </w:rPr>
            </w:pPr>
          </w:p>
        </w:tc>
        <w:tc>
          <w:tcPr>
            <w:tcW w:w="866" w:type="dxa"/>
            <w:tcBorders>
              <w:top w:val="nil"/>
              <w:left w:val="nil"/>
              <w:bottom w:val="nil"/>
              <w:right w:val="nil"/>
            </w:tcBorders>
            <w:shd w:val="clear" w:color="auto" w:fill="auto"/>
            <w:noWrap/>
            <w:vAlign w:val="bottom"/>
            <w:hideMark/>
          </w:tcPr>
          <w:p w14:paraId="772B3F92" w14:textId="77777777" w:rsidR="007F5BD5" w:rsidRPr="0049452D" w:rsidRDefault="007F5BD5" w:rsidP="00453EAF">
            <w:pPr>
              <w:spacing w:after="0" w:line="240" w:lineRule="auto"/>
              <w:rPr>
                <w:sz w:val="20"/>
                <w:szCs w:val="20"/>
                <w:lang w:bidi="ar-SA"/>
              </w:rPr>
            </w:pPr>
          </w:p>
        </w:tc>
        <w:tc>
          <w:tcPr>
            <w:tcW w:w="764" w:type="dxa"/>
            <w:tcBorders>
              <w:top w:val="nil"/>
              <w:left w:val="nil"/>
              <w:bottom w:val="nil"/>
              <w:right w:val="nil"/>
            </w:tcBorders>
            <w:shd w:val="clear" w:color="auto" w:fill="auto"/>
            <w:noWrap/>
            <w:vAlign w:val="bottom"/>
            <w:hideMark/>
          </w:tcPr>
          <w:p w14:paraId="5132CA29" w14:textId="77777777" w:rsidR="007F5BD5" w:rsidRPr="0049452D" w:rsidRDefault="007F5BD5" w:rsidP="00453EAF">
            <w:pPr>
              <w:spacing w:after="0" w:line="240" w:lineRule="auto"/>
              <w:rPr>
                <w:sz w:val="20"/>
                <w:szCs w:val="20"/>
                <w:lang w:bidi="ar-SA"/>
              </w:rPr>
            </w:pPr>
          </w:p>
        </w:tc>
        <w:tc>
          <w:tcPr>
            <w:tcW w:w="764" w:type="dxa"/>
            <w:tcBorders>
              <w:top w:val="nil"/>
              <w:left w:val="nil"/>
              <w:bottom w:val="nil"/>
              <w:right w:val="nil"/>
            </w:tcBorders>
            <w:shd w:val="clear" w:color="auto" w:fill="auto"/>
            <w:noWrap/>
            <w:vAlign w:val="bottom"/>
            <w:hideMark/>
          </w:tcPr>
          <w:p w14:paraId="24826621" w14:textId="77777777" w:rsidR="007F5BD5" w:rsidRPr="0049452D" w:rsidRDefault="007F5BD5" w:rsidP="00453EAF">
            <w:pPr>
              <w:spacing w:after="0" w:line="240" w:lineRule="auto"/>
              <w:rPr>
                <w:sz w:val="20"/>
                <w:szCs w:val="20"/>
                <w:lang w:bidi="ar-SA"/>
              </w:rPr>
            </w:pPr>
          </w:p>
        </w:tc>
        <w:tc>
          <w:tcPr>
            <w:tcW w:w="633" w:type="dxa"/>
            <w:tcBorders>
              <w:top w:val="nil"/>
              <w:left w:val="nil"/>
              <w:bottom w:val="nil"/>
              <w:right w:val="nil"/>
            </w:tcBorders>
            <w:shd w:val="clear" w:color="auto" w:fill="auto"/>
            <w:noWrap/>
            <w:vAlign w:val="bottom"/>
            <w:hideMark/>
          </w:tcPr>
          <w:p w14:paraId="3994D4A8" w14:textId="77777777" w:rsidR="007F5BD5" w:rsidRPr="0049452D" w:rsidRDefault="007F5BD5" w:rsidP="00453EAF">
            <w:pPr>
              <w:spacing w:after="0" w:line="240" w:lineRule="auto"/>
              <w:rPr>
                <w:sz w:val="20"/>
                <w:szCs w:val="20"/>
                <w:lang w:bidi="ar-SA"/>
              </w:rPr>
            </w:pPr>
          </w:p>
        </w:tc>
        <w:tc>
          <w:tcPr>
            <w:tcW w:w="683" w:type="dxa"/>
            <w:tcBorders>
              <w:top w:val="nil"/>
              <w:left w:val="nil"/>
              <w:bottom w:val="nil"/>
              <w:right w:val="nil"/>
            </w:tcBorders>
            <w:shd w:val="clear" w:color="auto" w:fill="auto"/>
            <w:noWrap/>
            <w:vAlign w:val="bottom"/>
            <w:hideMark/>
          </w:tcPr>
          <w:p w14:paraId="1DAF149D"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60B68DDF"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566D7EC0" w14:textId="77777777" w:rsidR="007F5BD5" w:rsidRPr="0049452D" w:rsidRDefault="007F5BD5" w:rsidP="00453EAF">
            <w:pPr>
              <w:spacing w:after="0" w:line="240" w:lineRule="auto"/>
              <w:rPr>
                <w:sz w:val="20"/>
                <w:szCs w:val="20"/>
                <w:lang w:bidi="ar-SA"/>
              </w:rPr>
            </w:pPr>
          </w:p>
        </w:tc>
        <w:tc>
          <w:tcPr>
            <w:tcW w:w="666" w:type="dxa"/>
            <w:tcBorders>
              <w:top w:val="nil"/>
              <w:left w:val="nil"/>
              <w:bottom w:val="nil"/>
              <w:right w:val="nil"/>
            </w:tcBorders>
            <w:shd w:val="clear" w:color="auto" w:fill="auto"/>
            <w:noWrap/>
            <w:vAlign w:val="bottom"/>
            <w:hideMark/>
          </w:tcPr>
          <w:p w14:paraId="41A46451" w14:textId="77777777" w:rsidR="007F5BD5" w:rsidRPr="0049452D" w:rsidRDefault="007F5BD5" w:rsidP="00453EAF">
            <w:pPr>
              <w:spacing w:after="0" w:line="240" w:lineRule="auto"/>
              <w:rPr>
                <w:sz w:val="20"/>
                <w:szCs w:val="20"/>
                <w:lang w:bidi="ar-SA"/>
              </w:rPr>
            </w:pPr>
          </w:p>
        </w:tc>
        <w:tc>
          <w:tcPr>
            <w:tcW w:w="666" w:type="dxa"/>
            <w:tcBorders>
              <w:top w:val="nil"/>
              <w:left w:val="nil"/>
              <w:bottom w:val="nil"/>
              <w:right w:val="nil"/>
            </w:tcBorders>
            <w:shd w:val="clear" w:color="auto" w:fill="auto"/>
            <w:noWrap/>
            <w:vAlign w:val="bottom"/>
            <w:hideMark/>
          </w:tcPr>
          <w:p w14:paraId="5AA945B9" w14:textId="77777777" w:rsidR="007F5BD5" w:rsidRPr="0049452D" w:rsidRDefault="007F5BD5" w:rsidP="00453EAF">
            <w:pPr>
              <w:spacing w:after="0" w:line="240" w:lineRule="auto"/>
              <w:rPr>
                <w:sz w:val="20"/>
                <w:szCs w:val="20"/>
                <w:lang w:bidi="ar-SA"/>
              </w:rPr>
            </w:pPr>
          </w:p>
        </w:tc>
        <w:tc>
          <w:tcPr>
            <w:tcW w:w="952" w:type="dxa"/>
            <w:tcBorders>
              <w:top w:val="nil"/>
              <w:left w:val="nil"/>
              <w:bottom w:val="nil"/>
              <w:right w:val="nil"/>
            </w:tcBorders>
            <w:shd w:val="clear" w:color="auto" w:fill="auto"/>
            <w:noWrap/>
            <w:vAlign w:val="bottom"/>
            <w:hideMark/>
          </w:tcPr>
          <w:p w14:paraId="2AE4C34B" w14:textId="77777777" w:rsidR="007F5BD5" w:rsidRPr="0049452D" w:rsidRDefault="007F5BD5" w:rsidP="00453EAF">
            <w:pPr>
              <w:spacing w:after="0" w:line="240" w:lineRule="auto"/>
              <w:rPr>
                <w:sz w:val="20"/>
                <w:szCs w:val="20"/>
                <w:lang w:bidi="ar-SA"/>
              </w:rPr>
            </w:pPr>
          </w:p>
        </w:tc>
        <w:tc>
          <w:tcPr>
            <w:tcW w:w="900" w:type="dxa"/>
            <w:tcBorders>
              <w:top w:val="nil"/>
              <w:left w:val="nil"/>
              <w:bottom w:val="nil"/>
              <w:right w:val="nil"/>
            </w:tcBorders>
            <w:shd w:val="clear" w:color="auto" w:fill="auto"/>
            <w:noWrap/>
            <w:vAlign w:val="bottom"/>
            <w:hideMark/>
          </w:tcPr>
          <w:p w14:paraId="2524DC1B"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121CB2B5"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72007463" w14:textId="77777777" w:rsidR="007F5BD5" w:rsidRPr="0049452D" w:rsidRDefault="007F5BD5" w:rsidP="00453EAF">
            <w:pPr>
              <w:spacing w:after="0" w:line="240" w:lineRule="auto"/>
              <w:rPr>
                <w:sz w:val="20"/>
                <w:szCs w:val="20"/>
                <w:lang w:bidi="ar-SA"/>
              </w:rPr>
            </w:pPr>
          </w:p>
        </w:tc>
      </w:tr>
      <w:tr w:rsidR="007F5BD5" w:rsidRPr="0049452D" w14:paraId="53DCC7D7" w14:textId="77777777" w:rsidTr="00455BF8">
        <w:trPr>
          <w:trHeight w:hRule="exact" w:val="274"/>
        </w:trPr>
        <w:tc>
          <w:tcPr>
            <w:tcW w:w="1620" w:type="dxa"/>
            <w:tcBorders>
              <w:top w:val="nil"/>
              <w:left w:val="nil"/>
              <w:bottom w:val="nil"/>
              <w:right w:val="nil"/>
            </w:tcBorders>
            <w:shd w:val="clear" w:color="auto" w:fill="auto"/>
            <w:noWrap/>
            <w:vAlign w:val="bottom"/>
            <w:hideMark/>
          </w:tcPr>
          <w:p w14:paraId="763BA019"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Hamden</w:t>
            </w:r>
          </w:p>
        </w:tc>
        <w:tc>
          <w:tcPr>
            <w:tcW w:w="940" w:type="dxa"/>
            <w:tcBorders>
              <w:top w:val="nil"/>
              <w:left w:val="nil"/>
              <w:bottom w:val="nil"/>
              <w:right w:val="nil"/>
            </w:tcBorders>
            <w:shd w:val="clear" w:color="auto" w:fill="auto"/>
            <w:noWrap/>
            <w:vAlign w:val="bottom"/>
            <w:hideMark/>
          </w:tcPr>
          <w:p w14:paraId="6879CDD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61,607</w:t>
            </w:r>
          </w:p>
        </w:tc>
        <w:tc>
          <w:tcPr>
            <w:tcW w:w="866" w:type="dxa"/>
            <w:tcBorders>
              <w:top w:val="nil"/>
              <w:left w:val="nil"/>
              <w:bottom w:val="nil"/>
              <w:right w:val="nil"/>
            </w:tcBorders>
            <w:shd w:val="clear" w:color="auto" w:fill="auto"/>
            <w:noWrap/>
            <w:vAlign w:val="bottom"/>
            <w:hideMark/>
          </w:tcPr>
          <w:p w14:paraId="23DA037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58,119</w:t>
            </w:r>
          </w:p>
        </w:tc>
        <w:tc>
          <w:tcPr>
            <w:tcW w:w="764" w:type="dxa"/>
            <w:tcBorders>
              <w:top w:val="nil"/>
              <w:left w:val="nil"/>
              <w:bottom w:val="nil"/>
              <w:right w:val="nil"/>
            </w:tcBorders>
            <w:shd w:val="clear" w:color="auto" w:fill="auto"/>
            <w:noWrap/>
            <w:vAlign w:val="bottom"/>
            <w:hideMark/>
          </w:tcPr>
          <w:p w14:paraId="7DC4216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7.7%</w:t>
            </w:r>
          </w:p>
        </w:tc>
        <w:tc>
          <w:tcPr>
            <w:tcW w:w="764" w:type="dxa"/>
            <w:tcBorders>
              <w:top w:val="nil"/>
              <w:left w:val="nil"/>
              <w:bottom w:val="nil"/>
              <w:right w:val="nil"/>
            </w:tcBorders>
            <w:shd w:val="clear" w:color="auto" w:fill="auto"/>
            <w:noWrap/>
            <w:vAlign w:val="bottom"/>
            <w:hideMark/>
          </w:tcPr>
          <w:p w14:paraId="6842748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7.6%</w:t>
            </w:r>
          </w:p>
        </w:tc>
        <w:tc>
          <w:tcPr>
            <w:tcW w:w="633" w:type="dxa"/>
            <w:tcBorders>
              <w:top w:val="nil"/>
              <w:left w:val="nil"/>
              <w:bottom w:val="nil"/>
              <w:right w:val="nil"/>
            </w:tcBorders>
            <w:shd w:val="clear" w:color="auto" w:fill="auto"/>
            <w:noWrap/>
            <w:vAlign w:val="bottom"/>
            <w:hideMark/>
          </w:tcPr>
          <w:p w14:paraId="587E93C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0.8%</w:t>
            </w:r>
          </w:p>
        </w:tc>
        <w:tc>
          <w:tcPr>
            <w:tcW w:w="683" w:type="dxa"/>
            <w:tcBorders>
              <w:top w:val="nil"/>
              <w:left w:val="nil"/>
              <w:bottom w:val="nil"/>
              <w:right w:val="nil"/>
            </w:tcBorders>
            <w:shd w:val="clear" w:color="auto" w:fill="auto"/>
            <w:noWrap/>
            <w:vAlign w:val="bottom"/>
            <w:hideMark/>
          </w:tcPr>
          <w:p w14:paraId="0AF8F10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0.7%</w:t>
            </w:r>
          </w:p>
        </w:tc>
        <w:tc>
          <w:tcPr>
            <w:tcW w:w="866" w:type="dxa"/>
            <w:tcBorders>
              <w:top w:val="nil"/>
              <w:left w:val="nil"/>
              <w:bottom w:val="nil"/>
              <w:right w:val="nil"/>
            </w:tcBorders>
            <w:shd w:val="clear" w:color="auto" w:fill="auto"/>
            <w:noWrap/>
            <w:vAlign w:val="bottom"/>
            <w:hideMark/>
          </w:tcPr>
          <w:p w14:paraId="0B42321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$4,049 </w:t>
            </w:r>
          </w:p>
        </w:tc>
        <w:tc>
          <w:tcPr>
            <w:tcW w:w="866" w:type="dxa"/>
            <w:tcBorders>
              <w:top w:val="nil"/>
              <w:left w:val="nil"/>
              <w:bottom w:val="nil"/>
              <w:right w:val="nil"/>
            </w:tcBorders>
            <w:shd w:val="clear" w:color="auto" w:fill="auto"/>
            <w:noWrap/>
            <w:vAlign w:val="bottom"/>
            <w:hideMark/>
          </w:tcPr>
          <w:p w14:paraId="058872D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$4,310 </w:t>
            </w:r>
          </w:p>
        </w:tc>
        <w:tc>
          <w:tcPr>
            <w:tcW w:w="666" w:type="dxa"/>
            <w:tcBorders>
              <w:top w:val="nil"/>
              <w:left w:val="nil"/>
              <w:bottom w:val="nil"/>
              <w:right w:val="nil"/>
            </w:tcBorders>
            <w:shd w:val="clear" w:color="auto" w:fill="auto"/>
            <w:noWrap/>
            <w:vAlign w:val="bottom"/>
            <w:hideMark/>
          </w:tcPr>
          <w:p w14:paraId="5EA9D3A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37.14</w:t>
            </w:r>
          </w:p>
        </w:tc>
        <w:tc>
          <w:tcPr>
            <w:tcW w:w="666" w:type="dxa"/>
            <w:tcBorders>
              <w:top w:val="nil"/>
              <w:left w:val="nil"/>
              <w:bottom w:val="nil"/>
              <w:right w:val="nil"/>
            </w:tcBorders>
            <w:shd w:val="clear" w:color="auto" w:fill="auto"/>
            <w:noWrap/>
            <w:vAlign w:val="bottom"/>
            <w:hideMark/>
          </w:tcPr>
          <w:p w14:paraId="3429A70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29.42</w:t>
            </w:r>
          </w:p>
        </w:tc>
        <w:tc>
          <w:tcPr>
            <w:tcW w:w="952" w:type="dxa"/>
            <w:tcBorders>
              <w:top w:val="nil"/>
              <w:left w:val="nil"/>
              <w:bottom w:val="nil"/>
              <w:right w:val="nil"/>
            </w:tcBorders>
            <w:shd w:val="clear" w:color="auto" w:fill="auto"/>
            <w:noWrap/>
            <w:vAlign w:val="bottom"/>
            <w:hideMark/>
          </w:tcPr>
          <w:p w14:paraId="3CFA817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$149.05 </w:t>
            </w:r>
          </w:p>
        </w:tc>
        <w:tc>
          <w:tcPr>
            <w:tcW w:w="900" w:type="dxa"/>
            <w:tcBorders>
              <w:top w:val="nil"/>
              <w:left w:val="nil"/>
              <w:bottom w:val="nil"/>
              <w:right w:val="nil"/>
            </w:tcBorders>
            <w:shd w:val="clear" w:color="auto" w:fill="auto"/>
            <w:noWrap/>
            <w:vAlign w:val="bottom"/>
            <w:hideMark/>
          </w:tcPr>
          <w:p w14:paraId="71450FE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$126.26 </w:t>
            </w:r>
          </w:p>
        </w:tc>
        <w:tc>
          <w:tcPr>
            <w:tcW w:w="866" w:type="dxa"/>
            <w:tcBorders>
              <w:top w:val="nil"/>
              <w:left w:val="nil"/>
              <w:bottom w:val="nil"/>
              <w:right w:val="nil"/>
            </w:tcBorders>
            <w:shd w:val="clear" w:color="auto" w:fill="auto"/>
            <w:noWrap/>
            <w:vAlign w:val="bottom"/>
            <w:hideMark/>
          </w:tcPr>
          <w:p w14:paraId="0180568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$200.85 </w:t>
            </w:r>
          </w:p>
        </w:tc>
        <w:tc>
          <w:tcPr>
            <w:tcW w:w="866" w:type="dxa"/>
            <w:tcBorders>
              <w:top w:val="nil"/>
              <w:left w:val="nil"/>
              <w:bottom w:val="nil"/>
              <w:right w:val="nil"/>
            </w:tcBorders>
            <w:shd w:val="clear" w:color="auto" w:fill="auto"/>
            <w:noWrap/>
            <w:vAlign w:val="bottom"/>
            <w:hideMark/>
          </w:tcPr>
          <w:p w14:paraId="33836C4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$181.48 </w:t>
            </w:r>
          </w:p>
        </w:tc>
      </w:tr>
      <w:tr w:rsidR="007F5BD5" w:rsidRPr="0049452D" w14:paraId="5A8058EE" w14:textId="77777777" w:rsidTr="00455BF8">
        <w:trPr>
          <w:trHeight w:hRule="exact" w:val="274"/>
        </w:trPr>
        <w:tc>
          <w:tcPr>
            <w:tcW w:w="1620" w:type="dxa"/>
            <w:tcBorders>
              <w:top w:val="nil"/>
              <w:left w:val="nil"/>
              <w:bottom w:val="nil"/>
              <w:right w:val="nil"/>
            </w:tcBorders>
            <w:shd w:val="clear" w:color="auto" w:fill="auto"/>
            <w:noWrap/>
            <w:vAlign w:val="bottom"/>
            <w:hideMark/>
          </w:tcPr>
          <w:p w14:paraId="57EB5A5C"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Middletown</w:t>
            </w:r>
          </w:p>
        </w:tc>
        <w:tc>
          <w:tcPr>
            <w:tcW w:w="940" w:type="dxa"/>
            <w:tcBorders>
              <w:top w:val="nil"/>
              <w:left w:val="nil"/>
              <w:bottom w:val="nil"/>
              <w:right w:val="nil"/>
            </w:tcBorders>
            <w:shd w:val="clear" w:color="auto" w:fill="auto"/>
            <w:noWrap/>
            <w:vAlign w:val="bottom"/>
            <w:hideMark/>
          </w:tcPr>
          <w:p w14:paraId="7AF6561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47,333</w:t>
            </w:r>
          </w:p>
        </w:tc>
        <w:tc>
          <w:tcPr>
            <w:tcW w:w="866" w:type="dxa"/>
            <w:tcBorders>
              <w:top w:val="nil"/>
              <w:left w:val="nil"/>
              <w:bottom w:val="nil"/>
              <w:right w:val="nil"/>
            </w:tcBorders>
            <w:shd w:val="clear" w:color="auto" w:fill="auto"/>
            <w:noWrap/>
            <w:vAlign w:val="bottom"/>
            <w:hideMark/>
          </w:tcPr>
          <w:p w14:paraId="57515B9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48,383</w:t>
            </w:r>
          </w:p>
        </w:tc>
        <w:tc>
          <w:tcPr>
            <w:tcW w:w="764" w:type="dxa"/>
            <w:tcBorders>
              <w:top w:val="nil"/>
              <w:left w:val="nil"/>
              <w:bottom w:val="nil"/>
              <w:right w:val="nil"/>
            </w:tcBorders>
            <w:shd w:val="clear" w:color="auto" w:fill="auto"/>
            <w:noWrap/>
            <w:vAlign w:val="bottom"/>
            <w:hideMark/>
          </w:tcPr>
          <w:p w14:paraId="6733825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7.7%</w:t>
            </w:r>
          </w:p>
        </w:tc>
        <w:tc>
          <w:tcPr>
            <w:tcW w:w="764" w:type="dxa"/>
            <w:tcBorders>
              <w:top w:val="nil"/>
              <w:left w:val="nil"/>
              <w:bottom w:val="nil"/>
              <w:right w:val="nil"/>
            </w:tcBorders>
            <w:shd w:val="clear" w:color="auto" w:fill="auto"/>
            <w:noWrap/>
            <w:vAlign w:val="bottom"/>
            <w:hideMark/>
          </w:tcPr>
          <w:p w14:paraId="3E1C900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7.6%</w:t>
            </w:r>
          </w:p>
        </w:tc>
        <w:tc>
          <w:tcPr>
            <w:tcW w:w="633" w:type="dxa"/>
            <w:tcBorders>
              <w:top w:val="nil"/>
              <w:left w:val="nil"/>
              <w:bottom w:val="nil"/>
              <w:right w:val="nil"/>
            </w:tcBorders>
            <w:shd w:val="clear" w:color="auto" w:fill="auto"/>
            <w:noWrap/>
            <w:vAlign w:val="bottom"/>
            <w:hideMark/>
          </w:tcPr>
          <w:p w14:paraId="68CD8A5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1.0%</w:t>
            </w:r>
          </w:p>
        </w:tc>
        <w:tc>
          <w:tcPr>
            <w:tcW w:w="683" w:type="dxa"/>
            <w:tcBorders>
              <w:top w:val="nil"/>
              <w:left w:val="nil"/>
              <w:bottom w:val="nil"/>
              <w:right w:val="nil"/>
            </w:tcBorders>
            <w:shd w:val="clear" w:color="auto" w:fill="auto"/>
            <w:noWrap/>
            <w:vAlign w:val="bottom"/>
            <w:hideMark/>
          </w:tcPr>
          <w:p w14:paraId="3041483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1.0%</w:t>
            </w:r>
          </w:p>
        </w:tc>
        <w:tc>
          <w:tcPr>
            <w:tcW w:w="866" w:type="dxa"/>
            <w:tcBorders>
              <w:top w:val="nil"/>
              <w:left w:val="nil"/>
              <w:bottom w:val="nil"/>
              <w:right w:val="nil"/>
            </w:tcBorders>
            <w:shd w:val="clear" w:color="auto" w:fill="auto"/>
            <w:noWrap/>
            <w:vAlign w:val="bottom"/>
            <w:hideMark/>
          </w:tcPr>
          <w:p w14:paraId="537BE4D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$3,581 </w:t>
            </w:r>
          </w:p>
        </w:tc>
        <w:tc>
          <w:tcPr>
            <w:tcW w:w="866" w:type="dxa"/>
            <w:tcBorders>
              <w:top w:val="nil"/>
              <w:left w:val="nil"/>
              <w:bottom w:val="nil"/>
              <w:right w:val="nil"/>
            </w:tcBorders>
            <w:shd w:val="clear" w:color="auto" w:fill="auto"/>
            <w:noWrap/>
            <w:vAlign w:val="bottom"/>
            <w:hideMark/>
          </w:tcPr>
          <w:p w14:paraId="530789F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$3,475 </w:t>
            </w:r>
          </w:p>
        </w:tc>
        <w:tc>
          <w:tcPr>
            <w:tcW w:w="666" w:type="dxa"/>
            <w:tcBorders>
              <w:top w:val="nil"/>
              <w:left w:val="nil"/>
              <w:bottom w:val="nil"/>
              <w:right w:val="nil"/>
            </w:tcBorders>
            <w:shd w:val="clear" w:color="auto" w:fill="auto"/>
            <w:noWrap/>
            <w:vAlign w:val="bottom"/>
            <w:hideMark/>
          </w:tcPr>
          <w:p w14:paraId="63448B7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26.90</w:t>
            </w:r>
          </w:p>
        </w:tc>
        <w:tc>
          <w:tcPr>
            <w:tcW w:w="666" w:type="dxa"/>
            <w:tcBorders>
              <w:top w:val="nil"/>
              <w:left w:val="nil"/>
              <w:bottom w:val="nil"/>
              <w:right w:val="nil"/>
            </w:tcBorders>
            <w:shd w:val="clear" w:color="auto" w:fill="auto"/>
            <w:noWrap/>
            <w:vAlign w:val="bottom"/>
            <w:hideMark/>
          </w:tcPr>
          <w:p w14:paraId="57A8348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25.50</w:t>
            </w:r>
          </w:p>
        </w:tc>
        <w:tc>
          <w:tcPr>
            <w:tcW w:w="952" w:type="dxa"/>
            <w:tcBorders>
              <w:top w:val="nil"/>
              <w:left w:val="nil"/>
              <w:bottom w:val="nil"/>
              <w:right w:val="nil"/>
            </w:tcBorders>
            <w:shd w:val="clear" w:color="auto" w:fill="auto"/>
            <w:noWrap/>
            <w:vAlign w:val="bottom"/>
            <w:hideMark/>
          </w:tcPr>
          <w:p w14:paraId="6AF4952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$95.67 </w:t>
            </w:r>
          </w:p>
        </w:tc>
        <w:tc>
          <w:tcPr>
            <w:tcW w:w="900" w:type="dxa"/>
            <w:tcBorders>
              <w:top w:val="nil"/>
              <w:left w:val="nil"/>
              <w:bottom w:val="nil"/>
              <w:right w:val="nil"/>
            </w:tcBorders>
            <w:shd w:val="clear" w:color="auto" w:fill="auto"/>
            <w:noWrap/>
            <w:vAlign w:val="bottom"/>
            <w:hideMark/>
          </w:tcPr>
          <w:p w14:paraId="440BFA0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$88.79 </w:t>
            </w:r>
          </w:p>
        </w:tc>
        <w:tc>
          <w:tcPr>
            <w:tcW w:w="866" w:type="dxa"/>
            <w:tcBorders>
              <w:top w:val="nil"/>
              <w:left w:val="nil"/>
              <w:bottom w:val="nil"/>
              <w:right w:val="nil"/>
            </w:tcBorders>
            <w:shd w:val="clear" w:color="auto" w:fill="auto"/>
            <w:noWrap/>
            <w:vAlign w:val="bottom"/>
            <w:hideMark/>
          </w:tcPr>
          <w:p w14:paraId="1A82A83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$140.11 </w:t>
            </w:r>
          </w:p>
        </w:tc>
        <w:tc>
          <w:tcPr>
            <w:tcW w:w="866" w:type="dxa"/>
            <w:tcBorders>
              <w:top w:val="nil"/>
              <w:left w:val="nil"/>
              <w:bottom w:val="nil"/>
              <w:right w:val="nil"/>
            </w:tcBorders>
            <w:shd w:val="clear" w:color="auto" w:fill="auto"/>
            <w:noWrap/>
            <w:vAlign w:val="bottom"/>
            <w:hideMark/>
          </w:tcPr>
          <w:p w14:paraId="217D2EF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$131.21 </w:t>
            </w:r>
          </w:p>
        </w:tc>
      </w:tr>
      <w:tr w:rsidR="007F5BD5" w:rsidRPr="0049452D" w14:paraId="7DEE198D" w14:textId="77777777" w:rsidTr="00455BF8">
        <w:trPr>
          <w:trHeight w:hRule="exact" w:val="274"/>
        </w:trPr>
        <w:tc>
          <w:tcPr>
            <w:tcW w:w="1620" w:type="dxa"/>
            <w:tcBorders>
              <w:top w:val="nil"/>
              <w:left w:val="nil"/>
              <w:bottom w:val="nil"/>
              <w:right w:val="nil"/>
            </w:tcBorders>
            <w:shd w:val="clear" w:color="auto" w:fill="auto"/>
            <w:noWrap/>
            <w:vAlign w:val="bottom"/>
            <w:hideMark/>
          </w:tcPr>
          <w:p w14:paraId="08E08512"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Norwich</w:t>
            </w:r>
          </w:p>
        </w:tc>
        <w:tc>
          <w:tcPr>
            <w:tcW w:w="940" w:type="dxa"/>
            <w:tcBorders>
              <w:top w:val="nil"/>
              <w:left w:val="nil"/>
              <w:bottom w:val="nil"/>
              <w:right w:val="nil"/>
            </w:tcBorders>
            <w:shd w:val="clear" w:color="auto" w:fill="auto"/>
            <w:noWrap/>
            <w:vAlign w:val="bottom"/>
            <w:hideMark/>
          </w:tcPr>
          <w:p w14:paraId="285DB88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40,347</w:t>
            </w:r>
          </w:p>
        </w:tc>
        <w:tc>
          <w:tcPr>
            <w:tcW w:w="866" w:type="dxa"/>
            <w:tcBorders>
              <w:top w:val="nil"/>
              <w:left w:val="nil"/>
              <w:bottom w:val="nil"/>
              <w:right w:val="nil"/>
            </w:tcBorders>
            <w:shd w:val="clear" w:color="auto" w:fill="auto"/>
            <w:noWrap/>
            <w:vAlign w:val="bottom"/>
            <w:hideMark/>
          </w:tcPr>
          <w:p w14:paraId="2E7C638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36,639</w:t>
            </w:r>
          </w:p>
        </w:tc>
        <w:tc>
          <w:tcPr>
            <w:tcW w:w="764" w:type="dxa"/>
            <w:tcBorders>
              <w:top w:val="nil"/>
              <w:left w:val="nil"/>
              <w:bottom w:val="nil"/>
              <w:right w:val="nil"/>
            </w:tcBorders>
            <w:shd w:val="clear" w:color="auto" w:fill="auto"/>
            <w:noWrap/>
            <w:vAlign w:val="bottom"/>
            <w:hideMark/>
          </w:tcPr>
          <w:p w14:paraId="750378D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9.0%</w:t>
            </w:r>
          </w:p>
        </w:tc>
        <w:tc>
          <w:tcPr>
            <w:tcW w:w="764" w:type="dxa"/>
            <w:tcBorders>
              <w:top w:val="nil"/>
              <w:left w:val="nil"/>
              <w:bottom w:val="nil"/>
              <w:right w:val="nil"/>
            </w:tcBorders>
            <w:shd w:val="clear" w:color="auto" w:fill="auto"/>
            <w:noWrap/>
            <w:vAlign w:val="bottom"/>
            <w:hideMark/>
          </w:tcPr>
          <w:p w14:paraId="213F32B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9.1%</w:t>
            </w:r>
          </w:p>
        </w:tc>
        <w:tc>
          <w:tcPr>
            <w:tcW w:w="633" w:type="dxa"/>
            <w:tcBorders>
              <w:top w:val="nil"/>
              <w:left w:val="nil"/>
              <w:bottom w:val="nil"/>
              <w:right w:val="nil"/>
            </w:tcBorders>
            <w:shd w:val="clear" w:color="auto" w:fill="auto"/>
            <w:noWrap/>
            <w:vAlign w:val="bottom"/>
            <w:hideMark/>
          </w:tcPr>
          <w:p w14:paraId="108A285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2.1%</w:t>
            </w:r>
          </w:p>
        </w:tc>
        <w:tc>
          <w:tcPr>
            <w:tcW w:w="683" w:type="dxa"/>
            <w:tcBorders>
              <w:top w:val="nil"/>
              <w:left w:val="nil"/>
              <w:bottom w:val="nil"/>
              <w:right w:val="nil"/>
            </w:tcBorders>
            <w:shd w:val="clear" w:color="auto" w:fill="auto"/>
            <w:noWrap/>
            <w:vAlign w:val="bottom"/>
            <w:hideMark/>
          </w:tcPr>
          <w:p w14:paraId="1F3A8DD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2.3%</w:t>
            </w:r>
          </w:p>
        </w:tc>
        <w:tc>
          <w:tcPr>
            <w:tcW w:w="866" w:type="dxa"/>
            <w:tcBorders>
              <w:top w:val="nil"/>
              <w:left w:val="nil"/>
              <w:bottom w:val="nil"/>
              <w:right w:val="nil"/>
            </w:tcBorders>
            <w:shd w:val="clear" w:color="auto" w:fill="auto"/>
            <w:noWrap/>
            <w:vAlign w:val="bottom"/>
            <w:hideMark/>
          </w:tcPr>
          <w:p w14:paraId="24602AB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$2,433 </w:t>
            </w:r>
          </w:p>
        </w:tc>
        <w:tc>
          <w:tcPr>
            <w:tcW w:w="866" w:type="dxa"/>
            <w:tcBorders>
              <w:top w:val="nil"/>
              <w:left w:val="nil"/>
              <w:bottom w:val="nil"/>
              <w:right w:val="nil"/>
            </w:tcBorders>
            <w:shd w:val="clear" w:color="auto" w:fill="auto"/>
            <w:noWrap/>
            <w:vAlign w:val="bottom"/>
            <w:hideMark/>
          </w:tcPr>
          <w:p w14:paraId="1853EF3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$1,852 </w:t>
            </w:r>
          </w:p>
        </w:tc>
        <w:tc>
          <w:tcPr>
            <w:tcW w:w="666" w:type="dxa"/>
            <w:tcBorders>
              <w:top w:val="nil"/>
              <w:left w:val="nil"/>
              <w:bottom w:val="nil"/>
              <w:right w:val="nil"/>
            </w:tcBorders>
            <w:shd w:val="clear" w:color="auto" w:fill="auto"/>
            <w:noWrap/>
            <w:vAlign w:val="bottom"/>
            <w:hideMark/>
          </w:tcPr>
          <w:p w14:paraId="670C31E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26.90</w:t>
            </w:r>
          </w:p>
        </w:tc>
        <w:tc>
          <w:tcPr>
            <w:tcW w:w="666" w:type="dxa"/>
            <w:tcBorders>
              <w:top w:val="nil"/>
              <w:left w:val="nil"/>
              <w:bottom w:val="nil"/>
              <w:right w:val="nil"/>
            </w:tcBorders>
            <w:shd w:val="clear" w:color="auto" w:fill="auto"/>
            <w:noWrap/>
            <w:vAlign w:val="bottom"/>
            <w:hideMark/>
          </w:tcPr>
          <w:p w14:paraId="59E30B2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29.66</w:t>
            </w:r>
          </w:p>
        </w:tc>
        <w:tc>
          <w:tcPr>
            <w:tcW w:w="952" w:type="dxa"/>
            <w:tcBorders>
              <w:top w:val="nil"/>
              <w:left w:val="nil"/>
              <w:bottom w:val="nil"/>
              <w:right w:val="nil"/>
            </w:tcBorders>
            <w:shd w:val="clear" w:color="auto" w:fill="auto"/>
            <w:noWrap/>
            <w:vAlign w:val="bottom"/>
            <w:hideMark/>
          </w:tcPr>
          <w:p w14:paraId="762F1B9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$64.82 </w:t>
            </w:r>
          </w:p>
        </w:tc>
        <w:tc>
          <w:tcPr>
            <w:tcW w:w="900" w:type="dxa"/>
            <w:tcBorders>
              <w:top w:val="nil"/>
              <w:left w:val="nil"/>
              <w:bottom w:val="nil"/>
              <w:right w:val="nil"/>
            </w:tcBorders>
            <w:shd w:val="clear" w:color="auto" w:fill="auto"/>
            <w:noWrap/>
            <w:vAlign w:val="bottom"/>
            <w:hideMark/>
          </w:tcPr>
          <w:p w14:paraId="0842AD4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$53.98 </w:t>
            </w:r>
          </w:p>
        </w:tc>
        <w:tc>
          <w:tcPr>
            <w:tcW w:w="866" w:type="dxa"/>
            <w:tcBorders>
              <w:top w:val="nil"/>
              <w:left w:val="nil"/>
              <w:bottom w:val="nil"/>
              <w:right w:val="nil"/>
            </w:tcBorders>
            <w:shd w:val="clear" w:color="auto" w:fill="auto"/>
            <w:noWrap/>
            <w:vAlign w:val="bottom"/>
            <w:hideMark/>
          </w:tcPr>
          <w:p w14:paraId="00FE377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$112.15 </w:t>
            </w:r>
          </w:p>
        </w:tc>
        <w:tc>
          <w:tcPr>
            <w:tcW w:w="866" w:type="dxa"/>
            <w:tcBorders>
              <w:top w:val="nil"/>
              <w:left w:val="nil"/>
              <w:bottom w:val="nil"/>
              <w:right w:val="nil"/>
            </w:tcBorders>
            <w:shd w:val="clear" w:color="auto" w:fill="auto"/>
            <w:noWrap/>
            <w:vAlign w:val="bottom"/>
            <w:hideMark/>
          </w:tcPr>
          <w:p w14:paraId="33A28C5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$100.99 </w:t>
            </w:r>
          </w:p>
        </w:tc>
      </w:tr>
      <w:tr w:rsidR="007F5BD5" w:rsidRPr="0049452D" w14:paraId="223EB006" w14:textId="77777777" w:rsidTr="00455BF8">
        <w:trPr>
          <w:trHeight w:hRule="exact" w:val="274"/>
        </w:trPr>
        <w:tc>
          <w:tcPr>
            <w:tcW w:w="1620" w:type="dxa"/>
            <w:tcBorders>
              <w:top w:val="nil"/>
              <w:left w:val="nil"/>
              <w:bottom w:val="nil"/>
              <w:right w:val="nil"/>
            </w:tcBorders>
            <w:shd w:val="clear" w:color="auto" w:fill="auto"/>
            <w:noWrap/>
            <w:vAlign w:val="bottom"/>
            <w:hideMark/>
          </w:tcPr>
          <w:p w14:paraId="325733EB"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Windsor</w:t>
            </w:r>
          </w:p>
        </w:tc>
        <w:tc>
          <w:tcPr>
            <w:tcW w:w="940" w:type="dxa"/>
            <w:tcBorders>
              <w:top w:val="nil"/>
              <w:left w:val="nil"/>
              <w:bottom w:val="nil"/>
              <w:right w:val="nil"/>
            </w:tcBorders>
            <w:shd w:val="clear" w:color="auto" w:fill="auto"/>
            <w:noWrap/>
            <w:vAlign w:val="bottom"/>
            <w:hideMark/>
          </w:tcPr>
          <w:p w14:paraId="566F79A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29,142</w:t>
            </w:r>
          </w:p>
        </w:tc>
        <w:tc>
          <w:tcPr>
            <w:tcW w:w="866" w:type="dxa"/>
            <w:tcBorders>
              <w:top w:val="nil"/>
              <w:left w:val="nil"/>
              <w:bottom w:val="nil"/>
              <w:right w:val="nil"/>
            </w:tcBorders>
            <w:shd w:val="clear" w:color="auto" w:fill="auto"/>
            <w:noWrap/>
            <w:vAlign w:val="bottom"/>
            <w:hideMark/>
          </w:tcPr>
          <w:p w14:paraId="0D9A560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29,014</w:t>
            </w:r>
          </w:p>
        </w:tc>
        <w:tc>
          <w:tcPr>
            <w:tcW w:w="764" w:type="dxa"/>
            <w:tcBorders>
              <w:top w:val="nil"/>
              <w:left w:val="nil"/>
              <w:bottom w:val="nil"/>
              <w:right w:val="nil"/>
            </w:tcBorders>
            <w:shd w:val="clear" w:color="auto" w:fill="auto"/>
            <w:noWrap/>
            <w:vAlign w:val="bottom"/>
            <w:hideMark/>
          </w:tcPr>
          <w:p w14:paraId="74E429E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7.6%</w:t>
            </w:r>
          </w:p>
        </w:tc>
        <w:tc>
          <w:tcPr>
            <w:tcW w:w="764" w:type="dxa"/>
            <w:tcBorders>
              <w:top w:val="nil"/>
              <w:left w:val="nil"/>
              <w:bottom w:val="nil"/>
              <w:right w:val="nil"/>
            </w:tcBorders>
            <w:shd w:val="clear" w:color="auto" w:fill="auto"/>
            <w:noWrap/>
            <w:vAlign w:val="bottom"/>
            <w:hideMark/>
          </w:tcPr>
          <w:p w14:paraId="702791E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8.0%</w:t>
            </w:r>
          </w:p>
        </w:tc>
        <w:tc>
          <w:tcPr>
            <w:tcW w:w="633" w:type="dxa"/>
            <w:tcBorders>
              <w:top w:val="nil"/>
              <w:left w:val="nil"/>
              <w:bottom w:val="nil"/>
              <w:right w:val="nil"/>
            </w:tcBorders>
            <w:shd w:val="clear" w:color="auto" w:fill="auto"/>
            <w:noWrap/>
            <w:vAlign w:val="bottom"/>
            <w:hideMark/>
          </w:tcPr>
          <w:p w14:paraId="39160E3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0.6%</w:t>
            </w:r>
          </w:p>
        </w:tc>
        <w:tc>
          <w:tcPr>
            <w:tcW w:w="683" w:type="dxa"/>
            <w:tcBorders>
              <w:top w:val="nil"/>
              <w:left w:val="nil"/>
              <w:bottom w:val="nil"/>
              <w:right w:val="nil"/>
            </w:tcBorders>
            <w:shd w:val="clear" w:color="auto" w:fill="auto"/>
            <w:noWrap/>
            <w:vAlign w:val="bottom"/>
            <w:hideMark/>
          </w:tcPr>
          <w:p w14:paraId="1E2CE53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0.7%</w:t>
            </w:r>
          </w:p>
        </w:tc>
        <w:tc>
          <w:tcPr>
            <w:tcW w:w="866" w:type="dxa"/>
            <w:tcBorders>
              <w:top w:val="nil"/>
              <w:left w:val="nil"/>
              <w:bottom w:val="nil"/>
              <w:right w:val="nil"/>
            </w:tcBorders>
            <w:shd w:val="clear" w:color="auto" w:fill="auto"/>
            <w:noWrap/>
            <w:vAlign w:val="bottom"/>
            <w:hideMark/>
          </w:tcPr>
          <w:p w14:paraId="3B63665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$2,908 </w:t>
            </w:r>
          </w:p>
        </w:tc>
        <w:tc>
          <w:tcPr>
            <w:tcW w:w="866" w:type="dxa"/>
            <w:tcBorders>
              <w:top w:val="nil"/>
              <w:left w:val="nil"/>
              <w:bottom w:val="nil"/>
              <w:right w:val="nil"/>
            </w:tcBorders>
            <w:shd w:val="clear" w:color="auto" w:fill="auto"/>
            <w:noWrap/>
            <w:vAlign w:val="bottom"/>
            <w:hideMark/>
          </w:tcPr>
          <w:p w14:paraId="6F5B251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$2,591 </w:t>
            </w:r>
          </w:p>
        </w:tc>
        <w:tc>
          <w:tcPr>
            <w:tcW w:w="666" w:type="dxa"/>
            <w:tcBorders>
              <w:top w:val="nil"/>
              <w:left w:val="nil"/>
              <w:bottom w:val="nil"/>
              <w:right w:val="nil"/>
            </w:tcBorders>
            <w:shd w:val="clear" w:color="auto" w:fill="auto"/>
            <w:noWrap/>
            <w:vAlign w:val="bottom"/>
            <w:hideMark/>
          </w:tcPr>
          <w:p w14:paraId="16AB211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27.95</w:t>
            </w:r>
          </w:p>
        </w:tc>
        <w:tc>
          <w:tcPr>
            <w:tcW w:w="666" w:type="dxa"/>
            <w:tcBorders>
              <w:top w:val="nil"/>
              <w:left w:val="nil"/>
              <w:bottom w:val="nil"/>
              <w:right w:val="nil"/>
            </w:tcBorders>
            <w:shd w:val="clear" w:color="auto" w:fill="auto"/>
            <w:noWrap/>
            <w:vAlign w:val="bottom"/>
            <w:hideMark/>
          </w:tcPr>
          <w:p w14:paraId="3E20AC7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29.30</w:t>
            </w:r>
          </w:p>
        </w:tc>
        <w:tc>
          <w:tcPr>
            <w:tcW w:w="952" w:type="dxa"/>
            <w:tcBorders>
              <w:top w:val="nil"/>
              <w:left w:val="nil"/>
              <w:bottom w:val="nil"/>
              <w:right w:val="nil"/>
            </w:tcBorders>
            <w:shd w:val="clear" w:color="auto" w:fill="auto"/>
            <w:noWrap/>
            <w:vAlign w:val="bottom"/>
            <w:hideMark/>
          </w:tcPr>
          <w:p w14:paraId="06846364" w14:textId="6C96C1DB" w:rsidR="007F5BD5" w:rsidRPr="0049452D" w:rsidRDefault="007F5BD5" w:rsidP="00DB4E97">
            <w:pPr>
              <w:spacing w:after="0" w:line="240" w:lineRule="auto"/>
              <w:jc w:val="right"/>
              <w:rPr>
                <w:color w:val="000000"/>
                <w:sz w:val="20"/>
                <w:szCs w:val="20"/>
                <w:lang w:bidi="ar-SA"/>
              </w:rPr>
            </w:pPr>
            <w:r w:rsidRPr="0049452D">
              <w:rPr>
                <w:color w:val="000000"/>
                <w:sz w:val="20"/>
                <w:szCs w:val="20"/>
                <w:lang w:bidi="ar-SA"/>
              </w:rPr>
              <w:t>$82</w:t>
            </w:r>
            <w:r w:rsidR="00DB4E97">
              <w:rPr>
                <w:color w:val="000000"/>
                <w:sz w:val="20"/>
                <w:szCs w:val="20"/>
                <w:lang w:bidi="ar-SA"/>
              </w:rPr>
              <w:t>.16</w:t>
            </w:r>
          </w:p>
        </w:tc>
        <w:tc>
          <w:tcPr>
            <w:tcW w:w="900" w:type="dxa"/>
            <w:tcBorders>
              <w:top w:val="nil"/>
              <w:left w:val="nil"/>
              <w:bottom w:val="nil"/>
              <w:right w:val="nil"/>
            </w:tcBorders>
            <w:shd w:val="clear" w:color="auto" w:fill="auto"/>
            <w:noWrap/>
            <w:vAlign w:val="bottom"/>
            <w:hideMark/>
          </w:tcPr>
          <w:p w14:paraId="1FE59BD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$76.56 </w:t>
            </w:r>
          </w:p>
        </w:tc>
        <w:tc>
          <w:tcPr>
            <w:tcW w:w="866" w:type="dxa"/>
            <w:tcBorders>
              <w:top w:val="nil"/>
              <w:left w:val="nil"/>
              <w:bottom w:val="nil"/>
              <w:right w:val="nil"/>
            </w:tcBorders>
            <w:shd w:val="clear" w:color="auto" w:fill="auto"/>
            <w:noWrap/>
            <w:vAlign w:val="bottom"/>
            <w:hideMark/>
          </w:tcPr>
          <w:p w14:paraId="4699516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$108.23 </w:t>
            </w:r>
          </w:p>
        </w:tc>
        <w:tc>
          <w:tcPr>
            <w:tcW w:w="866" w:type="dxa"/>
            <w:tcBorders>
              <w:top w:val="nil"/>
              <w:left w:val="nil"/>
              <w:bottom w:val="nil"/>
              <w:right w:val="nil"/>
            </w:tcBorders>
            <w:shd w:val="clear" w:color="auto" w:fill="auto"/>
            <w:noWrap/>
            <w:vAlign w:val="bottom"/>
            <w:hideMark/>
          </w:tcPr>
          <w:p w14:paraId="02D4369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$100.50 </w:t>
            </w:r>
          </w:p>
        </w:tc>
      </w:tr>
      <w:tr w:rsidR="007F5BD5" w:rsidRPr="0049452D" w14:paraId="25FDB806" w14:textId="77777777" w:rsidTr="00455BF8">
        <w:trPr>
          <w:trHeight w:hRule="exact" w:val="274"/>
        </w:trPr>
        <w:tc>
          <w:tcPr>
            <w:tcW w:w="1620" w:type="dxa"/>
            <w:tcBorders>
              <w:top w:val="nil"/>
              <w:left w:val="nil"/>
              <w:bottom w:val="nil"/>
              <w:right w:val="nil"/>
            </w:tcBorders>
            <w:shd w:val="clear" w:color="auto" w:fill="auto"/>
            <w:noWrap/>
            <w:vAlign w:val="bottom"/>
            <w:hideMark/>
          </w:tcPr>
          <w:p w14:paraId="59F38B01" w14:textId="77777777" w:rsidR="007F5BD5" w:rsidRPr="0049452D" w:rsidRDefault="007F5BD5" w:rsidP="00453EAF">
            <w:pPr>
              <w:spacing w:after="0" w:line="240" w:lineRule="auto"/>
              <w:rPr>
                <w:b/>
                <w:bCs/>
                <w:color w:val="000000"/>
                <w:sz w:val="20"/>
                <w:szCs w:val="20"/>
                <w:lang w:bidi="ar-SA"/>
              </w:rPr>
            </w:pPr>
            <w:r w:rsidRPr="0049452D">
              <w:rPr>
                <w:b/>
                <w:bCs/>
                <w:color w:val="000000"/>
                <w:sz w:val="20"/>
                <w:szCs w:val="20"/>
                <w:lang w:bidi="ar-SA"/>
              </w:rPr>
              <w:t xml:space="preserve">   Rural</w:t>
            </w:r>
          </w:p>
        </w:tc>
        <w:tc>
          <w:tcPr>
            <w:tcW w:w="940" w:type="dxa"/>
            <w:tcBorders>
              <w:top w:val="nil"/>
              <w:left w:val="nil"/>
              <w:bottom w:val="nil"/>
              <w:right w:val="nil"/>
            </w:tcBorders>
            <w:shd w:val="clear" w:color="auto" w:fill="auto"/>
            <w:noWrap/>
            <w:vAlign w:val="bottom"/>
            <w:hideMark/>
          </w:tcPr>
          <w:p w14:paraId="6F289860" w14:textId="77777777" w:rsidR="007F5BD5" w:rsidRPr="0049452D" w:rsidRDefault="007F5BD5" w:rsidP="00453EAF">
            <w:pPr>
              <w:spacing w:after="0" w:line="240" w:lineRule="auto"/>
              <w:rPr>
                <w:b/>
                <w:bCs/>
                <w:color w:val="000000"/>
                <w:sz w:val="20"/>
                <w:szCs w:val="20"/>
                <w:lang w:bidi="ar-SA"/>
              </w:rPr>
            </w:pPr>
          </w:p>
        </w:tc>
        <w:tc>
          <w:tcPr>
            <w:tcW w:w="866" w:type="dxa"/>
            <w:tcBorders>
              <w:top w:val="nil"/>
              <w:left w:val="nil"/>
              <w:bottom w:val="nil"/>
              <w:right w:val="nil"/>
            </w:tcBorders>
            <w:shd w:val="clear" w:color="auto" w:fill="auto"/>
            <w:noWrap/>
            <w:vAlign w:val="bottom"/>
            <w:hideMark/>
          </w:tcPr>
          <w:p w14:paraId="036A941D" w14:textId="77777777" w:rsidR="007F5BD5" w:rsidRPr="0049452D" w:rsidRDefault="007F5BD5" w:rsidP="00453EAF">
            <w:pPr>
              <w:spacing w:after="0" w:line="240" w:lineRule="auto"/>
              <w:rPr>
                <w:sz w:val="20"/>
                <w:szCs w:val="20"/>
                <w:lang w:bidi="ar-SA"/>
              </w:rPr>
            </w:pPr>
          </w:p>
        </w:tc>
        <w:tc>
          <w:tcPr>
            <w:tcW w:w="764" w:type="dxa"/>
            <w:tcBorders>
              <w:top w:val="nil"/>
              <w:left w:val="nil"/>
              <w:bottom w:val="nil"/>
              <w:right w:val="nil"/>
            </w:tcBorders>
            <w:shd w:val="clear" w:color="auto" w:fill="auto"/>
            <w:noWrap/>
            <w:vAlign w:val="bottom"/>
            <w:hideMark/>
          </w:tcPr>
          <w:p w14:paraId="2AC0CC1E" w14:textId="77777777" w:rsidR="007F5BD5" w:rsidRPr="0049452D" w:rsidRDefault="007F5BD5" w:rsidP="00453EAF">
            <w:pPr>
              <w:spacing w:after="0" w:line="240" w:lineRule="auto"/>
              <w:rPr>
                <w:sz w:val="20"/>
                <w:szCs w:val="20"/>
                <w:lang w:bidi="ar-SA"/>
              </w:rPr>
            </w:pPr>
          </w:p>
        </w:tc>
        <w:tc>
          <w:tcPr>
            <w:tcW w:w="764" w:type="dxa"/>
            <w:tcBorders>
              <w:top w:val="nil"/>
              <w:left w:val="nil"/>
              <w:bottom w:val="nil"/>
              <w:right w:val="nil"/>
            </w:tcBorders>
            <w:shd w:val="clear" w:color="auto" w:fill="auto"/>
            <w:noWrap/>
            <w:vAlign w:val="bottom"/>
            <w:hideMark/>
          </w:tcPr>
          <w:p w14:paraId="41635B7D" w14:textId="77777777" w:rsidR="007F5BD5" w:rsidRPr="0049452D" w:rsidRDefault="007F5BD5" w:rsidP="00453EAF">
            <w:pPr>
              <w:spacing w:after="0" w:line="240" w:lineRule="auto"/>
              <w:rPr>
                <w:sz w:val="20"/>
                <w:szCs w:val="20"/>
                <w:lang w:bidi="ar-SA"/>
              </w:rPr>
            </w:pPr>
          </w:p>
        </w:tc>
        <w:tc>
          <w:tcPr>
            <w:tcW w:w="633" w:type="dxa"/>
            <w:tcBorders>
              <w:top w:val="nil"/>
              <w:left w:val="nil"/>
              <w:bottom w:val="nil"/>
              <w:right w:val="nil"/>
            </w:tcBorders>
            <w:shd w:val="clear" w:color="auto" w:fill="auto"/>
            <w:noWrap/>
            <w:vAlign w:val="bottom"/>
            <w:hideMark/>
          </w:tcPr>
          <w:p w14:paraId="1BB993EB" w14:textId="77777777" w:rsidR="007F5BD5" w:rsidRPr="0049452D" w:rsidRDefault="007F5BD5" w:rsidP="00453EAF">
            <w:pPr>
              <w:spacing w:after="0" w:line="240" w:lineRule="auto"/>
              <w:rPr>
                <w:sz w:val="20"/>
                <w:szCs w:val="20"/>
                <w:lang w:bidi="ar-SA"/>
              </w:rPr>
            </w:pPr>
          </w:p>
        </w:tc>
        <w:tc>
          <w:tcPr>
            <w:tcW w:w="683" w:type="dxa"/>
            <w:tcBorders>
              <w:top w:val="nil"/>
              <w:left w:val="nil"/>
              <w:bottom w:val="nil"/>
              <w:right w:val="nil"/>
            </w:tcBorders>
            <w:shd w:val="clear" w:color="auto" w:fill="auto"/>
            <w:noWrap/>
            <w:vAlign w:val="bottom"/>
            <w:hideMark/>
          </w:tcPr>
          <w:p w14:paraId="396C591E"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0CA396F6"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7AE324A5" w14:textId="77777777" w:rsidR="007F5BD5" w:rsidRPr="0049452D" w:rsidRDefault="007F5BD5" w:rsidP="00453EAF">
            <w:pPr>
              <w:spacing w:after="0" w:line="240" w:lineRule="auto"/>
              <w:rPr>
                <w:sz w:val="20"/>
                <w:szCs w:val="20"/>
                <w:lang w:bidi="ar-SA"/>
              </w:rPr>
            </w:pPr>
          </w:p>
        </w:tc>
        <w:tc>
          <w:tcPr>
            <w:tcW w:w="666" w:type="dxa"/>
            <w:tcBorders>
              <w:top w:val="nil"/>
              <w:left w:val="nil"/>
              <w:bottom w:val="nil"/>
              <w:right w:val="nil"/>
            </w:tcBorders>
            <w:shd w:val="clear" w:color="auto" w:fill="auto"/>
            <w:noWrap/>
            <w:vAlign w:val="bottom"/>
            <w:hideMark/>
          </w:tcPr>
          <w:p w14:paraId="7701C081" w14:textId="77777777" w:rsidR="007F5BD5" w:rsidRPr="0049452D" w:rsidRDefault="007F5BD5" w:rsidP="00453EAF">
            <w:pPr>
              <w:spacing w:after="0" w:line="240" w:lineRule="auto"/>
              <w:rPr>
                <w:sz w:val="20"/>
                <w:szCs w:val="20"/>
                <w:lang w:bidi="ar-SA"/>
              </w:rPr>
            </w:pPr>
          </w:p>
        </w:tc>
        <w:tc>
          <w:tcPr>
            <w:tcW w:w="666" w:type="dxa"/>
            <w:tcBorders>
              <w:top w:val="nil"/>
              <w:left w:val="nil"/>
              <w:bottom w:val="nil"/>
              <w:right w:val="nil"/>
            </w:tcBorders>
            <w:shd w:val="clear" w:color="auto" w:fill="auto"/>
            <w:noWrap/>
            <w:vAlign w:val="bottom"/>
            <w:hideMark/>
          </w:tcPr>
          <w:p w14:paraId="19430ABA" w14:textId="77777777" w:rsidR="007F5BD5" w:rsidRPr="0049452D" w:rsidRDefault="007F5BD5" w:rsidP="00453EAF">
            <w:pPr>
              <w:spacing w:after="0" w:line="240" w:lineRule="auto"/>
              <w:rPr>
                <w:sz w:val="20"/>
                <w:szCs w:val="20"/>
                <w:lang w:bidi="ar-SA"/>
              </w:rPr>
            </w:pPr>
          </w:p>
        </w:tc>
        <w:tc>
          <w:tcPr>
            <w:tcW w:w="952" w:type="dxa"/>
            <w:tcBorders>
              <w:top w:val="nil"/>
              <w:left w:val="nil"/>
              <w:bottom w:val="nil"/>
              <w:right w:val="nil"/>
            </w:tcBorders>
            <w:shd w:val="clear" w:color="auto" w:fill="auto"/>
            <w:noWrap/>
            <w:vAlign w:val="bottom"/>
            <w:hideMark/>
          </w:tcPr>
          <w:p w14:paraId="3BFF50C5" w14:textId="77777777" w:rsidR="007F5BD5" w:rsidRPr="0049452D" w:rsidRDefault="007F5BD5" w:rsidP="00453EAF">
            <w:pPr>
              <w:spacing w:after="0" w:line="240" w:lineRule="auto"/>
              <w:rPr>
                <w:sz w:val="20"/>
                <w:szCs w:val="20"/>
                <w:lang w:bidi="ar-SA"/>
              </w:rPr>
            </w:pPr>
          </w:p>
        </w:tc>
        <w:tc>
          <w:tcPr>
            <w:tcW w:w="900" w:type="dxa"/>
            <w:tcBorders>
              <w:top w:val="nil"/>
              <w:left w:val="nil"/>
              <w:bottom w:val="nil"/>
              <w:right w:val="nil"/>
            </w:tcBorders>
            <w:shd w:val="clear" w:color="auto" w:fill="auto"/>
            <w:noWrap/>
            <w:vAlign w:val="bottom"/>
            <w:hideMark/>
          </w:tcPr>
          <w:p w14:paraId="4CCA6F2E"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0D181AD8" w14:textId="77777777" w:rsidR="007F5BD5" w:rsidRPr="0049452D" w:rsidRDefault="007F5BD5" w:rsidP="00453EAF">
            <w:pPr>
              <w:spacing w:after="0" w:line="240" w:lineRule="auto"/>
              <w:rPr>
                <w:sz w:val="20"/>
                <w:szCs w:val="20"/>
                <w:lang w:bidi="ar-SA"/>
              </w:rPr>
            </w:pPr>
          </w:p>
        </w:tc>
        <w:tc>
          <w:tcPr>
            <w:tcW w:w="866" w:type="dxa"/>
            <w:tcBorders>
              <w:top w:val="nil"/>
              <w:left w:val="nil"/>
              <w:bottom w:val="nil"/>
              <w:right w:val="nil"/>
            </w:tcBorders>
            <w:shd w:val="clear" w:color="auto" w:fill="auto"/>
            <w:noWrap/>
            <w:vAlign w:val="bottom"/>
            <w:hideMark/>
          </w:tcPr>
          <w:p w14:paraId="70CA8FDB" w14:textId="77777777" w:rsidR="007F5BD5" w:rsidRPr="0049452D" w:rsidRDefault="007F5BD5" w:rsidP="00453EAF">
            <w:pPr>
              <w:spacing w:after="0" w:line="240" w:lineRule="auto"/>
              <w:rPr>
                <w:sz w:val="20"/>
                <w:szCs w:val="20"/>
                <w:lang w:bidi="ar-SA"/>
              </w:rPr>
            </w:pPr>
          </w:p>
        </w:tc>
      </w:tr>
      <w:tr w:rsidR="007F5BD5" w:rsidRPr="0049452D" w14:paraId="68B44D49" w14:textId="77777777" w:rsidTr="00455BF8">
        <w:trPr>
          <w:trHeight w:hRule="exact" w:val="274"/>
        </w:trPr>
        <w:tc>
          <w:tcPr>
            <w:tcW w:w="1620" w:type="dxa"/>
            <w:tcBorders>
              <w:top w:val="nil"/>
              <w:left w:val="nil"/>
              <w:bottom w:val="nil"/>
              <w:right w:val="nil"/>
            </w:tcBorders>
            <w:shd w:val="clear" w:color="auto" w:fill="auto"/>
            <w:noWrap/>
            <w:vAlign w:val="bottom"/>
            <w:hideMark/>
          </w:tcPr>
          <w:p w14:paraId="11899493"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Bozrah</w:t>
            </w:r>
          </w:p>
        </w:tc>
        <w:tc>
          <w:tcPr>
            <w:tcW w:w="940" w:type="dxa"/>
            <w:tcBorders>
              <w:top w:val="nil"/>
              <w:left w:val="nil"/>
              <w:bottom w:val="nil"/>
              <w:right w:val="nil"/>
            </w:tcBorders>
            <w:shd w:val="clear" w:color="auto" w:fill="auto"/>
            <w:noWrap/>
            <w:vAlign w:val="bottom"/>
            <w:hideMark/>
          </w:tcPr>
          <w:p w14:paraId="66158F6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2,639</w:t>
            </w:r>
          </w:p>
        </w:tc>
        <w:tc>
          <w:tcPr>
            <w:tcW w:w="866" w:type="dxa"/>
            <w:tcBorders>
              <w:top w:val="nil"/>
              <w:left w:val="nil"/>
              <w:bottom w:val="nil"/>
              <w:right w:val="nil"/>
            </w:tcBorders>
            <w:shd w:val="clear" w:color="auto" w:fill="auto"/>
            <w:noWrap/>
            <w:vAlign w:val="bottom"/>
            <w:hideMark/>
          </w:tcPr>
          <w:p w14:paraId="642C92D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2,466</w:t>
            </w:r>
          </w:p>
        </w:tc>
        <w:tc>
          <w:tcPr>
            <w:tcW w:w="764" w:type="dxa"/>
            <w:tcBorders>
              <w:top w:val="nil"/>
              <w:left w:val="nil"/>
              <w:bottom w:val="nil"/>
              <w:right w:val="nil"/>
            </w:tcBorders>
            <w:shd w:val="clear" w:color="auto" w:fill="auto"/>
            <w:noWrap/>
            <w:vAlign w:val="bottom"/>
            <w:hideMark/>
          </w:tcPr>
          <w:p w14:paraId="1D09B25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7.7%</w:t>
            </w:r>
          </w:p>
        </w:tc>
        <w:tc>
          <w:tcPr>
            <w:tcW w:w="764" w:type="dxa"/>
            <w:tcBorders>
              <w:top w:val="nil"/>
              <w:left w:val="nil"/>
              <w:bottom w:val="nil"/>
              <w:right w:val="nil"/>
            </w:tcBorders>
            <w:shd w:val="clear" w:color="auto" w:fill="auto"/>
            <w:noWrap/>
            <w:vAlign w:val="bottom"/>
            <w:hideMark/>
          </w:tcPr>
          <w:p w14:paraId="180CBAC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7.2%</w:t>
            </w:r>
          </w:p>
        </w:tc>
        <w:tc>
          <w:tcPr>
            <w:tcW w:w="633" w:type="dxa"/>
            <w:tcBorders>
              <w:top w:val="nil"/>
              <w:left w:val="nil"/>
              <w:bottom w:val="nil"/>
              <w:right w:val="nil"/>
            </w:tcBorders>
            <w:shd w:val="clear" w:color="auto" w:fill="auto"/>
            <w:noWrap/>
            <w:vAlign w:val="bottom"/>
            <w:hideMark/>
          </w:tcPr>
          <w:p w14:paraId="3B6757F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0.4%</w:t>
            </w:r>
          </w:p>
        </w:tc>
        <w:tc>
          <w:tcPr>
            <w:tcW w:w="683" w:type="dxa"/>
            <w:tcBorders>
              <w:top w:val="nil"/>
              <w:left w:val="nil"/>
              <w:bottom w:val="nil"/>
              <w:right w:val="nil"/>
            </w:tcBorders>
            <w:shd w:val="clear" w:color="auto" w:fill="auto"/>
            <w:noWrap/>
            <w:vAlign w:val="bottom"/>
            <w:hideMark/>
          </w:tcPr>
          <w:p w14:paraId="06A569A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0.5%</w:t>
            </w:r>
          </w:p>
        </w:tc>
        <w:tc>
          <w:tcPr>
            <w:tcW w:w="866" w:type="dxa"/>
            <w:tcBorders>
              <w:top w:val="nil"/>
              <w:left w:val="nil"/>
              <w:bottom w:val="nil"/>
              <w:right w:val="nil"/>
            </w:tcBorders>
            <w:shd w:val="clear" w:color="auto" w:fill="auto"/>
            <w:noWrap/>
            <w:vAlign w:val="bottom"/>
            <w:hideMark/>
          </w:tcPr>
          <w:p w14:paraId="12D21E5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$244 </w:t>
            </w:r>
          </w:p>
        </w:tc>
        <w:tc>
          <w:tcPr>
            <w:tcW w:w="866" w:type="dxa"/>
            <w:tcBorders>
              <w:top w:val="nil"/>
              <w:left w:val="nil"/>
              <w:bottom w:val="nil"/>
              <w:right w:val="nil"/>
            </w:tcBorders>
            <w:shd w:val="clear" w:color="auto" w:fill="auto"/>
            <w:noWrap/>
            <w:vAlign w:val="bottom"/>
            <w:hideMark/>
          </w:tcPr>
          <w:p w14:paraId="21E34CD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$239 </w:t>
            </w:r>
          </w:p>
        </w:tc>
        <w:tc>
          <w:tcPr>
            <w:tcW w:w="666" w:type="dxa"/>
            <w:tcBorders>
              <w:top w:val="nil"/>
              <w:left w:val="nil"/>
              <w:bottom w:val="nil"/>
              <w:right w:val="nil"/>
            </w:tcBorders>
            <w:shd w:val="clear" w:color="auto" w:fill="auto"/>
            <w:noWrap/>
            <w:vAlign w:val="bottom"/>
            <w:hideMark/>
          </w:tcPr>
          <w:p w14:paraId="2808C94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22.50</w:t>
            </w:r>
          </w:p>
        </w:tc>
        <w:tc>
          <w:tcPr>
            <w:tcW w:w="666" w:type="dxa"/>
            <w:tcBorders>
              <w:top w:val="nil"/>
              <w:left w:val="nil"/>
              <w:bottom w:val="nil"/>
              <w:right w:val="nil"/>
            </w:tcBorders>
            <w:shd w:val="clear" w:color="auto" w:fill="auto"/>
            <w:noWrap/>
            <w:vAlign w:val="bottom"/>
            <w:hideMark/>
          </w:tcPr>
          <w:p w14:paraId="741D659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19.50</w:t>
            </w:r>
          </w:p>
        </w:tc>
        <w:tc>
          <w:tcPr>
            <w:tcW w:w="952" w:type="dxa"/>
            <w:tcBorders>
              <w:top w:val="nil"/>
              <w:left w:val="nil"/>
              <w:bottom w:val="nil"/>
              <w:right w:val="nil"/>
            </w:tcBorders>
            <w:shd w:val="clear" w:color="auto" w:fill="auto"/>
            <w:noWrap/>
            <w:vAlign w:val="bottom"/>
            <w:hideMark/>
          </w:tcPr>
          <w:p w14:paraId="26CFBE7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$5.42 </w:t>
            </w:r>
          </w:p>
        </w:tc>
        <w:tc>
          <w:tcPr>
            <w:tcW w:w="900" w:type="dxa"/>
            <w:tcBorders>
              <w:top w:val="nil"/>
              <w:left w:val="nil"/>
              <w:bottom w:val="nil"/>
              <w:right w:val="nil"/>
            </w:tcBorders>
            <w:shd w:val="clear" w:color="auto" w:fill="auto"/>
            <w:noWrap/>
            <w:vAlign w:val="bottom"/>
            <w:hideMark/>
          </w:tcPr>
          <w:p w14:paraId="0ACB402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$4.66 </w:t>
            </w:r>
          </w:p>
        </w:tc>
        <w:tc>
          <w:tcPr>
            <w:tcW w:w="866" w:type="dxa"/>
            <w:tcBorders>
              <w:top w:val="nil"/>
              <w:left w:val="nil"/>
              <w:bottom w:val="nil"/>
              <w:right w:val="nil"/>
            </w:tcBorders>
            <w:shd w:val="clear" w:color="auto" w:fill="auto"/>
            <w:noWrap/>
            <w:vAlign w:val="bottom"/>
            <w:hideMark/>
          </w:tcPr>
          <w:p w14:paraId="3268552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$7.67 </w:t>
            </w:r>
          </w:p>
        </w:tc>
        <w:tc>
          <w:tcPr>
            <w:tcW w:w="866" w:type="dxa"/>
            <w:tcBorders>
              <w:top w:val="nil"/>
              <w:left w:val="nil"/>
              <w:bottom w:val="nil"/>
              <w:right w:val="nil"/>
            </w:tcBorders>
            <w:shd w:val="clear" w:color="auto" w:fill="auto"/>
            <w:noWrap/>
            <w:vAlign w:val="bottom"/>
            <w:hideMark/>
          </w:tcPr>
          <w:p w14:paraId="6798B71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$7.14 </w:t>
            </w:r>
          </w:p>
        </w:tc>
      </w:tr>
      <w:tr w:rsidR="007F5BD5" w:rsidRPr="0049452D" w14:paraId="409A594F" w14:textId="77777777" w:rsidTr="00455BF8">
        <w:trPr>
          <w:trHeight w:hRule="exact" w:val="274"/>
        </w:trPr>
        <w:tc>
          <w:tcPr>
            <w:tcW w:w="1620" w:type="dxa"/>
            <w:tcBorders>
              <w:top w:val="nil"/>
              <w:left w:val="nil"/>
              <w:bottom w:val="nil"/>
              <w:right w:val="nil"/>
            </w:tcBorders>
            <w:shd w:val="clear" w:color="auto" w:fill="auto"/>
            <w:noWrap/>
            <w:vAlign w:val="bottom"/>
            <w:hideMark/>
          </w:tcPr>
          <w:p w14:paraId="6805CD3F"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Durham</w:t>
            </w:r>
          </w:p>
        </w:tc>
        <w:tc>
          <w:tcPr>
            <w:tcW w:w="940" w:type="dxa"/>
            <w:tcBorders>
              <w:top w:val="nil"/>
              <w:left w:val="nil"/>
              <w:bottom w:val="nil"/>
              <w:right w:val="nil"/>
            </w:tcBorders>
            <w:shd w:val="clear" w:color="auto" w:fill="auto"/>
            <w:noWrap/>
            <w:vAlign w:val="bottom"/>
            <w:hideMark/>
          </w:tcPr>
          <w:p w14:paraId="419FE10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7,361</w:t>
            </w:r>
          </w:p>
        </w:tc>
        <w:tc>
          <w:tcPr>
            <w:tcW w:w="866" w:type="dxa"/>
            <w:tcBorders>
              <w:top w:val="nil"/>
              <w:left w:val="nil"/>
              <w:bottom w:val="nil"/>
              <w:right w:val="nil"/>
            </w:tcBorders>
            <w:shd w:val="clear" w:color="auto" w:fill="auto"/>
            <w:noWrap/>
            <w:vAlign w:val="bottom"/>
            <w:hideMark/>
          </w:tcPr>
          <w:p w14:paraId="2D8875A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7,469</w:t>
            </w:r>
          </w:p>
        </w:tc>
        <w:tc>
          <w:tcPr>
            <w:tcW w:w="764" w:type="dxa"/>
            <w:tcBorders>
              <w:top w:val="nil"/>
              <w:left w:val="nil"/>
              <w:bottom w:val="nil"/>
              <w:right w:val="nil"/>
            </w:tcBorders>
            <w:shd w:val="clear" w:color="auto" w:fill="auto"/>
            <w:noWrap/>
            <w:vAlign w:val="bottom"/>
            <w:hideMark/>
          </w:tcPr>
          <w:p w14:paraId="6717472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5.8%</w:t>
            </w:r>
          </w:p>
        </w:tc>
        <w:tc>
          <w:tcPr>
            <w:tcW w:w="764" w:type="dxa"/>
            <w:tcBorders>
              <w:top w:val="nil"/>
              <w:left w:val="nil"/>
              <w:bottom w:val="nil"/>
              <w:right w:val="nil"/>
            </w:tcBorders>
            <w:shd w:val="clear" w:color="auto" w:fill="auto"/>
            <w:noWrap/>
            <w:vAlign w:val="bottom"/>
            <w:hideMark/>
          </w:tcPr>
          <w:p w14:paraId="0311DD8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5.9%</w:t>
            </w:r>
          </w:p>
        </w:tc>
        <w:tc>
          <w:tcPr>
            <w:tcW w:w="633" w:type="dxa"/>
            <w:tcBorders>
              <w:top w:val="nil"/>
              <w:left w:val="nil"/>
              <w:bottom w:val="nil"/>
              <w:right w:val="nil"/>
            </w:tcBorders>
            <w:shd w:val="clear" w:color="auto" w:fill="auto"/>
            <w:noWrap/>
            <w:vAlign w:val="bottom"/>
            <w:hideMark/>
          </w:tcPr>
          <w:p w14:paraId="5F6BE0D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0.0%</w:t>
            </w:r>
          </w:p>
        </w:tc>
        <w:tc>
          <w:tcPr>
            <w:tcW w:w="683" w:type="dxa"/>
            <w:tcBorders>
              <w:top w:val="nil"/>
              <w:left w:val="nil"/>
              <w:bottom w:val="nil"/>
              <w:right w:val="nil"/>
            </w:tcBorders>
            <w:shd w:val="clear" w:color="auto" w:fill="auto"/>
            <w:noWrap/>
            <w:vAlign w:val="bottom"/>
            <w:hideMark/>
          </w:tcPr>
          <w:p w14:paraId="489CF09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0.0%</w:t>
            </w:r>
          </w:p>
        </w:tc>
        <w:tc>
          <w:tcPr>
            <w:tcW w:w="866" w:type="dxa"/>
            <w:tcBorders>
              <w:top w:val="nil"/>
              <w:left w:val="nil"/>
              <w:bottom w:val="nil"/>
              <w:right w:val="nil"/>
            </w:tcBorders>
            <w:shd w:val="clear" w:color="auto" w:fill="auto"/>
            <w:noWrap/>
            <w:vAlign w:val="bottom"/>
            <w:hideMark/>
          </w:tcPr>
          <w:p w14:paraId="47C7D8C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$732 </w:t>
            </w:r>
          </w:p>
        </w:tc>
        <w:tc>
          <w:tcPr>
            <w:tcW w:w="866" w:type="dxa"/>
            <w:tcBorders>
              <w:top w:val="nil"/>
              <w:left w:val="nil"/>
              <w:bottom w:val="nil"/>
              <w:right w:val="nil"/>
            </w:tcBorders>
            <w:shd w:val="clear" w:color="auto" w:fill="auto"/>
            <w:noWrap/>
            <w:vAlign w:val="bottom"/>
            <w:hideMark/>
          </w:tcPr>
          <w:p w14:paraId="58D536E5"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$769 </w:t>
            </w:r>
          </w:p>
        </w:tc>
        <w:tc>
          <w:tcPr>
            <w:tcW w:w="666" w:type="dxa"/>
            <w:tcBorders>
              <w:top w:val="nil"/>
              <w:left w:val="nil"/>
              <w:bottom w:val="nil"/>
              <w:right w:val="nil"/>
            </w:tcBorders>
            <w:shd w:val="clear" w:color="auto" w:fill="auto"/>
            <w:noWrap/>
            <w:vAlign w:val="bottom"/>
            <w:hideMark/>
          </w:tcPr>
          <w:p w14:paraId="06A7C3C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32.19</w:t>
            </w:r>
          </w:p>
        </w:tc>
        <w:tc>
          <w:tcPr>
            <w:tcW w:w="666" w:type="dxa"/>
            <w:tcBorders>
              <w:top w:val="nil"/>
              <w:left w:val="nil"/>
              <w:bottom w:val="nil"/>
              <w:right w:val="nil"/>
            </w:tcBorders>
            <w:shd w:val="clear" w:color="auto" w:fill="auto"/>
            <w:noWrap/>
            <w:vAlign w:val="bottom"/>
            <w:hideMark/>
          </w:tcPr>
          <w:p w14:paraId="6D0ED2A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26.25</w:t>
            </w:r>
          </w:p>
        </w:tc>
        <w:tc>
          <w:tcPr>
            <w:tcW w:w="952" w:type="dxa"/>
            <w:tcBorders>
              <w:top w:val="nil"/>
              <w:left w:val="nil"/>
              <w:bottom w:val="nil"/>
              <w:right w:val="nil"/>
            </w:tcBorders>
            <w:shd w:val="clear" w:color="auto" w:fill="auto"/>
            <w:noWrap/>
            <w:vAlign w:val="bottom"/>
            <w:hideMark/>
          </w:tcPr>
          <w:p w14:paraId="6CB357C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$23.55 </w:t>
            </w:r>
          </w:p>
        </w:tc>
        <w:tc>
          <w:tcPr>
            <w:tcW w:w="900" w:type="dxa"/>
            <w:tcBorders>
              <w:top w:val="nil"/>
              <w:left w:val="nil"/>
              <w:bottom w:val="nil"/>
              <w:right w:val="nil"/>
            </w:tcBorders>
            <w:shd w:val="clear" w:color="auto" w:fill="auto"/>
            <w:noWrap/>
            <w:vAlign w:val="bottom"/>
            <w:hideMark/>
          </w:tcPr>
          <w:p w14:paraId="373C7AA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$20.24 </w:t>
            </w:r>
          </w:p>
        </w:tc>
        <w:tc>
          <w:tcPr>
            <w:tcW w:w="866" w:type="dxa"/>
            <w:tcBorders>
              <w:top w:val="nil"/>
              <w:left w:val="nil"/>
              <w:bottom w:val="nil"/>
              <w:right w:val="nil"/>
            </w:tcBorders>
            <w:shd w:val="clear" w:color="auto" w:fill="auto"/>
            <w:noWrap/>
            <w:vAlign w:val="bottom"/>
            <w:hideMark/>
          </w:tcPr>
          <w:p w14:paraId="2639A25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$28.56 </w:t>
            </w:r>
          </w:p>
        </w:tc>
        <w:tc>
          <w:tcPr>
            <w:tcW w:w="866" w:type="dxa"/>
            <w:tcBorders>
              <w:top w:val="nil"/>
              <w:left w:val="nil"/>
              <w:bottom w:val="nil"/>
              <w:right w:val="nil"/>
            </w:tcBorders>
            <w:shd w:val="clear" w:color="auto" w:fill="auto"/>
            <w:noWrap/>
            <w:vAlign w:val="bottom"/>
            <w:hideMark/>
          </w:tcPr>
          <w:p w14:paraId="0C15EFB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$25.18 </w:t>
            </w:r>
          </w:p>
        </w:tc>
      </w:tr>
      <w:tr w:rsidR="007F5BD5" w:rsidRPr="0049452D" w14:paraId="6B79B949" w14:textId="77777777" w:rsidTr="00455BF8">
        <w:trPr>
          <w:trHeight w:hRule="exact" w:val="274"/>
        </w:trPr>
        <w:tc>
          <w:tcPr>
            <w:tcW w:w="1620" w:type="dxa"/>
            <w:tcBorders>
              <w:top w:val="nil"/>
              <w:left w:val="nil"/>
              <w:bottom w:val="nil"/>
              <w:right w:val="nil"/>
            </w:tcBorders>
            <w:shd w:val="clear" w:color="auto" w:fill="auto"/>
            <w:noWrap/>
            <w:vAlign w:val="bottom"/>
            <w:hideMark/>
          </w:tcPr>
          <w:p w14:paraId="7C610203"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Killingly</w:t>
            </w:r>
          </w:p>
        </w:tc>
        <w:tc>
          <w:tcPr>
            <w:tcW w:w="940" w:type="dxa"/>
            <w:tcBorders>
              <w:top w:val="nil"/>
              <w:left w:val="nil"/>
              <w:bottom w:val="nil"/>
              <w:right w:val="nil"/>
            </w:tcBorders>
            <w:shd w:val="clear" w:color="auto" w:fill="auto"/>
            <w:noWrap/>
            <w:vAlign w:val="bottom"/>
            <w:hideMark/>
          </w:tcPr>
          <w:p w14:paraId="309736E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17,233</w:t>
            </w:r>
          </w:p>
        </w:tc>
        <w:tc>
          <w:tcPr>
            <w:tcW w:w="866" w:type="dxa"/>
            <w:tcBorders>
              <w:top w:val="nil"/>
              <w:left w:val="nil"/>
              <w:bottom w:val="nil"/>
              <w:right w:val="nil"/>
            </w:tcBorders>
            <w:shd w:val="clear" w:color="auto" w:fill="auto"/>
            <w:noWrap/>
            <w:vAlign w:val="bottom"/>
            <w:hideMark/>
          </w:tcPr>
          <w:p w14:paraId="3421577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17,828</w:t>
            </w:r>
          </w:p>
        </w:tc>
        <w:tc>
          <w:tcPr>
            <w:tcW w:w="764" w:type="dxa"/>
            <w:tcBorders>
              <w:top w:val="nil"/>
              <w:left w:val="nil"/>
              <w:bottom w:val="nil"/>
              <w:right w:val="nil"/>
            </w:tcBorders>
            <w:shd w:val="clear" w:color="auto" w:fill="auto"/>
            <w:noWrap/>
            <w:vAlign w:val="bottom"/>
            <w:hideMark/>
          </w:tcPr>
          <w:p w14:paraId="7E244DA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9.5%</w:t>
            </w:r>
          </w:p>
        </w:tc>
        <w:tc>
          <w:tcPr>
            <w:tcW w:w="764" w:type="dxa"/>
            <w:tcBorders>
              <w:top w:val="nil"/>
              <w:left w:val="nil"/>
              <w:bottom w:val="nil"/>
              <w:right w:val="nil"/>
            </w:tcBorders>
            <w:shd w:val="clear" w:color="auto" w:fill="auto"/>
            <w:noWrap/>
            <w:vAlign w:val="bottom"/>
            <w:hideMark/>
          </w:tcPr>
          <w:p w14:paraId="51C339E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10.4%</w:t>
            </w:r>
          </w:p>
        </w:tc>
        <w:tc>
          <w:tcPr>
            <w:tcW w:w="633" w:type="dxa"/>
            <w:tcBorders>
              <w:top w:val="nil"/>
              <w:left w:val="nil"/>
              <w:bottom w:val="nil"/>
              <w:right w:val="nil"/>
            </w:tcBorders>
            <w:shd w:val="clear" w:color="auto" w:fill="auto"/>
            <w:noWrap/>
            <w:vAlign w:val="bottom"/>
            <w:hideMark/>
          </w:tcPr>
          <w:p w14:paraId="4991757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1.1%</w:t>
            </w:r>
          </w:p>
        </w:tc>
        <w:tc>
          <w:tcPr>
            <w:tcW w:w="683" w:type="dxa"/>
            <w:tcBorders>
              <w:top w:val="nil"/>
              <w:left w:val="nil"/>
              <w:bottom w:val="nil"/>
              <w:right w:val="nil"/>
            </w:tcBorders>
            <w:shd w:val="clear" w:color="auto" w:fill="auto"/>
            <w:noWrap/>
            <w:vAlign w:val="bottom"/>
            <w:hideMark/>
          </w:tcPr>
          <w:p w14:paraId="6C5322B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1.1%</w:t>
            </w:r>
          </w:p>
        </w:tc>
        <w:tc>
          <w:tcPr>
            <w:tcW w:w="866" w:type="dxa"/>
            <w:tcBorders>
              <w:top w:val="nil"/>
              <w:left w:val="nil"/>
              <w:bottom w:val="nil"/>
              <w:right w:val="nil"/>
            </w:tcBorders>
            <w:shd w:val="clear" w:color="auto" w:fill="auto"/>
            <w:noWrap/>
            <w:vAlign w:val="bottom"/>
            <w:hideMark/>
          </w:tcPr>
          <w:p w14:paraId="4C67252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$1,365 </w:t>
            </w:r>
          </w:p>
        </w:tc>
        <w:tc>
          <w:tcPr>
            <w:tcW w:w="866" w:type="dxa"/>
            <w:tcBorders>
              <w:top w:val="nil"/>
              <w:left w:val="nil"/>
              <w:bottom w:val="nil"/>
              <w:right w:val="nil"/>
            </w:tcBorders>
            <w:shd w:val="clear" w:color="auto" w:fill="auto"/>
            <w:noWrap/>
            <w:vAlign w:val="bottom"/>
            <w:hideMark/>
          </w:tcPr>
          <w:p w14:paraId="2C08902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$1,257 </w:t>
            </w:r>
          </w:p>
        </w:tc>
        <w:tc>
          <w:tcPr>
            <w:tcW w:w="666" w:type="dxa"/>
            <w:tcBorders>
              <w:top w:val="nil"/>
              <w:left w:val="nil"/>
              <w:bottom w:val="nil"/>
              <w:right w:val="nil"/>
            </w:tcBorders>
            <w:shd w:val="clear" w:color="auto" w:fill="auto"/>
            <w:noWrap/>
            <w:vAlign w:val="bottom"/>
            <w:hideMark/>
          </w:tcPr>
          <w:p w14:paraId="5F8ED2E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19.70</w:t>
            </w:r>
          </w:p>
        </w:tc>
        <w:tc>
          <w:tcPr>
            <w:tcW w:w="666" w:type="dxa"/>
            <w:tcBorders>
              <w:top w:val="nil"/>
              <w:left w:val="nil"/>
              <w:bottom w:val="nil"/>
              <w:right w:val="nil"/>
            </w:tcBorders>
            <w:shd w:val="clear" w:color="auto" w:fill="auto"/>
            <w:noWrap/>
            <w:vAlign w:val="bottom"/>
            <w:hideMark/>
          </w:tcPr>
          <w:p w14:paraId="053CC9C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17.80</w:t>
            </w:r>
          </w:p>
        </w:tc>
        <w:tc>
          <w:tcPr>
            <w:tcW w:w="952" w:type="dxa"/>
            <w:tcBorders>
              <w:top w:val="nil"/>
              <w:left w:val="nil"/>
              <w:bottom w:val="nil"/>
              <w:right w:val="nil"/>
            </w:tcBorders>
            <w:shd w:val="clear" w:color="auto" w:fill="auto"/>
            <w:noWrap/>
            <w:vAlign w:val="bottom"/>
            <w:hideMark/>
          </w:tcPr>
          <w:p w14:paraId="08146D3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$28.73 </w:t>
            </w:r>
          </w:p>
        </w:tc>
        <w:tc>
          <w:tcPr>
            <w:tcW w:w="900" w:type="dxa"/>
            <w:tcBorders>
              <w:top w:val="nil"/>
              <w:left w:val="nil"/>
              <w:bottom w:val="nil"/>
              <w:right w:val="nil"/>
            </w:tcBorders>
            <w:shd w:val="clear" w:color="auto" w:fill="auto"/>
            <w:noWrap/>
            <w:vAlign w:val="bottom"/>
            <w:hideMark/>
          </w:tcPr>
          <w:p w14:paraId="12AEC61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$25.86 </w:t>
            </w:r>
          </w:p>
        </w:tc>
        <w:tc>
          <w:tcPr>
            <w:tcW w:w="866" w:type="dxa"/>
            <w:tcBorders>
              <w:top w:val="nil"/>
              <w:left w:val="nil"/>
              <w:bottom w:val="nil"/>
              <w:right w:val="nil"/>
            </w:tcBorders>
            <w:shd w:val="clear" w:color="auto" w:fill="auto"/>
            <w:noWrap/>
            <w:vAlign w:val="bottom"/>
            <w:hideMark/>
          </w:tcPr>
          <w:p w14:paraId="55F2953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$54.33 </w:t>
            </w:r>
          </w:p>
        </w:tc>
        <w:tc>
          <w:tcPr>
            <w:tcW w:w="866" w:type="dxa"/>
            <w:tcBorders>
              <w:top w:val="nil"/>
              <w:left w:val="nil"/>
              <w:bottom w:val="nil"/>
              <w:right w:val="nil"/>
            </w:tcBorders>
            <w:shd w:val="clear" w:color="auto" w:fill="auto"/>
            <w:noWrap/>
            <w:vAlign w:val="bottom"/>
            <w:hideMark/>
          </w:tcPr>
          <w:p w14:paraId="5653E4B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$50.02 </w:t>
            </w:r>
          </w:p>
        </w:tc>
      </w:tr>
      <w:tr w:rsidR="007F5BD5" w:rsidRPr="0049452D" w14:paraId="324975FC" w14:textId="77777777" w:rsidTr="00455BF8">
        <w:trPr>
          <w:trHeight w:hRule="exact" w:val="274"/>
        </w:trPr>
        <w:tc>
          <w:tcPr>
            <w:tcW w:w="1620" w:type="dxa"/>
            <w:tcBorders>
              <w:top w:val="nil"/>
              <w:left w:val="nil"/>
              <w:bottom w:val="nil"/>
              <w:right w:val="nil"/>
            </w:tcBorders>
            <w:shd w:val="clear" w:color="auto" w:fill="auto"/>
            <w:noWrap/>
            <w:vAlign w:val="bottom"/>
            <w:hideMark/>
          </w:tcPr>
          <w:p w14:paraId="37C614F0"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North Canaan</w:t>
            </w:r>
          </w:p>
        </w:tc>
        <w:tc>
          <w:tcPr>
            <w:tcW w:w="940" w:type="dxa"/>
            <w:tcBorders>
              <w:top w:val="nil"/>
              <w:left w:val="nil"/>
              <w:bottom w:val="nil"/>
              <w:right w:val="nil"/>
            </w:tcBorders>
            <w:shd w:val="clear" w:color="auto" w:fill="auto"/>
            <w:noWrap/>
            <w:vAlign w:val="bottom"/>
            <w:hideMark/>
          </w:tcPr>
          <w:p w14:paraId="451E18E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3,241</w:t>
            </w:r>
          </w:p>
        </w:tc>
        <w:tc>
          <w:tcPr>
            <w:tcW w:w="866" w:type="dxa"/>
            <w:tcBorders>
              <w:top w:val="nil"/>
              <w:left w:val="nil"/>
              <w:bottom w:val="nil"/>
              <w:right w:val="nil"/>
            </w:tcBorders>
            <w:shd w:val="clear" w:color="auto" w:fill="auto"/>
            <w:noWrap/>
            <w:vAlign w:val="bottom"/>
            <w:hideMark/>
          </w:tcPr>
          <w:p w14:paraId="2EAEF87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3,366</w:t>
            </w:r>
          </w:p>
        </w:tc>
        <w:tc>
          <w:tcPr>
            <w:tcW w:w="764" w:type="dxa"/>
            <w:tcBorders>
              <w:top w:val="nil"/>
              <w:left w:val="nil"/>
              <w:bottom w:val="nil"/>
              <w:right w:val="nil"/>
            </w:tcBorders>
            <w:shd w:val="clear" w:color="auto" w:fill="auto"/>
            <w:noWrap/>
            <w:vAlign w:val="bottom"/>
            <w:hideMark/>
          </w:tcPr>
          <w:p w14:paraId="097FBCB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7.0%</w:t>
            </w:r>
          </w:p>
        </w:tc>
        <w:tc>
          <w:tcPr>
            <w:tcW w:w="764" w:type="dxa"/>
            <w:tcBorders>
              <w:top w:val="nil"/>
              <w:left w:val="nil"/>
              <w:bottom w:val="nil"/>
              <w:right w:val="nil"/>
            </w:tcBorders>
            <w:shd w:val="clear" w:color="auto" w:fill="auto"/>
            <w:noWrap/>
            <w:vAlign w:val="bottom"/>
            <w:hideMark/>
          </w:tcPr>
          <w:p w14:paraId="0476674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8.0%</w:t>
            </w:r>
          </w:p>
        </w:tc>
        <w:tc>
          <w:tcPr>
            <w:tcW w:w="633" w:type="dxa"/>
            <w:tcBorders>
              <w:top w:val="nil"/>
              <w:left w:val="nil"/>
              <w:bottom w:val="nil"/>
              <w:right w:val="nil"/>
            </w:tcBorders>
            <w:shd w:val="clear" w:color="auto" w:fill="auto"/>
            <w:noWrap/>
            <w:vAlign w:val="bottom"/>
            <w:hideMark/>
          </w:tcPr>
          <w:p w14:paraId="4D65099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0.1%</w:t>
            </w:r>
          </w:p>
        </w:tc>
        <w:tc>
          <w:tcPr>
            <w:tcW w:w="683" w:type="dxa"/>
            <w:tcBorders>
              <w:top w:val="nil"/>
              <w:left w:val="nil"/>
              <w:bottom w:val="nil"/>
              <w:right w:val="nil"/>
            </w:tcBorders>
            <w:shd w:val="clear" w:color="auto" w:fill="auto"/>
            <w:noWrap/>
            <w:vAlign w:val="bottom"/>
            <w:hideMark/>
          </w:tcPr>
          <w:p w14:paraId="382E279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0.5%</w:t>
            </w:r>
          </w:p>
        </w:tc>
        <w:tc>
          <w:tcPr>
            <w:tcW w:w="866" w:type="dxa"/>
            <w:tcBorders>
              <w:top w:val="nil"/>
              <w:left w:val="nil"/>
              <w:bottom w:val="nil"/>
              <w:right w:val="nil"/>
            </w:tcBorders>
            <w:shd w:val="clear" w:color="auto" w:fill="auto"/>
            <w:noWrap/>
            <w:vAlign w:val="bottom"/>
            <w:hideMark/>
          </w:tcPr>
          <w:p w14:paraId="5DB2CDF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$344 </w:t>
            </w:r>
          </w:p>
        </w:tc>
        <w:tc>
          <w:tcPr>
            <w:tcW w:w="866" w:type="dxa"/>
            <w:tcBorders>
              <w:top w:val="nil"/>
              <w:left w:val="nil"/>
              <w:bottom w:val="nil"/>
              <w:right w:val="nil"/>
            </w:tcBorders>
            <w:shd w:val="clear" w:color="auto" w:fill="auto"/>
            <w:noWrap/>
            <w:vAlign w:val="bottom"/>
            <w:hideMark/>
          </w:tcPr>
          <w:p w14:paraId="2F942FF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$346 </w:t>
            </w:r>
          </w:p>
        </w:tc>
        <w:tc>
          <w:tcPr>
            <w:tcW w:w="666" w:type="dxa"/>
            <w:tcBorders>
              <w:top w:val="nil"/>
              <w:left w:val="nil"/>
              <w:bottom w:val="nil"/>
              <w:right w:val="nil"/>
            </w:tcBorders>
            <w:shd w:val="clear" w:color="auto" w:fill="auto"/>
            <w:noWrap/>
            <w:vAlign w:val="bottom"/>
            <w:hideMark/>
          </w:tcPr>
          <w:p w14:paraId="6301935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21.50</w:t>
            </w:r>
          </w:p>
        </w:tc>
        <w:tc>
          <w:tcPr>
            <w:tcW w:w="666" w:type="dxa"/>
            <w:tcBorders>
              <w:top w:val="nil"/>
              <w:left w:val="nil"/>
              <w:bottom w:val="nil"/>
              <w:right w:val="nil"/>
            </w:tcBorders>
            <w:shd w:val="clear" w:color="auto" w:fill="auto"/>
            <w:noWrap/>
            <w:vAlign w:val="bottom"/>
            <w:hideMark/>
          </w:tcPr>
          <w:p w14:paraId="4E7D49D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21.00</w:t>
            </w:r>
          </w:p>
        </w:tc>
        <w:tc>
          <w:tcPr>
            <w:tcW w:w="952" w:type="dxa"/>
            <w:tcBorders>
              <w:top w:val="nil"/>
              <w:left w:val="nil"/>
              <w:bottom w:val="nil"/>
              <w:right w:val="nil"/>
            </w:tcBorders>
            <w:shd w:val="clear" w:color="auto" w:fill="auto"/>
            <w:noWrap/>
            <w:vAlign w:val="bottom"/>
            <w:hideMark/>
          </w:tcPr>
          <w:p w14:paraId="3785A40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$7.49 </w:t>
            </w:r>
          </w:p>
        </w:tc>
        <w:tc>
          <w:tcPr>
            <w:tcW w:w="900" w:type="dxa"/>
            <w:tcBorders>
              <w:top w:val="nil"/>
              <w:left w:val="nil"/>
              <w:bottom w:val="nil"/>
              <w:right w:val="nil"/>
            </w:tcBorders>
            <w:shd w:val="clear" w:color="auto" w:fill="auto"/>
            <w:noWrap/>
            <w:vAlign w:val="bottom"/>
            <w:hideMark/>
          </w:tcPr>
          <w:p w14:paraId="1CF276D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$7.22 </w:t>
            </w:r>
          </w:p>
        </w:tc>
        <w:tc>
          <w:tcPr>
            <w:tcW w:w="866" w:type="dxa"/>
            <w:tcBorders>
              <w:top w:val="nil"/>
              <w:left w:val="nil"/>
              <w:bottom w:val="nil"/>
              <w:right w:val="nil"/>
            </w:tcBorders>
            <w:shd w:val="clear" w:color="auto" w:fill="auto"/>
            <w:noWrap/>
            <w:vAlign w:val="bottom"/>
            <w:hideMark/>
          </w:tcPr>
          <w:p w14:paraId="1CC6B95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$10.83 </w:t>
            </w:r>
          </w:p>
        </w:tc>
        <w:tc>
          <w:tcPr>
            <w:tcW w:w="866" w:type="dxa"/>
            <w:tcBorders>
              <w:top w:val="nil"/>
              <w:left w:val="nil"/>
              <w:bottom w:val="nil"/>
              <w:right w:val="nil"/>
            </w:tcBorders>
            <w:shd w:val="clear" w:color="auto" w:fill="auto"/>
            <w:noWrap/>
            <w:vAlign w:val="bottom"/>
            <w:hideMark/>
          </w:tcPr>
          <w:p w14:paraId="0EC18CF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$10.62 </w:t>
            </w:r>
          </w:p>
        </w:tc>
      </w:tr>
      <w:tr w:rsidR="007F5BD5" w:rsidRPr="0049452D" w14:paraId="6C580BFE" w14:textId="77777777" w:rsidTr="00455BF8">
        <w:trPr>
          <w:trHeight w:hRule="exact" w:val="274"/>
        </w:trPr>
        <w:tc>
          <w:tcPr>
            <w:tcW w:w="1620" w:type="dxa"/>
            <w:tcBorders>
              <w:top w:val="nil"/>
              <w:left w:val="nil"/>
              <w:bottom w:val="nil"/>
              <w:right w:val="nil"/>
            </w:tcBorders>
            <w:shd w:val="clear" w:color="auto" w:fill="auto"/>
            <w:noWrap/>
            <w:vAlign w:val="bottom"/>
            <w:hideMark/>
          </w:tcPr>
          <w:p w14:paraId="47401C5D"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Plainfield</w:t>
            </w:r>
          </w:p>
        </w:tc>
        <w:tc>
          <w:tcPr>
            <w:tcW w:w="940" w:type="dxa"/>
            <w:tcBorders>
              <w:top w:val="nil"/>
              <w:left w:val="nil"/>
              <w:bottom w:val="nil"/>
              <w:right w:val="nil"/>
            </w:tcBorders>
            <w:shd w:val="clear" w:color="auto" w:fill="auto"/>
            <w:noWrap/>
            <w:vAlign w:val="bottom"/>
            <w:hideMark/>
          </w:tcPr>
          <w:p w14:paraId="018CF12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15,228</w:t>
            </w:r>
          </w:p>
        </w:tc>
        <w:tc>
          <w:tcPr>
            <w:tcW w:w="866" w:type="dxa"/>
            <w:tcBorders>
              <w:top w:val="nil"/>
              <w:left w:val="nil"/>
              <w:bottom w:val="nil"/>
              <w:right w:val="nil"/>
            </w:tcBorders>
            <w:shd w:val="clear" w:color="auto" w:fill="auto"/>
            <w:noWrap/>
            <w:vAlign w:val="bottom"/>
            <w:hideMark/>
          </w:tcPr>
          <w:p w14:paraId="170B548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15,442</w:t>
            </w:r>
          </w:p>
        </w:tc>
        <w:tc>
          <w:tcPr>
            <w:tcW w:w="764" w:type="dxa"/>
            <w:tcBorders>
              <w:top w:val="nil"/>
              <w:left w:val="nil"/>
              <w:bottom w:val="nil"/>
              <w:right w:val="nil"/>
            </w:tcBorders>
            <w:shd w:val="clear" w:color="auto" w:fill="auto"/>
            <w:noWrap/>
            <w:vAlign w:val="bottom"/>
            <w:hideMark/>
          </w:tcPr>
          <w:p w14:paraId="28B7B61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10.1%</w:t>
            </w:r>
          </w:p>
        </w:tc>
        <w:tc>
          <w:tcPr>
            <w:tcW w:w="764" w:type="dxa"/>
            <w:tcBorders>
              <w:top w:val="nil"/>
              <w:left w:val="nil"/>
              <w:bottom w:val="nil"/>
              <w:right w:val="nil"/>
            </w:tcBorders>
            <w:shd w:val="clear" w:color="auto" w:fill="auto"/>
            <w:noWrap/>
            <w:vAlign w:val="bottom"/>
            <w:hideMark/>
          </w:tcPr>
          <w:p w14:paraId="2AD0471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10.4%</w:t>
            </w:r>
          </w:p>
        </w:tc>
        <w:tc>
          <w:tcPr>
            <w:tcW w:w="633" w:type="dxa"/>
            <w:tcBorders>
              <w:top w:val="nil"/>
              <w:left w:val="nil"/>
              <w:bottom w:val="nil"/>
              <w:right w:val="nil"/>
            </w:tcBorders>
            <w:shd w:val="clear" w:color="auto" w:fill="auto"/>
            <w:noWrap/>
            <w:vAlign w:val="bottom"/>
            <w:hideMark/>
          </w:tcPr>
          <w:p w14:paraId="1342F85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1.1%</w:t>
            </w:r>
          </w:p>
        </w:tc>
        <w:tc>
          <w:tcPr>
            <w:tcW w:w="683" w:type="dxa"/>
            <w:tcBorders>
              <w:top w:val="nil"/>
              <w:left w:val="nil"/>
              <w:bottom w:val="nil"/>
              <w:right w:val="nil"/>
            </w:tcBorders>
            <w:shd w:val="clear" w:color="auto" w:fill="auto"/>
            <w:noWrap/>
            <w:vAlign w:val="bottom"/>
            <w:hideMark/>
          </w:tcPr>
          <w:p w14:paraId="0B3DA9F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1.1%</w:t>
            </w:r>
          </w:p>
        </w:tc>
        <w:tc>
          <w:tcPr>
            <w:tcW w:w="866" w:type="dxa"/>
            <w:tcBorders>
              <w:top w:val="nil"/>
              <w:left w:val="nil"/>
              <w:bottom w:val="nil"/>
              <w:right w:val="nil"/>
            </w:tcBorders>
            <w:shd w:val="clear" w:color="auto" w:fill="auto"/>
            <w:noWrap/>
            <w:vAlign w:val="bottom"/>
            <w:hideMark/>
          </w:tcPr>
          <w:p w14:paraId="57AE12BA"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$1,035 </w:t>
            </w:r>
          </w:p>
        </w:tc>
        <w:tc>
          <w:tcPr>
            <w:tcW w:w="866" w:type="dxa"/>
            <w:tcBorders>
              <w:top w:val="nil"/>
              <w:left w:val="nil"/>
              <w:bottom w:val="nil"/>
              <w:right w:val="nil"/>
            </w:tcBorders>
            <w:shd w:val="clear" w:color="auto" w:fill="auto"/>
            <w:noWrap/>
            <w:vAlign w:val="bottom"/>
            <w:hideMark/>
          </w:tcPr>
          <w:p w14:paraId="4C114F4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$1,007 </w:t>
            </w:r>
          </w:p>
        </w:tc>
        <w:tc>
          <w:tcPr>
            <w:tcW w:w="666" w:type="dxa"/>
            <w:tcBorders>
              <w:top w:val="nil"/>
              <w:left w:val="nil"/>
              <w:bottom w:val="nil"/>
              <w:right w:val="nil"/>
            </w:tcBorders>
            <w:shd w:val="clear" w:color="auto" w:fill="auto"/>
            <w:noWrap/>
            <w:vAlign w:val="bottom"/>
            <w:hideMark/>
          </w:tcPr>
          <w:p w14:paraId="4F1B804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21.52</w:t>
            </w:r>
          </w:p>
        </w:tc>
        <w:tc>
          <w:tcPr>
            <w:tcW w:w="666" w:type="dxa"/>
            <w:tcBorders>
              <w:top w:val="nil"/>
              <w:left w:val="nil"/>
              <w:bottom w:val="nil"/>
              <w:right w:val="nil"/>
            </w:tcBorders>
            <w:shd w:val="clear" w:color="auto" w:fill="auto"/>
            <w:noWrap/>
            <w:vAlign w:val="bottom"/>
            <w:hideMark/>
          </w:tcPr>
          <w:p w14:paraId="6D151F0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19.94</w:t>
            </w:r>
          </w:p>
        </w:tc>
        <w:tc>
          <w:tcPr>
            <w:tcW w:w="952" w:type="dxa"/>
            <w:tcBorders>
              <w:top w:val="nil"/>
              <w:left w:val="nil"/>
              <w:bottom w:val="nil"/>
              <w:right w:val="nil"/>
            </w:tcBorders>
            <w:shd w:val="clear" w:color="auto" w:fill="auto"/>
            <w:noWrap/>
            <w:vAlign w:val="bottom"/>
            <w:hideMark/>
          </w:tcPr>
          <w:p w14:paraId="5E5507D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$22.46 </w:t>
            </w:r>
          </w:p>
        </w:tc>
        <w:tc>
          <w:tcPr>
            <w:tcW w:w="900" w:type="dxa"/>
            <w:tcBorders>
              <w:top w:val="nil"/>
              <w:left w:val="nil"/>
              <w:bottom w:val="nil"/>
              <w:right w:val="nil"/>
            </w:tcBorders>
            <w:shd w:val="clear" w:color="auto" w:fill="auto"/>
            <w:noWrap/>
            <w:vAlign w:val="bottom"/>
            <w:hideMark/>
          </w:tcPr>
          <w:p w14:paraId="7F1AC64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$20.25 </w:t>
            </w:r>
          </w:p>
        </w:tc>
        <w:tc>
          <w:tcPr>
            <w:tcW w:w="866" w:type="dxa"/>
            <w:tcBorders>
              <w:top w:val="nil"/>
              <w:left w:val="nil"/>
              <w:bottom w:val="nil"/>
              <w:right w:val="nil"/>
            </w:tcBorders>
            <w:shd w:val="clear" w:color="auto" w:fill="auto"/>
            <w:noWrap/>
            <w:vAlign w:val="bottom"/>
            <w:hideMark/>
          </w:tcPr>
          <w:p w14:paraId="41367A33"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$47.19 </w:t>
            </w:r>
          </w:p>
        </w:tc>
        <w:tc>
          <w:tcPr>
            <w:tcW w:w="866" w:type="dxa"/>
            <w:tcBorders>
              <w:top w:val="nil"/>
              <w:left w:val="nil"/>
              <w:bottom w:val="nil"/>
              <w:right w:val="nil"/>
            </w:tcBorders>
            <w:shd w:val="clear" w:color="auto" w:fill="auto"/>
            <w:noWrap/>
            <w:vAlign w:val="bottom"/>
            <w:hideMark/>
          </w:tcPr>
          <w:p w14:paraId="61FAC4A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$44.66 </w:t>
            </w:r>
          </w:p>
        </w:tc>
      </w:tr>
      <w:tr w:rsidR="007F5BD5" w:rsidRPr="0049452D" w14:paraId="6DA58AE4" w14:textId="77777777" w:rsidTr="00181ACD">
        <w:trPr>
          <w:trHeight w:hRule="exact" w:val="274"/>
        </w:trPr>
        <w:tc>
          <w:tcPr>
            <w:tcW w:w="1620" w:type="dxa"/>
            <w:tcBorders>
              <w:top w:val="nil"/>
              <w:left w:val="nil"/>
              <w:right w:val="nil"/>
            </w:tcBorders>
            <w:shd w:val="clear" w:color="auto" w:fill="auto"/>
            <w:noWrap/>
            <w:vAlign w:val="bottom"/>
            <w:hideMark/>
          </w:tcPr>
          <w:p w14:paraId="08D105BD"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Union</w:t>
            </w:r>
          </w:p>
        </w:tc>
        <w:tc>
          <w:tcPr>
            <w:tcW w:w="940" w:type="dxa"/>
            <w:tcBorders>
              <w:top w:val="nil"/>
              <w:left w:val="nil"/>
              <w:right w:val="nil"/>
            </w:tcBorders>
            <w:shd w:val="clear" w:color="auto" w:fill="auto"/>
            <w:noWrap/>
            <w:vAlign w:val="bottom"/>
            <w:hideMark/>
          </w:tcPr>
          <w:p w14:paraId="55D5DDE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848</w:t>
            </w:r>
          </w:p>
        </w:tc>
        <w:tc>
          <w:tcPr>
            <w:tcW w:w="866" w:type="dxa"/>
            <w:tcBorders>
              <w:top w:val="nil"/>
              <w:left w:val="nil"/>
              <w:right w:val="nil"/>
            </w:tcBorders>
            <w:shd w:val="clear" w:color="auto" w:fill="auto"/>
            <w:noWrap/>
            <w:vAlign w:val="bottom"/>
            <w:hideMark/>
          </w:tcPr>
          <w:p w14:paraId="08ADDFC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761</w:t>
            </w:r>
          </w:p>
        </w:tc>
        <w:tc>
          <w:tcPr>
            <w:tcW w:w="764" w:type="dxa"/>
            <w:tcBorders>
              <w:top w:val="nil"/>
              <w:left w:val="nil"/>
              <w:right w:val="nil"/>
            </w:tcBorders>
            <w:shd w:val="clear" w:color="auto" w:fill="auto"/>
            <w:noWrap/>
            <w:vAlign w:val="bottom"/>
            <w:hideMark/>
          </w:tcPr>
          <w:p w14:paraId="116D888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5.5%</w:t>
            </w:r>
          </w:p>
        </w:tc>
        <w:tc>
          <w:tcPr>
            <w:tcW w:w="764" w:type="dxa"/>
            <w:tcBorders>
              <w:top w:val="nil"/>
              <w:left w:val="nil"/>
              <w:right w:val="nil"/>
            </w:tcBorders>
            <w:shd w:val="clear" w:color="auto" w:fill="auto"/>
            <w:noWrap/>
            <w:vAlign w:val="bottom"/>
            <w:hideMark/>
          </w:tcPr>
          <w:p w14:paraId="321AF98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6.7%</w:t>
            </w:r>
          </w:p>
        </w:tc>
        <w:tc>
          <w:tcPr>
            <w:tcW w:w="633" w:type="dxa"/>
            <w:tcBorders>
              <w:top w:val="nil"/>
              <w:left w:val="nil"/>
              <w:right w:val="nil"/>
            </w:tcBorders>
            <w:shd w:val="clear" w:color="auto" w:fill="auto"/>
            <w:noWrap/>
            <w:vAlign w:val="bottom"/>
            <w:hideMark/>
          </w:tcPr>
          <w:p w14:paraId="4FE3BE7B"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0.0%</w:t>
            </w:r>
          </w:p>
        </w:tc>
        <w:tc>
          <w:tcPr>
            <w:tcW w:w="683" w:type="dxa"/>
            <w:tcBorders>
              <w:top w:val="nil"/>
              <w:left w:val="nil"/>
              <w:right w:val="nil"/>
            </w:tcBorders>
            <w:shd w:val="clear" w:color="auto" w:fill="auto"/>
            <w:noWrap/>
            <w:vAlign w:val="bottom"/>
            <w:hideMark/>
          </w:tcPr>
          <w:p w14:paraId="6F0F59F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0.0%</w:t>
            </w:r>
          </w:p>
        </w:tc>
        <w:tc>
          <w:tcPr>
            <w:tcW w:w="866" w:type="dxa"/>
            <w:tcBorders>
              <w:top w:val="nil"/>
              <w:left w:val="nil"/>
              <w:right w:val="nil"/>
            </w:tcBorders>
            <w:shd w:val="clear" w:color="auto" w:fill="auto"/>
            <w:noWrap/>
            <w:vAlign w:val="bottom"/>
            <w:hideMark/>
          </w:tcPr>
          <w:p w14:paraId="3AFC089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$98 </w:t>
            </w:r>
          </w:p>
        </w:tc>
        <w:tc>
          <w:tcPr>
            <w:tcW w:w="866" w:type="dxa"/>
            <w:tcBorders>
              <w:top w:val="nil"/>
              <w:left w:val="nil"/>
              <w:right w:val="nil"/>
            </w:tcBorders>
            <w:shd w:val="clear" w:color="auto" w:fill="auto"/>
            <w:noWrap/>
            <w:vAlign w:val="bottom"/>
            <w:hideMark/>
          </w:tcPr>
          <w:p w14:paraId="71E16B6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$73 </w:t>
            </w:r>
          </w:p>
        </w:tc>
        <w:tc>
          <w:tcPr>
            <w:tcW w:w="666" w:type="dxa"/>
            <w:tcBorders>
              <w:top w:val="nil"/>
              <w:left w:val="nil"/>
              <w:right w:val="nil"/>
            </w:tcBorders>
            <w:shd w:val="clear" w:color="auto" w:fill="auto"/>
            <w:noWrap/>
            <w:vAlign w:val="bottom"/>
            <w:hideMark/>
          </w:tcPr>
          <w:p w14:paraId="6FE3431C"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23.59</w:t>
            </w:r>
          </w:p>
        </w:tc>
        <w:tc>
          <w:tcPr>
            <w:tcW w:w="666" w:type="dxa"/>
            <w:tcBorders>
              <w:top w:val="nil"/>
              <w:left w:val="nil"/>
              <w:right w:val="nil"/>
            </w:tcBorders>
            <w:shd w:val="clear" w:color="auto" w:fill="auto"/>
            <w:noWrap/>
            <w:vAlign w:val="bottom"/>
            <w:hideMark/>
          </w:tcPr>
          <w:p w14:paraId="7C92759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28.93</w:t>
            </w:r>
          </w:p>
        </w:tc>
        <w:tc>
          <w:tcPr>
            <w:tcW w:w="952" w:type="dxa"/>
            <w:tcBorders>
              <w:top w:val="nil"/>
              <w:left w:val="nil"/>
              <w:right w:val="nil"/>
            </w:tcBorders>
            <w:shd w:val="clear" w:color="auto" w:fill="auto"/>
            <w:noWrap/>
            <w:vAlign w:val="bottom"/>
            <w:hideMark/>
          </w:tcPr>
          <w:p w14:paraId="19B61BC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$2.31 </w:t>
            </w:r>
          </w:p>
        </w:tc>
        <w:tc>
          <w:tcPr>
            <w:tcW w:w="900" w:type="dxa"/>
            <w:tcBorders>
              <w:top w:val="nil"/>
              <w:left w:val="nil"/>
              <w:right w:val="nil"/>
            </w:tcBorders>
            <w:shd w:val="clear" w:color="auto" w:fill="auto"/>
            <w:noWrap/>
            <w:vAlign w:val="bottom"/>
            <w:hideMark/>
          </w:tcPr>
          <w:p w14:paraId="7A53F60E"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$2.23 </w:t>
            </w:r>
          </w:p>
        </w:tc>
        <w:tc>
          <w:tcPr>
            <w:tcW w:w="866" w:type="dxa"/>
            <w:tcBorders>
              <w:top w:val="nil"/>
              <w:left w:val="nil"/>
              <w:right w:val="nil"/>
            </w:tcBorders>
            <w:shd w:val="clear" w:color="auto" w:fill="auto"/>
            <w:noWrap/>
            <w:vAlign w:val="bottom"/>
            <w:hideMark/>
          </w:tcPr>
          <w:p w14:paraId="02137EB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$2.88 </w:t>
            </w:r>
          </w:p>
        </w:tc>
        <w:tc>
          <w:tcPr>
            <w:tcW w:w="866" w:type="dxa"/>
            <w:tcBorders>
              <w:top w:val="nil"/>
              <w:left w:val="nil"/>
              <w:right w:val="nil"/>
            </w:tcBorders>
            <w:shd w:val="clear" w:color="auto" w:fill="auto"/>
            <w:noWrap/>
            <w:vAlign w:val="bottom"/>
            <w:hideMark/>
          </w:tcPr>
          <w:p w14:paraId="40F0B6E7"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$2.79 </w:t>
            </w:r>
          </w:p>
        </w:tc>
      </w:tr>
      <w:tr w:rsidR="007F5BD5" w:rsidRPr="0049452D" w14:paraId="41F3A330" w14:textId="77777777" w:rsidTr="00181ACD">
        <w:trPr>
          <w:trHeight w:hRule="exact" w:val="274"/>
        </w:trPr>
        <w:tc>
          <w:tcPr>
            <w:tcW w:w="1620" w:type="dxa"/>
            <w:tcBorders>
              <w:top w:val="nil"/>
              <w:left w:val="nil"/>
              <w:bottom w:val="single" w:sz="4" w:space="0" w:color="auto"/>
              <w:right w:val="nil"/>
            </w:tcBorders>
            <w:shd w:val="clear" w:color="auto" w:fill="auto"/>
            <w:noWrap/>
            <w:vAlign w:val="bottom"/>
            <w:hideMark/>
          </w:tcPr>
          <w:p w14:paraId="02CE4EE8"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 xml:space="preserve">     Washington</w:t>
            </w:r>
          </w:p>
        </w:tc>
        <w:tc>
          <w:tcPr>
            <w:tcW w:w="940" w:type="dxa"/>
            <w:tcBorders>
              <w:top w:val="nil"/>
              <w:left w:val="nil"/>
              <w:bottom w:val="single" w:sz="4" w:space="0" w:color="auto"/>
              <w:right w:val="nil"/>
            </w:tcBorders>
            <w:shd w:val="clear" w:color="auto" w:fill="auto"/>
            <w:noWrap/>
            <w:vAlign w:val="bottom"/>
            <w:hideMark/>
          </w:tcPr>
          <w:p w14:paraId="3FB5DA58"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3,526</w:t>
            </w:r>
          </w:p>
        </w:tc>
        <w:tc>
          <w:tcPr>
            <w:tcW w:w="866" w:type="dxa"/>
            <w:tcBorders>
              <w:top w:val="nil"/>
              <w:left w:val="nil"/>
              <w:bottom w:val="single" w:sz="4" w:space="0" w:color="auto"/>
              <w:right w:val="nil"/>
            </w:tcBorders>
            <w:shd w:val="clear" w:color="auto" w:fill="auto"/>
            <w:noWrap/>
            <w:vAlign w:val="bottom"/>
            <w:hideMark/>
          </w:tcPr>
          <w:p w14:paraId="3E86476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3,689</w:t>
            </w:r>
          </w:p>
        </w:tc>
        <w:tc>
          <w:tcPr>
            <w:tcW w:w="764" w:type="dxa"/>
            <w:tcBorders>
              <w:top w:val="nil"/>
              <w:left w:val="nil"/>
              <w:bottom w:val="single" w:sz="4" w:space="0" w:color="auto"/>
              <w:right w:val="nil"/>
            </w:tcBorders>
            <w:shd w:val="clear" w:color="auto" w:fill="auto"/>
            <w:noWrap/>
            <w:vAlign w:val="bottom"/>
            <w:hideMark/>
          </w:tcPr>
          <w:p w14:paraId="406EE8D4"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5.8%</w:t>
            </w:r>
          </w:p>
        </w:tc>
        <w:tc>
          <w:tcPr>
            <w:tcW w:w="764" w:type="dxa"/>
            <w:tcBorders>
              <w:top w:val="nil"/>
              <w:left w:val="nil"/>
              <w:bottom w:val="single" w:sz="4" w:space="0" w:color="auto"/>
              <w:right w:val="nil"/>
            </w:tcBorders>
            <w:shd w:val="clear" w:color="auto" w:fill="auto"/>
            <w:noWrap/>
            <w:vAlign w:val="bottom"/>
            <w:hideMark/>
          </w:tcPr>
          <w:p w14:paraId="79E6EABF"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6.2%</w:t>
            </w:r>
          </w:p>
        </w:tc>
        <w:tc>
          <w:tcPr>
            <w:tcW w:w="633" w:type="dxa"/>
            <w:tcBorders>
              <w:top w:val="nil"/>
              <w:left w:val="nil"/>
              <w:bottom w:val="single" w:sz="4" w:space="0" w:color="auto"/>
              <w:right w:val="nil"/>
            </w:tcBorders>
            <w:shd w:val="clear" w:color="auto" w:fill="auto"/>
            <w:noWrap/>
            <w:vAlign w:val="bottom"/>
            <w:hideMark/>
          </w:tcPr>
          <w:p w14:paraId="2AC8AA82"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0.1%</w:t>
            </w:r>
          </w:p>
        </w:tc>
        <w:tc>
          <w:tcPr>
            <w:tcW w:w="683" w:type="dxa"/>
            <w:tcBorders>
              <w:top w:val="nil"/>
              <w:left w:val="nil"/>
              <w:bottom w:val="single" w:sz="4" w:space="0" w:color="auto"/>
              <w:right w:val="nil"/>
            </w:tcBorders>
            <w:shd w:val="clear" w:color="auto" w:fill="auto"/>
            <w:noWrap/>
            <w:vAlign w:val="bottom"/>
            <w:hideMark/>
          </w:tcPr>
          <w:p w14:paraId="6F42004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0.1%</w:t>
            </w:r>
          </w:p>
        </w:tc>
        <w:tc>
          <w:tcPr>
            <w:tcW w:w="866" w:type="dxa"/>
            <w:tcBorders>
              <w:top w:val="nil"/>
              <w:left w:val="nil"/>
              <w:bottom w:val="single" w:sz="4" w:space="0" w:color="auto"/>
              <w:right w:val="nil"/>
            </w:tcBorders>
            <w:shd w:val="clear" w:color="auto" w:fill="auto"/>
            <w:noWrap/>
            <w:vAlign w:val="bottom"/>
            <w:hideMark/>
          </w:tcPr>
          <w:p w14:paraId="5211E02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$1,255 </w:t>
            </w:r>
          </w:p>
        </w:tc>
        <w:tc>
          <w:tcPr>
            <w:tcW w:w="866" w:type="dxa"/>
            <w:tcBorders>
              <w:top w:val="nil"/>
              <w:left w:val="nil"/>
              <w:bottom w:val="single" w:sz="4" w:space="0" w:color="auto"/>
              <w:right w:val="nil"/>
            </w:tcBorders>
            <w:shd w:val="clear" w:color="auto" w:fill="auto"/>
            <w:noWrap/>
            <w:vAlign w:val="bottom"/>
            <w:hideMark/>
          </w:tcPr>
          <w:p w14:paraId="12D1779D"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$981 </w:t>
            </w:r>
          </w:p>
        </w:tc>
        <w:tc>
          <w:tcPr>
            <w:tcW w:w="666" w:type="dxa"/>
            <w:tcBorders>
              <w:top w:val="nil"/>
              <w:left w:val="nil"/>
              <w:bottom w:val="single" w:sz="4" w:space="0" w:color="auto"/>
              <w:right w:val="nil"/>
            </w:tcBorders>
            <w:shd w:val="clear" w:color="auto" w:fill="auto"/>
            <w:noWrap/>
            <w:vAlign w:val="bottom"/>
            <w:hideMark/>
          </w:tcPr>
          <w:p w14:paraId="08E67909"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11.50</w:t>
            </w:r>
          </w:p>
        </w:tc>
        <w:tc>
          <w:tcPr>
            <w:tcW w:w="666" w:type="dxa"/>
            <w:tcBorders>
              <w:top w:val="nil"/>
              <w:left w:val="nil"/>
              <w:bottom w:val="single" w:sz="4" w:space="0" w:color="auto"/>
              <w:right w:val="nil"/>
            </w:tcBorders>
            <w:shd w:val="clear" w:color="auto" w:fill="auto"/>
            <w:noWrap/>
            <w:vAlign w:val="bottom"/>
            <w:hideMark/>
          </w:tcPr>
          <w:p w14:paraId="0CBE0E30"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13.00</w:t>
            </w:r>
          </w:p>
        </w:tc>
        <w:tc>
          <w:tcPr>
            <w:tcW w:w="952" w:type="dxa"/>
            <w:tcBorders>
              <w:top w:val="nil"/>
              <w:left w:val="nil"/>
              <w:bottom w:val="single" w:sz="4" w:space="0" w:color="auto"/>
              <w:right w:val="nil"/>
            </w:tcBorders>
            <w:shd w:val="clear" w:color="auto" w:fill="auto"/>
            <w:noWrap/>
            <w:vAlign w:val="bottom"/>
            <w:hideMark/>
          </w:tcPr>
          <w:p w14:paraId="7232F896"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$14.38 </w:t>
            </w:r>
          </w:p>
        </w:tc>
        <w:tc>
          <w:tcPr>
            <w:tcW w:w="900" w:type="dxa"/>
            <w:tcBorders>
              <w:top w:val="nil"/>
              <w:left w:val="nil"/>
              <w:bottom w:val="single" w:sz="4" w:space="0" w:color="auto"/>
              <w:right w:val="nil"/>
            </w:tcBorders>
            <w:shd w:val="clear" w:color="auto" w:fill="auto"/>
            <w:noWrap/>
            <w:vAlign w:val="bottom"/>
            <w:hideMark/>
          </w:tcPr>
          <w:p w14:paraId="287798B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$12.28 </w:t>
            </w:r>
          </w:p>
        </w:tc>
        <w:tc>
          <w:tcPr>
            <w:tcW w:w="866" w:type="dxa"/>
            <w:tcBorders>
              <w:top w:val="nil"/>
              <w:left w:val="nil"/>
              <w:bottom w:val="single" w:sz="4" w:space="0" w:color="auto"/>
              <w:right w:val="nil"/>
            </w:tcBorders>
            <w:shd w:val="clear" w:color="auto" w:fill="auto"/>
            <w:noWrap/>
            <w:vAlign w:val="bottom"/>
            <w:hideMark/>
          </w:tcPr>
          <w:p w14:paraId="0F297E1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$15.65 </w:t>
            </w:r>
          </w:p>
        </w:tc>
        <w:tc>
          <w:tcPr>
            <w:tcW w:w="866" w:type="dxa"/>
            <w:tcBorders>
              <w:top w:val="nil"/>
              <w:left w:val="nil"/>
              <w:bottom w:val="single" w:sz="4" w:space="0" w:color="auto"/>
              <w:right w:val="nil"/>
            </w:tcBorders>
            <w:shd w:val="clear" w:color="auto" w:fill="auto"/>
            <w:noWrap/>
            <w:vAlign w:val="bottom"/>
            <w:hideMark/>
          </w:tcPr>
          <w:p w14:paraId="45D61BC1" w14:textId="77777777" w:rsidR="007F5BD5" w:rsidRPr="0049452D" w:rsidRDefault="007F5BD5" w:rsidP="00453EAF">
            <w:pPr>
              <w:spacing w:after="0" w:line="240" w:lineRule="auto"/>
              <w:jc w:val="right"/>
              <w:rPr>
                <w:color w:val="000000"/>
                <w:sz w:val="20"/>
                <w:szCs w:val="20"/>
                <w:lang w:bidi="ar-SA"/>
              </w:rPr>
            </w:pPr>
            <w:r w:rsidRPr="0049452D">
              <w:rPr>
                <w:color w:val="000000"/>
                <w:sz w:val="20"/>
                <w:szCs w:val="20"/>
                <w:lang w:bidi="ar-SA"/>
              </w:rPr>
              <w:t xml:space="preserve">$13.91 </w:t>
            </w:r>
          </w:p>
        </w:tc>
      </w:tr>
      <w:tr w:rsidR="007F5BD5" w:rsidRPr="0049452D" w14:paraId="315B3BAE" w14:textId="77777777" w:rsidTr="00181ACD">
        <w:trPr>
          <w:trHeight w:hRule="exact" w:val="274"/>
        </w:trPr>
        <w:tc>
          <w:tcPr>
            <w:tcW w:w="12918" w:type="dxa"/>
            <w:gridSpan w:val="15"/>
            <w:tcBorders>
              <w:top w:val="single" w:sz="4" w:space="0" w:color="auto"/>
              <w:left w:val="nil"/>
              <w:right w:val="nil"/>
            </w:tcBorders>
            <w:shd w:val="clear" w:color="auto" w:fill="auto"/>
            <w:noWrap/>
            <w:vAlign w:val="bottom"/>
            <w:hideMark/>
          </w:tcPr>
          <w:p w14:paraId="3AC84DBE" w14:textId="77777777" w:rsidR="007F5BD5" w:rsidRPr="0049452D" w:rsidRDefault="007F5BD5" w:rsidP="00453EAF">
            <w:pPr>
              <w:spacing w:after="0" w:line="240" w:lineRule="auto"/>
              <w:rPr>
                <w:color w:val="000000"/>
                <w:sz w:val="20"/>
                <w:szCs w:val="20"/>
                <w:lang w:bidi="ar-SA"/>
              </w:rPr>
            </w:pPr>
            <w:r w:rsidRPr="0049452D">
              <w:rPr>
                <w:color w:val="000000"/>
                <w:sz w:val="20"/>
                <w:szCs w:val="20"/>
                <w:lang w:bidi="ar-SA"/>
              </w:rPr>
              <w:t>Source: Municipal Fiscal Indicators, 2009-2013, Office of Policy and Management.</w:t>
            </w:r>
          </w:p>
        </w:tc>
      </w:tr>
    </w:tbl>
    <w:p w14:paraId="53C1AB07" w14:textId="77777777" w:rsidR="009F624A" w:rsidRDefault="009F624A" w:rsidP="00453EAF">
      <w:pPr>
        <w:spacing w:after="0" w:line="240" w:lineRule="auto"/>
        <w:rPr>
          <w:color w:val="000000"/>
          <w:sz w:val="20"/>
          <w:szCs w:val="20"/>
          <w:lang w:bidi="ar-SA"/>
        </w:rPr>
        <w:sectPr w:rsidR="009F624A" w:rsidSect="009F624A">
          <w:endnotePr>
            <w:numFmt w:val="decimal"/>
          </w:endnotePr>
          <w:pgSz w:w="15840" w:h="12240" w:orient="landscape"/>
          <w:pgMar w:top="1440" w:right="1440" w:bottom="1440" w:left="1440" w:header="720" w:footer="720" w:gutter="0"/>
          <w:cols w:space="720"/>
          <w:docGrid w:linePitch="360"/>
        </w:sectPr>
      </w:pPr>
    </w:p>
    <w:tbl>
      <w:tblPr>
        <w:tblW w:w="12691" w:type="dxa"/>
        <w:tblInd w:w="108" w:type="dxa"/>
        <w:tblLook w:val="04A0" w:firstRow="1" w:lastRow="0" w:firstColumn="1" w:lastColumn="0" w:noHBand="0" w:noVBand="1"/>
      </w:tblPr>
      <w:tblGrid>
        <w:gridCol w:w="1586"/>
        <w:gridCol w:w="1261"/>
        <w:gridCol w:w="960"/>
        <w:gridCol w:w="1261"/>
        <w:gridCol w:w="960"/>
        <w:gridCol w:w="1261"/>
        <w:gridCol w:w="960"/>
        <w:gridCol w:w="1261"/>
        <w:gridCol w:w="960"/>
        <w:gridCol w:w="1261"/>
        <w:gridCol w:w="960"/>
      </w:tblGrid>
      <w:tr w:rsidR="00EE4837" w:rsidRPr="007239A6" w14:paraId="50BA11E1" w14:textId="77777777" w:rsidTr="00181ACD">
        <w:trPr>
          <w:trHeight w:hRule="exact" w:val="540"/>
        </w:trPr>
        <w:tc>
          <w:tcPr>
            <w:tcW w:w="12691" w:type="dxa"/>
            <w:gridSpan w:val="11"/>
            <w:tcBorders>
              <w:top w:val="nil"/>
              <w:left w:val="nil"/>
              <w:bottom w:val="single" w:sz="4" w:space="0" w:color="auto"/>
              <w:right w:val="nil"/>
            </w:tcBorders>
            <w:shd w:val="clear" w:color="auto" w:fill="auto"/>
            <w:noWrap/>
            <w:vAlign w:val="bottom"/>
            <w:hideMark/>
          </w:tcPr>
          <w:p w14:paraId="1A8DE5EA" w14:textId="37DCC248" w:rsidR="00EE4837" w:rsidRPr="007239A6" w:rsidRDefault="00EE4837" w:rsidP="005831B2">
            <w:pPr>
              <w:pStyle w:val="Heading4"/>
              <w:rPr>
                <w:lang w:bidi="ar-SA"/>
              </w:rPr>
            </w:pPr>
            <w:bookmarkStart w:id="130" w:name="_Toc433373702"/>
            <w:r w:rsidRPr="007239A6">
              <w:rPr>
                <w:lang w:bidi="ar-SA"/>
              </w:rPr>
              <w:lastRenderedPageBreak/>
              <w:t>Table A3. Local Income Tax Revenue</w:t>
            </w:r>
            <w:bookmarkEnd w:id="130"/>
          </w:p>
        </w:tc>
      </w:tr>
      <w:tr w:rsidR="00EE4837" w:rsidRPr="007239A6" w14:paraId="33EEB65C" w14:textId="77777777" w:rsidTr="00181ACD">
        <w:trPr>
          <w:trHeight w:val="288"/>
        </w:trPr>
        <w:tc>
          <w:tcPr>
            <w:tcW w:w="1586" w:type="dxa"/>
            <w:tcBorders>
              <w:top w:val="single" w:sz="4" w:space="0" w:color="auto"/>
              <w:left w:val="nil"/>
              <w:bottom w:val="single" w:sz="4" w:space="0" w:color="auto"/>
              <w:right w:val="nil"/>
            </w:tcBorders>
            <w:shd w:val="clear" w:color="auto" w:fill="auto"/>
            <w:noWrap/>
            <w:vAlign w:val="bottom"/>
          </w:tcPr>
          <w:p w14:paraId="56E92C3A" w14:textId="3086E0FC" w:rsidR="00EE4837" w:rsidRPr="007239A6" w:rsidRDefault="00EE4837" w:rsidP="00EE4837">
            <w:pPr>
              <w:spacing w:after="0" w:line="240" w:lineRule="auto"/>
              <w:rPr>
                <w:b/>
                <w:color w:val="000000"/>
                <w:sz w:val="20"/>
                <w:szCs w:val="20"/>
                <w:lang w:bidi="ar-SA"/>
              </w:rPr>
            </w:pPr>
          </w:p>
        </w:tc>
        <w:tc>
          <w:tcPr>
            <w:tcW w:w="2221" w:type="dxa"/>
            <w:gridSpan w:val="2"/>
            <w:tcBorders>
              <w:top w:val="single" w:sz="4" w:space="0" w:color="auto"/>
              <w:left w:val="nil"/>
              <w:bottom w:val="single" w:sz="4" w:space="0" w:color="auto"/>
              <w:right w:val="nil"/>
            </w:tcBorders>
            <w:shd w:val="clear" w:color="auto" w:fill="auto"/>
            <w:noWrap/>
            <w:vAlign w:val="bottom"/>
          </w:tcPr>
          <w:p w14:paraId="5B7305CA" w14:textId="18C7488E" w:rsidR="00EE4837" w:rsidRPr="007239A6" w:rsidRDefault="00EE4837" w:rsidP="00EE4837">
            <w:pPr>
              <w:spacing w:after="0" w:line="240" w:lineRule="auto"/>
              <w:jc w:val="center"/>
              <w:rPr>
                <w:b/>
                <w:color w:val="000000"/>
                <w:sz w:val="20"/>
                <w:szCs w:val="20"/>
                <w:lang w:bidi="ar-SA"/>
              </w:rPr>
            </w:pPr>
            <w:r w:rsidRPr="007239A6">
              <w:rPr>
                <w:b/>
                <w:color w:val="000000"/>
                <w:sz w:val="20"/>
                <w:szCs w:val="20"/>
                <w:lang w:bidi="ar-SA"/>
              </w:rPr>
              <w:t>CT AGI</w:t>
            </w:r>
          </w:p>
        </w:tc>
        <w:tc>
          <w:tcPr>
            <w:tcW w:w="2221" w:type="dxa"/>
            <w:gridSpan w:val="2"/>
            <w:tcBorders>
              <w:top w:val="single" w:sz="4" w:space="0" w:color="auto"/>
              <w:left w:val="nil"/>
              <w:bottom w:val="single" w:sz="4" w:space="0" w:color="auto"/>
              <w:right w:val="nil"/>
            </w:tcBorders>
            <w:shd w:val="clear" w:color="auto" w:fill="auto"/>
            <w:noWrap/>
            <w:vAlign w:val="bottom"/>
          </w:tcPr>
          <w:p w14:paraId="54A9DD3F" w14:textId="176FFA78" w:rsidR="00EE4837" w:rsidRPr="007239A6" w:rsidRDefault="00EE4837" w:rsidP="00EE4837">
            <w:pPr>
              <w:spacing w:after="0" w:line="240" w:lineRule="auto"/>
              <w:jc w:val="center"/>
              <w:rPr>
                <w:b/>
                <w:color w:val="000000"/>
                <w:sz w:val="20"/>
                <w:szCs w:val="20"/>
                <w:lang w:bidi="ar-SA"/>
              </w:rPr>
            </w:pPr>
            <w:r w:rsidRPr="007239A6">
              <w:rPr>
                <w:b/>
                <w:color w:val="000000"/>
                <w:sz w:val="20"/>
                <w:szCs w:val="20"/>
                <w:lang w:bidi="ar-SA"/>
              </w:rPr>
              <w:t>CT Income Tax Liability</w:t>
            </w:r>
          </w:p>
        </w:tc>
        <w:tc>
          <w:tcPr>
            <w:tcW w:w="2221" w:type="dxa"/>
            <w:gridSpan w:val="2"/>
            <w:tcBorders>
              <w:top w:val="single" w:sz="4" w:space="0" w:color="auto"/>
              <w:left w:val="nil"/>
              <w:bottom w:val="single" w:sz="4" w:space="0" w:color="auto"/>
              <w:right w:val="nil"/>
            </w:tcBorders>
            <w:shd w:val="clear" w:color="auto" w:fill="auto"/>
            <w:noWrap/>
            <w:vAlign w:val="bottom"/>
          </w:tcPr>
          <w:p w14:paraId="082F1C71" w14:textId="17AFA299" w:rsidR="00EE4837" w:rsidRPr="007239A6" w:rsidRDefault="00EE4837" w:rsidP="000A539A">
            <w:pPr>
              <w:spacing w:after="0" w:line="240" w:lineRule="auto"/>
              <w:jc w:val="center"/>
              <w:rPr>
                <w:b/>
                <w:color w:val="000000"/>
                <w:sz w:val="20"/>
                <w:szCs w:val="20"/>
                <w:lang w:bidi="ar-SA"/>
              </w:rPr>
            </w:pPr>
            <w:r w:rsidRPr="007239A6">
              <w:rPr>
                <w:b/>
                <w:color w:val="000000"/>
                <w:sz w:val="20"/>
                <w:szCs w:val="20"/>
                <w:lang w:bidi="ar-SA"/>
              </w:rPr>
              <w:t>Earnings by Place of Work</w:t>
            </w:r>
          </w:p>
        </w:tc>
        <w:tc>
          <w:tcPr>
            <w:tcW w:w="2221" w:type="dxa"/>
            <w:gridSpan w:val="2"/>
            <w:tcBorders>
              <w:top w:val="single" w:sz="4" w:space="0" w:color="auto"/>
              <w:left w:val="nil"/>
              <w:bottom w:val="single" w:sz="4" w:space="0" w:color="auto"/>
              <w:right w:val="nil"/>
            </w:tcBorders>
            <w:shd w:val="clear" w:color="auto" w:fill="auto"/>
            <w:noWrap/>
            <w:vAlign w:val="bottom"/>
          </w:tcPr>
          <w:p w14:paraId="72FBC9D3" w14:textId="53ED1912" w:rsidR="00EE4837" w:rsidRPr="007239A6" w:rsidRDefault="00EE4837" w:rsidP="000A539A">
            <w:pPr>
              <w:spacing w:after="0" w:line="240" w:lineRule="auto"/>
              <w:jc w:val="center"/>
              <w:rPr>
                <w:b/>
                <w:color w:val="000000"/>
                <w:sz w:val="20"/>
                <w:szCs w:val="20"/>
                <w:lang w:bidi="ar-SA"/>
              </w:rPr>
            </w:pPr>
            <w:r w:rsidRPr="007239A6">
              <w:rPr>
                <w:b/>
                <w:color w:val="000000"/>
                <w:sz w:val="20"/>
                <w:szCs w:val="20"/>
                <w:lang w:bidi="ar-SA"/>
              </w:rPr>
              <w:t>Earnings by Place of Residence</w:t>
            </w:r>
          </w:p>
        </w:tc>
        <w:tc>
          <w:tcPr>
            <w:tcW w:w="2221" w:type="dxa"/>
            <w:gridSpan w:val="2"/>
            <w:tcBorders>
              <w:top w:val="single" w:sz="4" w:space="0" w:color="auto"/>
              <w:left w:val="nil"/>
              <w:bottom w:val="single" w:sz="4" w:space="0" w:color="auto"/>
              <w:right w:val="nil"/>
            </w:tcBorders>
            <w:shd w:val="clear" w:color="auto" w:fill="auto"/>
            <w:noWrap/>
            <w:vAlign w:val="bottom"/>
          </w:tcPr>
          <w:p w14:paraId="3B54813C" w14:textId="10A2213D" w:rsidR="00EE4837" w:rsidRPr="007239A6" w:rsidRDefault="00EE4837" w:rsidP="000A539A">
            <w:pPr>
              <w:spacing w:after="0" w:line="240" w:lineRule="auto"/>
              <w:jc w:val="center"/>
              <w:rPr>
                <w:b/>
                <w:color w:val="000000"/>
                <w:sz w:val="20"/>
                <w:szCs w:val="20"/>
                <w:lang w:bidi="ar-SA"/>
              </w:rPr>
            </w:pPr>
            <w:r w:rsidRPr="007239A6">
              <w:rPr>
                <w:b/>
                <w:color w:val="000000"/>
                <w:sz w:val="20"/>
                <w:szCs w:val="20"/>
                <w:lang w:bidi="ar-SA"/>
              </w:rPr>
              <w:t>Earnings Split 50/50</w:t>
            </w:r>
          </w:p>
        </w:tc>
      </w:tr>
      <w:tr w:rsidR="00EE4837" w:rsidRPr="007239A6" w14:paraId="5B96E7C3" w14:textId="77777777" w:rsidTr="00181ACD">
        <w:trPr>
          <w:trHeight w:val="288"/>
        </w:trPr>
        <w:tc>
          <w:tcPr>
            <w:tcW w:w="1586" w:type="dxa"/>
            <w:tcBorders>
              <w:top w:val="single" w:sz="4" w:space="0" w:color="auto"/>
              <w:left w:val="nil"/>
              <w:bottom w:val="single" w:sz="4" w:space="0" w:color="auto"/>
              <w:right w:val="nil"/>
            </w:tcBorders>
            <w:shd w:val="clear" w:color="auto" w:fill="auto"/>
            <w:noWrap/>
            <w:vAlign w:val="bottom"/>
          </w:tcPr>
          <w:p w14:paraId="466F4A86" w14:textId="4171FECF" w:rsidR="00EE4837" w:rsidRPr="007239A6" w:rsidRDefault="009E7366" w:rsidP="00EE4837">
            <w:pPr>
              <w:spacing w:after="0" w:line="240" w:lineRule="auto"/>
              <w:rPr>
                <w:b/>
                <w:color w:val="000000"/>
                <w:sz w:val="20"/>
                <w:szCs w:val="20"/>
                <w:lang w:bidi="ar-SA"/>
              </w:rPr>
            </w:pPr>
            <w:r w:rsidRPr="007239A6">
              <w:rPr>
                <w:b/>
                <w:color w:val="000000"/>
                <w:sz w:val="20"/>
                <w:szCs w:val="20"/>
                <w:lang w:bidi="ar-SA"/>
              </w:rPr>
              <w:t>Town</w:t>
            </w:r>
          </w:p>
        </w:tc>
        <w:tc>
          <w:tcPr>
            <w:tcW w:w="1261" w:type="dxa"/>
            <w:tcBorders>
              <w:top w:val="single" w:sz="4" w:space="0" w:color="auto"/>
              <w:left w:val="nil"/>
              <w:bottom w:val="single" w:sz="4" w:space="0" w:color="auto"/>
              <w:right w:val="nil"/>
            </w:tcBorders>
            <w:shd w:val="clear" w:color="auto" w:fill="auto"/>
            <w:noWrap/>
            <w:vAlign w:val="bottom"/>
          </w:tcPr>
          <w:p w14:paraId="368AD850" w14:textId="47461462" w:rsidR="00EE4837" w:rsidRPr="007239A6" w:rsidRDefault="00EE4837" w:rsidP="00EE4837">
            <w:pPr>
              <w:spacing w:after="0" w:line="240" w:lineRule="auto"/>
              <w:jc w:val="right"/>
              <w:rPr>
                <w:b/>
                <w:color w:val="000000"/>
                <w:sz w:val="20"/>
                <w:szCs w:val="20"/>
                <w:lang w:bidi="ar-SA"/>
              </w:rPr>
            </w:pPr>
            <w:r w:rsidRPr="007239A6">
              <w:rPr>
                <w:b/>
                <w:color w:val="000000"/>
                <w:sz w:val="20"/>
                <w:szCs w:val="20"/>
                <w:lang w:bidi="ar-SA"/>
              </w:rPr>
              <w:t>Total ($1,000)</w:t>
            </w:r>
          </w:p>
        </w:tc>
        <w:tc>
          <w:tcPr>
            <w:tcW w:w="960" w:type="dxa"/>
            <w:tcBorders>
              <w:top w:val="single" w:sz="4" w:space="0" w:color="auto"/>
              <w:left w:val="nil"/>
              <w:bottom w:val="single" w:sz="4" w:space="0" w:color="auto"/>
              <w:right w:val="nil"/>
            </w:tcBorders>
            <w:shd w:val="clear" w:color="auto" w:fill="auto"/>
            <w:noWrap/>
            <w:vAlign w:val="bottom"/>
          </w:tcPr>
          <w:p w14:paraId="0799428B" w14:textId="6688C6B2" w:rsidR="00EE4837" w:rsidRPr="007239A6" w:rsidRDefault="00EE4837" w:rsidP="00EE4837">
            <w:pPr>
              <w:spacing w:after="0" w:line="240" w:lineRule="auto"/>
              <w:jc w:val="right"/>
              <w:rPr>
                <w:b/>
                <w:color w:val="000000"/>
                <w:sz w:val="20"/>
                <w:szCs w:val="20"/>
                <w:lang w:bidi="ar-SA"/>
              </w:rPr>
            </w:pPr>
            <w:r w:rsidRPr="007239A6">
              <w:rPr>
                <w:b/>
                <w:color w:val="000000"/>
                <w:sz w:val="20"/>
                <w:szCs w:val="20"/>
                <w:lang w:bidi="ar-SA"/>
              </w:rPr>
              <w:t>Per Capita</w:t>
            </w:r>
          </w:p>
        </w:tc>
        <w:tc>
          <w:tcPr>
            <w:tcW w:w="1261" w:type="dxa"/>
            <w:tcBorders>
              <w:top w:val="single" w:sz="4" w:space="0" w:color="auto"/>
              <w:left w:val="nil"/>
              <w:bottom w:val="single" w:sz="4" w:space="0" w:color="auto"/>
              <w:right w:val="nil"/>
            </w:tcBorders>
            <w:shd w:val="clear" w:color="auto" w:fill="auto"/>
            <w:noWrap/>
            <w:vAlign w:val="bottom"/>
          </w:tcPr>
          <w:p w14:paraId="1D9A7AEE" w14:textId="6F3ADA10" w:rsidR="00EE4837" w:rsidRPr="007239A6" w:rsidRDefault="00EE4837" w:rsidP="00EE4837">
            <w:pPr>
              <w:spacing w:after="0" w:line="240" w:lineRule="auto"/>
              <w:jc w:val="right"/>
              <w:rPr>
                <w:b/>
                <w:color w:val="000000"/>
                <w:sz w:val="20"/>
                <w:szCs w:val="20"/>
                <w:lang w:bidi="ar-SA"/>
              </w:rPr>
            </w:pPr>
            <w:r w:rsidRPr="007239A6">
              <w:rPr>
                <w:b/>
                <w:color w:val="000000"/>
                <w:sz w:val="20"/>
                <w:szCs w:val="20"/>
                <w:lang w:bidi="ar-SA"/>
              </w:rPr>
              <w:t>Total ($1,000)</w:t>
            </w:r>
          </w:p>
        </w:tc>
        <w:tc>
          <w:tcPr>
            <w:tcW w:w="960" w:type="dxa"/>
            <w:tcBorders>
              <w:top w:val="single" w:sz="4" w:space="0" w:color="auto"/>
              <w:left w:val="nil"/>
              <w:bottom w:val="single" w:sz="4" w:space="0" w:color="auto"/>
              <w:right w:val="nil"/>
            </w:tcBorders>
            <w:shd w:val="clear" w:color="auto" w:fill="auto"/>
            <w:noWrap/>
            <w:vAlign w:val="bottom"/>
          </w:tcPr>
          <w:p w14:paraId="4A6ACB49" w14:textId="3FCC86A2" w:rsidR="00EE4837" w:rsidRPr="007239A6" w:rsidRDefault="00EE4837" w:rsidP="00EE4837">
            <w:pPr>
              <w:spacing w:after="0" w:line="240" w:lineRule="auto"/>
              <w:jc w:val="right"/>
              <w:rPr>
                <w:b/>
                <w:color w:val="000000"/>
                <w:sz w:val="20"/>
                <w:szCs w:val="20"/>
                <w:lang w:bidi="ar-SA"/>
              </w:rPr>
            </w:pPr>
            <w:r w:rsidRPr="007239A6">
              <w:rPr>
                <w:b/>
                <w:color w:val="000000"/>
                <w:sz w:val="20"/>
                <w:szCs w:val="20"/>
                <w:lang w:bidi="ar-SA"/>
              </w:rPr>
              <w:t>Per Capita</w:t>
            </w:r>
          </w:p>
        </w:tc>
        <w:tc>
          <w:tcPr>
            <w:tcW w:w="1261" w:type="dxa"/>
            <w:tcBorders>
              <w:top w:val="single" w:sz="4" w:space="0" w:color="auto"/>
              <w:left w:val="nil"/>
              <w:bottom w:val="single" w:sz="4" w:space="0" w:color="auto"/>
              <w:right w:val="nil"/>
            </w:tcBorders>
            <w:shd w:val="clear" w:color="auto" w:fill="auto"/>
            <w:noWrap/>
            <w:vAlign w:val="bottom"/>
          </w:tcPr>
          <w:p w14:paraId="7E058CA7" w14:textId="6E13D5C8" w:rsidR="00EE4837" w:rsidRPr="007239A6" w:rsidRDefault="00EE4837" w:rsidP="00EE4837">
            <w:pPr>
              <w:spacing w:after="0" w:line="240" w:lineRule="auto"/>
              <w:jc w:val="right"/>
              <w:rPr>
                <w:b/>
                <w:color w:val="000000"/>
                <w:sz w:val="20"/>
                <w:szCs w:val="20"/>
                <w:lang w:bidi="ar-SA"/>
              </w:rPr>
            </w:pPr>
            <w:r w:rsidRPr="007239A6">
              <w:rPr>
                <w:b/>
                <w:color w:val="000000"/>
                <w:sz w:val="20"/>
                <w:szCs w:val="20"/>
                <w:lang w:bidi="ar-SA"/>
              </w:rPr>
              <w:t>Total ($1,000)</w:t>
            </w:r>
          </w:p>
        </w:tc>
        <w:tc>
          <w:tcPr>
            <w:tcW w:w="960" w:type="dxa"/>
            <w:tcBorders>
              <w:top w:val="single" w:sz="4" w:space="0" w:color="auto"/>
              <w:left w:val="nil"/>
              <w:bottom w:val="single" w:sz="4" w:space="0" w:color="auto"/>
              <w:right w:val="nil"/>
            </w:tcBorders>
            <w:shd w:val="clear" w:color="auto" w:fill="auto"/>
            <w:noWrap/>
            <w:vAlign w:val="bottom"/>
          </w:tcPr>
          <w:p w14:paraId="35F1DA68" w14:textId="09FD3FCA" w:rsidR="00EE4837" w:rsidRPr="007239A6" w:rsidRDefault="00EE4837" w:rsidP="00EE4837">
            <w:pPr>
              <w:spacing w:after="0" w:line="240" w:lineRule="auto"/>
              <w:jc w:val="right"/>
              <w:rPr>
                <w:b/>
                <w:color w:val="000000"/>
                <w:sz w:val="20"/>
                <w:szCs w:val="20"/>
                <w:lang w:bidi="ar-SA"/>
              </w:rPr>
            </w:pPr>
            <w:r w:rsidRPr="007239A6">
              <w:rPr>
                <w:b/>
                <w:color w:val="000000"/>
                <w:sz w:val="20"/>
                <w:szCs w:val="20"/>
                <w:lang w:bidi="ar-SA"/>
              </w:rPr>
              <w:t>Per Capita</w:t>
            </w:r>
          </w:p>
        </w:tc>
        <w:tc>
          <w:tcPr>
            <w:tcW w:w="1261" w:type="dxa"/>
            <w:tcBorders>
              <w:top w:val="single" w:sz="4" w:space="0" w:color="auto"/>
              <w:left w:val="nil"/>
              <w:bottom w:val="single" w:sz="4" w:space="0" w:color="auto"/>
              <w:right w:val="nil"/>
            </w:tcBorders>
            <w:shd w:val="clear" w:color="auto" w:fill="auto"/>
            <w:noWrap/>
            <w:vAlign w:val="bottom"/>
          </w:tcPr>
          <w:p w14:paraId="1A548573" w14:textId="360B999B" w:rsidR="00EE4837" w:rsidRPr="007239A6" w:rsidRDefault="00EE4837" w:rsidP="00EE4837">
            <w:pPr>
              <w:spacing w:after="0" w:line="240" w:lineRule="auto"/>
              <w:jc w:val="right"/>
              <w:rPr>
                <w:b/>
                <w:color w:val="000000"/>
                <w:sz w:val="20"/>
                <w:szCs w:val="20"/>
                <w:lang w:bidi="ar-SA"/>
              </w:rPr>
            </w:pPr>
            <w:r w:rsidRPr="007239A6">
              <w:rPr>
                <w:b/>
                <w:color w:val="000000"/>
                <w:sz w:val="20"/>
                <w:szCs w:val="20"/>
                <w:lang w:bidi="ar-SA"/>
              </w:rPr>
              <w:t>Total ($1,000)</w:t>
            </w:r>
          </w:p>
        </w:tc>
        <w:tc>
          <w:tcPr>
            <w:tcW w:w="960" w:type="dxa"/>
            <w:tcBorders>
              <w:top w:val="single" w:sz="4" w:space="0" w:color="auto"/>
              <w:left w:val="nil"/>
              <w:bottom w:val="single" w:sz="4" w:space="0" w:color="auto"/>
              <w:right w:val="nil"/>
            </w:tcBorders>
            <w:shd w:val="clear" w:color="auto" w:fill="auto"/>
            <w:noWrap/>
            <w:vAlign w:val="bottom"/>
          </w:tcPr>
          <w:p w14:paraId="37905310" w14:textId="76109BE2" w:rsidR="00EE4837" w:rsidRPr="007239A6" w:rsidRDefault="00EE4837" w:rsidP="00EE4837">
            <w:pPr>
              <w:spacing w:after="0" w:line="240" w:lineRule="auto"/>
              <w:jc w:val="right"/>
              <w:rPr>
                <w:b/>
                <w:color w:val="000000"/>
                <w:sz w:val="20"/>
                <w:szCs w:val="20"/>
                <w:lang w:bidi="ar-SA"/>
              </w:rPr>
            </w:pPr>
            <w:r w:rsidRPr="007239A6">
              <w:rPr>
                <w:b/>
                <w:color w:val="000000"/>
                <w:sz w:val="20"/>
                <w:szCs w:val="20"/>
                <w:lang w:bidi="ar-SA"/>
              </w:rPr>
              <w:t>Per Capita</w:t>
            </w:r>
          </w:p>
        </w:tc>
        <w:tc>
          <w:tcPr>
            <w:tcW w:w="1261" w:type="dxa"/>
            <w:tcBorders>
              <w:top w:val="single" w:sz="4" w:space="0" w:color="auto"/>
              <w:left w:val="nil"/>
              <w:bottom w:val="single" w:sz="4" w:space="0" w:color="auto"/>
              <w:right w:val="nil"/>
            </w:tcBorders>
            <w:shd w:val="clear" w:color="auto" w:fill="auto"/>
            <w:noWrap/>
            <w:vAlign w:val="bottom"/>
          </w:tcPr>
          <w:p w14:paraId="36CF4ED3" w14:textId="611FF4A5" w:rsidR="00EE4837" w:rsidRPr="007239A6" w:rsidRDefault="00EE4837" w:rsidP="00EE4837">
            <w:pPr>
              <w:spacing w:after="0" w:line="240" w:lineRule="auto"/>
              <w:jc w:val="right"/>
              <w:rPr>
                <w:b/>
                <w:color w:val="000000"/>
                <w:sz w:val="20"/>
                <w:szCs w:val="20"/>
                <w:lang w:bidi="ar-SA"/>
              </w:rPr>
            </w:pPr>
            <w:r w:rsidRPr="007239A6">
              <w:rPr>
                <w:b/>
                <w:color w:val="000000"/>
                <w:sz w:val="20"/>
                <w:szCs w:val="20"/>
                <w:lang w:bidi="ar-SA"/>
              </w:rPr>
              <w:t>Total ($1,000)</w:t>
            </w:r>
          </w:p>
        </w:tc>
        <w:tc>
          <w:tcPr>
            <w:tcW w:w="960" w:type="dxa"/>
            <w:tcBorders>
              <w:top w:val="single" w:sz="4" w:space="0" w:color="auto"/>
              <w:left w:val="nil"/>
              <w:bottom w:val="single" w:sz="4" w:space="0" w:color="auto"/>
              <w:right w:val="nil"/>
            </w:tcBorders>
            <w:shd w:val="clear" w:color="auto" w:fill="auto"/>
            <w:noWrap/>
            <w:vAlign w:val="bottom"/>
          </w:tcPr>
          <w:p w14:paraId="4A0FCF77" w14:textId="21F94CFD" w:rsidR="00EE4837" w:rsidRPr="007239A6" w:rsidRDefault="00EE4837" w:rsidP="00EE4837">
            <w:pPr>
              <w:spacing w:after="0" w:line="240" w:lineRule="auto"/>
              <w:jc w:val="right"/>
              <w:rPr>
                <w:b/>
                <w:color w:val="000000"/>
                <w:sz w:val="20"/>
                <w:szCs w:val="20"/>
                <w:lang w:bidi="ar-SA"/>
              </w:rPr>
            </w:pPr>
            <w:r w:rsidRPr="007239A6">
              <w:rPr>
                <w:b/>
                <w:color w:val="000000"/>
                <w:sz w:val="20"/>
                <w:szCs w:val="20"/>
                <w:lang w:bidi="ar-SA"/>
              </w:rPr>
              <w:t>Per Capita</w:t>
            </w:r>
          </w:p>
        </w:tc>
      </w:tr>
      <w:tr w:rsidR="00EE4837" w:rsidRPr="007239A6" w14:paraId="1B66E2FB" w14:textId="77777777" w:rsidTr="00181ACD">
        <w:trPr>
          <w:trHeight w:val="288"/>
        </w:trPr>
        <w:tc>
          <w:tcPr>
            <w:tcW w:w="1586" w:type="dxa"/>
            <w:tcBorders>
              <w:top w:val="single" w:sz="4" w:space="0" w:color="auto"/>
              <w:left w:val="nil"/>
              <w:bottom w:val="nil"/>
              <w:right w:val="nil"/>
            </w:tcBorders>
            <w:shd w:val="clear" w:color="auto" w:fill="auto"/>
            <w:noWrap/>
            <w:vAlign w:val="bottom"/>
            <w:hideMark/>
          </w:tcPr>
          <w:p w14:paraId="0D4CD6B5" w14:textId="78B06397" w:rsidR="00EE4837" w:rsidRPr="007239A6" w:rsidRDefault="00EE4837" w:rsidP="00EE4837">
            <w:pPr>
              <w:spacing w:after="0" w:line="240" w:lineRule="auto"/>
              <w:rPr>
                <w:color w:val="000000"/>
                <w:sz w:val="20"/>
                <w:szCs w:val="20"/>
                <w:lang w:bidi="ar-SA"/>
              </w:rPr>
            </w:pPr>
            <w:r w:rsidRPr="007239A6">
              <w:rPr>
                <w:color w:val="000000"/>
                <w:sz w:val="20"/>
                <w:szCs w:val="20"/>
                <w:lang w:bidi="ar-SA"/>
              </w:rPr>
              <w:t>Andover</w:t>
            </w:r>
          </w:p>
        </w:tc>
        <w:tc>
          <w:tcPr>
            <w:tcW w:w="1261" w:type="dxa"/>
            <w:tcBorders>
              <w:top w:val="single" w:sz="4" w:space="0" w:color="auto"/>
              <w:left w:val="nil"/>
              <w:bottom w:val="nil"/>
              <w:right w:val="nil"/>
            </w:tcBorders>
            <w:shd w:val="clear" w:color="auto" w:fill="auto"/>
            <w:noWrap/>
            <w:vAlign w:val="bottom"/>
            <w:hideMark/>
          </w:tcPr>
          <w:p w14:paraId="57D59BC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889.2</w:t>
            </w:r>
          </w:p>
        </w:tc>
        <w:tc>
          <w:tcPr>
            <w:tcW w:w="960" w:type="dxa"/>
            <w:tcBorders>
              <w:top w:val="single" w:sz="4" w:space="0" w:color="auto"/>
              <w:left w:val="nil"/>
              <w:bottom w:val="nil"/>
              <w:right w:val="nil"/>
            </w:tcBorders>
            <w:shd w:val="clear" w:color="auto" w:fill="auto"/>
            <w:noWrap/>
            <w:vAlign w:val="bottom"/>
            <w:hideMark/>
          </w:tcPr>
          <w:p w14:paraId="38C6A3D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287</w:t>
            </w:r>
          </w:p>
        </w:tc>
        <w:tc>
          <w:tcPr>
            <w:tcW w:w="1261" w:type="dxa"/>
            <w:tcBorders>
              <w:top w:val="single" w:sz="4" w:space="0" w:color="auto"/>
              <w:left w:val="nil"/>
              <w:bottom w:val="nil"/>
              <w:right w:val="nil"/>
            </w:tcBorders>
            <w:shd w:val="clear" w:color="auto" w:fill="auto"/>
            <w:noWrap/>
            <w:vAlign w:val="bottom"/>
            <w:hideMark/>
          </w:tcPr>
          <w:p w14:paraId="378975C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913.3</w:t>
            </w:r>
          </w:p>
        </w:tc>
        <w:tc>
          <w:tcPr>
            <w:tcW w:w="960" w:type="dxa"/>
            <w:tcBorders>
              <w:top w:val="single" w:sz="4" w:space="0" w:color="auto"/>
              <w:left w:val="nil"/>
              <w:bottom w:val="nil"/>
              <w:right w:val="nil"/>
            </w:tcBorders>
            <w:shd w:val="clear" w:color="auto" w:fill="auto"/>
            <w:noWrap/>
            <w:vAlign w:val="bottom"/>
            <w:hideMark/>
          </w:tcPr>
          <w:p w14:paraId="2F78565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295</w:t>
            </w:r>
          </w:p>
        </w:tc>
        <w:tc>
          <w:tcPr>
            <w:tcW w:w="1261" w:type="dxa"/>
            <w:tcBorders>
              <w:top w:val="single" w:sz="4" w:space="0" w:color="auto"/>
              <w:left w:val="nil"/>
              <w:bottom w:val="nil"/>
              <w:right w:val="nil"/>
            </w:tcBorders>
            <w:shd w:val="clear" w:color="auto" w:fill="auto"/>
            <w:noWrap/>
            <w:vAlign w:val="bottom"/>
            <w:hideMark/>
          </w:tcPr>
          <w:p w14:paraId="36953BE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155.8</w:t>
            </w:r>
          </w:p>
        </w:tc>
        <w:tc>
          <w:tcPr>
            <w:tcW w:w="960" w:type="dxa"/>
            <w:tcBorders>
              <w:top w:val="single" w:sz="4" w:space="0" w:color="auto"/>
              <w:left w:val="nil"/>
              <w:bottom w:val="nil"/>
              <w:right w:val="nil"/>
            </w:tcBorders>
            <w:shd w:val="clear" w:color="auto" w:fill="auto"/>
            <w:noWrap/>
            <w:vAlign w:val="bottom"/>
            <w:hideMark/>
          </w:tcPr>
          <w:p w14:paraId="1627967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50</w:t>
            </w:r>
          </w:p>
        </w:tc>
        <w:tc>
          <w:tcPr>
            <w:tcW w:w="1261" w:type="dxa"/>
            <w:tcBorders>
              <w:top w:val="single" w:sz="4" w:space="0" w:color="auto"/>
              <w:left w:val="nil"/>
              <w:bottom w:val="nil"/>
              <w:right w:val="nil"/>
            </w:tcBorders>
            <w:shd w:val="clear" w:color="auto" w:fill="auto"/>
            <w:noWrap/>
            <w:vAlign w:val="bottom"/>
            <w:hideMark/>
          </w:tcPr>
          <w:p w14:paraId="07C2FCC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1,131.5</w:t>
            </w:r>
          </w:p>
        </w:tc>
        <w:tc>
          <w:tcPr>
            <w:tcW w:w="960" w:type="dxa"/>
            <w:tcBorders>
              <w:top w:val="single" w:sz="4" w:space="0" w:color="auto"/>
              <w:left w:val="nil"/>
              <w:bottom w:val="nil"/>
              <w:right w:val="nil"/>
            </w:tcBorders>
            <w:shd w:val="clear" w:color="auto" w:fill="auto"/>
            <w:noWrap/>
            <w:vAlign w:val="bottom"/>
            <w:hideMark/>
          </w:tcPr>
          <w:p w14:paraId="5E688A6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366</w:t>
            </w:r>
          </w:p>
        </w:tc>
        <w:tc>
          <w:tcPr>
            <w:tcW w:w="1261" w:type="dxa"/>
            <w:tcBorders>
              <w:top w:val="single" w:sz="4" w:space="0" w:color="auto"/>
              <w:left w:val="nil"/>
              <w:bottom w:val="nil"/>
              <w:right w:val="nil"/>
            </w:tcBorders>
            <w:shd w:val="clear" w:color="auto" w:fill="auto"/>
            <w:noWrap/>
            <w:vAlign w:val="bottom"/>
            <w:hideMark/>
          </w:tcPr>
          <w:p w14:paraId="6B92740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610.2</w:t>
            </w:r>
          </w:p>
        </w:tc>
        <w:tc>
          <w:tcPr>
            <w:tcW w:w="960" w:type="dxa"/>
            <w:tcBorders>
              <w:top w:val="single" w:sz="4" w:space="0" w:color="auto"/>
              <w:left w:val="nil"/>
              <w:bottom w:val="nil"/>
              <w:right w:val="nil"/>
            </w:tcBorders>
            <w:shd w:val="clear" w:color="auto" w:fill="auto"/>
            <w:noWrap/>
            <w:vAlign w:val="bottom"/>
            <w:hideMark/>
          </w:tcPr>
          <w:p w14:paraId="6C79E58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197</w:t>
            </w:r>
          </w:p>
        </w:tc>
      </w:tr>
      <w:tr w:rsidR="00EE4837" w:rsidRPr="007239A6" w14:paraId="02050896" w14:textId="77777777" w:rsidTr="00181ACD">
        <w:trPr>
          <w:trHeight w:val="288"/>
        </w:trPr>
        <w:tc>
          <w:tcPr>
            <w:tcW w:w="1586" w:type="dxa"/>
            <w:tcBorders>
              <w:top w:val="nil"/>
              <w:left w:val="nil"/>
              <w:bottom w:val="nil"/>
              <w:right w:val="nil"/>
            </w:tcBorders>
            <w:shd w:val="clear" w:color="auto" w:fill="auto"/>
            <w:noWrap/>
            <w:vAlign w:val="bottom"/>
            <w:hideMark/>
          </w:tcPr>
          <w:p w14:paraId="551E6B8F"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Ansonia</w:t>
            </w:r>
          </w:p>
        </w:tc>
        <w:tc>
          <w:tcPr>
            <w:tcW w:w="1261" w:type="dxa"/>
            <w:tcBorders>
              <w:top w:val="nil"/>
              <w:left w:val="nil"/>
              <w:bottom w:val="nil"/>
              <w:right w:val="nil"/>
            </w:tcBorders>
            <w:shd w:val="clear" w:color="auto" w:fill="auto"/>
            <w:noWrap/>
            <w:vAlign w:val="bottom"/>
            <w:hideMark/>
          </w:tcPr>
          <w:p w14:paraId="0B11258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2,996.2</w:t>
            </w:r>
          </w:p>
        </w:tc>
        <w:tc>
          <w:tcPr>
            <w:tcW w:w="960" w:type="dxa"/>
            <w:tcBorders>
              <w:top w:val="nil"/>
              <w:left w:val="nil"/>
              <w:bottom w:val="nil"/>
              <w:right w:val="nil"/>
            </w:tcBorders>
            <w:shd w:val="clear" w:color="auto" w:fill="auto"/>
            <w:noWrap/>
            <w:vAlign w:val="bottom"/>
            <w:hideMark/>
          </w:tcPr>
          <w:p w14:paraId="2BD9074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w:t>
            </w:r>
          </w:p>
        </w:tc>
        <w:tc>
          <w:tcPr>
            <w:tcW w:w="1261" w:type="dxa"/>
            <w:tcBorders>
              <w:top w:val="nil"/>
              <w:left w:val="nil"/>
              <w:bottom w:val="nil"/>
              <w:right w:val="nil"/>
            </w:tcBorders>
            <w:shd w:val="clear" w:color="auto" w:fill="auto"/>
            <w:noWrap/>
            <w:vAlign w:val="bottom"/>
            <w:hideMark/>
          </w:tcPr>
          <w:p w14:paraId="3FF81B5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2,404.1</w:t>
            </w:r>
          </w:p>
        </w:tc>
        <w:tc>
          <w:tcPr>
            <w:tcW w:w="960" w:type="dxa"/>
            <w:tcBorders>
              <w:top w:val="nil"/>
              <w:left w:val="nil"/>
              <w:bottom w:val="nil"/>
              <w:right w:val="nil"/>
            </w:tcBorders>
            <w:shd w:val="clear" w:color="auto" w:fill="auto"/>
            <w:noWrap/>
            <w:vAlign w:val="bottom"/>
            <w:hideMark/>
          </w:tcPr>
          <w:p w14:paraId="2C3D7A1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125</w:t>
            </w:r>
          </w:p>
        </w:tc>
        <w:tc>
          <w:tcPr>
            <w:tcW w:w="1261" w:type="dxa"/>
            <w:tcBorders>
              <w:top w:val="nil"/>
              <w:left w:val="nil"/>
              <w:bottom w:val="nil"/>
              <w:right w:val="nil"/>
            </w:tcBorders>
            <w:shd w:val="clear" w:color="auto" w:fill="auto"/>
            <w:noWrap/>
            <w:vAlign w:val="bottom"/>
            <w:hideMark/>
          </w:tcPr>
          <w:p w14:paraId="4D81F25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1,364.4</w:t>
            </w:r>
          </w:p>
        </w:tc>
        <w:tc>
          <w:tcPr>
            <w:tcW w:w="960" w:type="dxa"/>
            <w:tcBorders>
              <w:top w:val="nil"/>
              <w:left w:val="nil"/>
              <w:bottom w:val="nil"/>
              <w:right w:val="nil"/>
            </w:tcBorders>
            <w:shd w:val="clear" w:color="auto" w:fill="auto"/>
            <w:noWrap/>
            <w:vAlign w:val="bottom"/>
            <w:hideMark/>
          </w:tcPr>
          <w:p w14:paraId="0D3AC49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71</w:t>
            </w:r>
          </w:p>
        </w:tc>
        <w:tc>
          <w:tcPr>
            <w:tcW w:w="1261" w:type="dxa"/>
            <w:tcBorders>
              <w:top w:val="nil"/>
              <w:left w:val="nil"/>
              <w:bottom w:val="nil"/>
              <w:right w:val="nil"/>
            </w:tcBorders>
            <w:shd w:val="clear" w:color="auto" w:fill="auto"/>
            <w:noWrap/>
            <w:vAlign w:val="bottom"/>
            <w:hideMark/>
          </w:tcPr>
          <w:p w14:paraId="22952F5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4,160.7</w:t>
            </w:r>
          </w:p>
        </w:tc>
        <w:tc>
          <w:tcPr>
            <w:tcW w:w="960" w:type="dxa"/>
            <w:tcBorders>
              <w:top w:val="nil"/>
              <w:left w:val="nil"/>
              <w:bottom w:val="nil"/>
              <w:right w:val="nil"/>
            </w:tcBorders>
            <w:shd w:val="clear" w:color="auto" w:fill="auto"/>
            <w:noWrap/>
            <w:vAlign w:val="bottom"/>
            <w:hideMark/>
          </w:tcPr>
          <w:p w14:paraId="5046364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217</w:t>
            </w:r>
          </w:p>
        </w:tc>
        <w:tc>
          <w:tcPr>
            <w:tcW w:w="1261" w:type="dxa"/>
            <w:tcBorders>
              <w:top w:val="nil"/>
              <w:left w:val="nil"/>
              <w:bottom w:val="nil"/>
              <w:right w:val="nil"/>
            </w:tcBorders>
            <w:shd w:val="clear" w:color="auto" w:fill="auto"/>
            <w:noWrap/>
            <w:vAlign w:val="bottom"/>
            <w:hideMark/>
          </w:tcPr>
          <w:p w14:paraId="309D56E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2,709.0</w:t>
            </w:r>
          </w:p>
        </w:tc>
        <w:tc>
          <w:tcPr>
            <w:tcW w:w="960" w:type="dxa"/>
            <w:tcBorders>
              <w:top w:val="nil"/>
              <w:left w:val="nil"/>
              <w:bottom w:val="nil"/>
              <w:right w:val="nil"/>
            </w:tcBorders>
            <w:shd w:val="clear" w:color="auto" w:fill="auto"/>
            <w:noWrap/>
            <w:vAlign w:val="bottom"/>
            <w:hideMark/>
          </w:tcPr>
          <w:p w14:paraId="1F1BA13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141</w:t>
            </w:r>
          </w:p>
        </w:tc>
      </w:tr>
      <w:tr w:rsidR="00EE4837" w:rsidRPr="007239A6" w14:paraId="1DA80AE1" w14:textId="77777777" w:rsidTr="00181ACD">
        <w:trPr>
          <w:trHeight w:val="288"/>
        </w:trPr>
        <w:tc>
          <w:tcPr>
            <w:tcW w:w="1586" w:type="dxa"/>
            <w:tcBorders>
              <w:top w:val="nil"/>
              <w:left w:val="nil"/>
              <w:bottom w:val="nil"/>
              <w:right w:val="nil"/>
            </w:tcBorders>
            <w:shd w:val="clear" w:color="auto" w:fill="auto"/>
            <w:noWrap/>
            <w:vAlign w:val="bottom"/>
            <w:hideMark/>
          </w:tcPr>
          <w:p w14:paraId="16272628"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Ashford</w:t>
            </w:r>
          </w:p>
        </w:tc>
        <w:tc>
          <w:tcPr>
            <w:tcW w:w="1261" w:type="dxa"/>
            <w:tcBorders>
              <w:top w:val="nil"/>
              <w:left w:val="nil"/>
              <w:bottom w:val="nil"/>
              <w:right w:val="nil"/>
            </w:tcBorders>
            <w:shd w:val="clear" w:color="auto" w:fill="auto"/>
            <w:noWrap/>
            <w:vAlign w:val="bottom"/>
            <w:hideMark/>
          </w:tcPr>
          <w:p w14:paraId="76EF80D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987.1</w:t>
            </w:r>
          </w:p>
        </w:tc>
        <w:tc>
          <w:tcPr>
            <w:tcW w:w="960" w:type="dxa"/>
            <w:tcBorders>
              <w:top w:val="nil"/>
              <w:left w:val="nil"/>
              <w:bottom w:val="nil"/>
              <w:right w:val="nil"/>
            </w:tcBorders>
            <w:shd w:val="clear" w:color="auto" w:fill="auto"/>
            <w:noWrap/>
            <w:vAlign w:val="bottom"/>
            <w:hideMark/>
          </w:tcPr>
          <w:p w14:paraId="5D2E53F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230</w:t>
            </w:r>
          </w:p>
        </w:tc>
        <w:tc>
          <w:tcPr>
            <w:tcW w:w="1261" w:type="dxa"/>
            <w:tcBorders>
              <w:top w:val="nil"/>
              <w:left w:val="nil"/>
              <w:bottom w:val="nil"/>
              <w:right w:val="nil"/>
            </w:tcBorders>
            <w:shd w:val="clear" w:color="auto" w:fill="auto"/>
            <w:noWrap/>
            <w:vAlign w:val="bottom"/>
            <w:hideMark/>
          </w:tcPr>
          <w:p w14:paraId="55588D8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894.9</w:t>
            </w:r>
          </w:p>
        </w:tc>
        <w:tc>
          <w:tcPr>
            <w:tcW w:w="960" w:type="dxa"/>
            <w:tcBorders>
              <w:top w:val="nil"/>
              <w:left w:val="nil"/>
              <w:bottom w:val="nil"/>
              <w:right w:val="nil"/>
            </w:tcBorders>
            <w:shd w:val="clear" w:color="auto" w:fill="auto"/>
            <w:noWrap/>
            <w:vAlign w:val="bottom"/>
            <w:hideMark/>
          </w:tcPr>
          <w:p w14:paraId="413ABA4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208</w:t>
            </w:r>
          </w:p>
        </w:tc>
        <w:tc>
          <w:tcPr>
            <w:tcW w:w="1261" w:type="dxa"/>
            <w:tcBorders>
              <w:top w:val="nil"/>
              <w:left w:val="nil"/>
              <w:bottom w:val="nil"/>
              <w:right w:val="nil"/>
            </w:tcBorders>
            <w:shd w:val="clear" w:color="auto" w:fill="auto"/>
            <w:noWrap/>
            <w:vAlign w:val="bottom"/>
            <w:hideMark/>
          </w:tcPr>
          <w:p w14:paraId="050A0DA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225.7</w:t>
            </w:r>
          </w:p>
        </w:tc>
        <w:tc>
          <w:tcPr>
            <w:tcW w:w="960" w:type="dxa"/>
            <w:tcBorders>
              <w:top w:val="nil"/>
              <w:left w:val="nil"/>
              <w:bottom w:val="nil"/>
              <w:right w:val="nil"/>
            </w:tcBorders>
            <w:shd w:val="clear" w:color="auto" w:fill="auto"/>
            <w:noWrap/>
            <w:vAlign w:val="bottom"/>
            <w:hideMark/>
          </w:tcPr>
          <w:p w14:paraId="6DBA151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w:t>
            </w:r>
          </w:p>
        </w:tc>
        <w:tc>
          <w:tcPr>
            <w:tcW w:w="1261" w:type="dxa"/>
            <w:tcBorders>
              <w:top w:val="nil"/>
              <w:left w:val="nil"/>
              <w:bottom w:val="nil"/>
              <w:right w:val="nil"/>
            </w:tcBorders>
            <w:shd w:val="clear" w:color="auto" w:fill="auto"/>
            <w:noWrap/>
            <w:vAlign w:val="bottom"/>
            <w:hideMark/>
          </w:tcPr>
          <w:p w14:paraId="16C8A66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1,276.8</w:t>
            </w:r>
          </w:p>
        </w:tc>
        <w:tc>
          <w:tcPr>
            <w:tcW w:w="960" w:type="dxa"/>
            <w:tcBorders>
              <w:top w:val="nil"/>
              <w:left w:val="nil"/>
              <w:bottom w:val="nil"/>
              <w:right w:val="nil"/>
            </w:tcBorders>
            <w:shd w:val="clear" w:color="auto" w:fill="auto"/>
            <w:noWrap/>
            <w:vAlign w:val="bottom"/>
            <w:hideMark/>
          </w:tcPr>
          <w:p w14:paraId="2AA5293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297</w:t>
            </w:r>
          </w:p>
        </w:tc>
        <w:tc>
          <w:tcPr>
            <w:tcW w:w="1261" w:type="dxa"/>
            <w:tcBorders>
              <w:top w:val="nil"/>
              <w:left w:val="nil"/>
              <w:bottom w:val="nil"/>
              <w:right w:val="nil"/>
            </w:tcBorders>
            <w:shd w:val="clear" w:color="auto" w:fill="auto"/>
            <w:noWrap/>
            <w:vAlign w:val="bottom"/>
            <w:hideMark/>
          </w:tcPr>
          <w:p w14:paraId="1D2B14B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700.5</w:t>
            </w:r>
          </w:p>
        </w:tc>
        <w:tc>
          <w:tcPr>
            <w:tcW w:w="960" w:type="dxa"/>
            <w:tcBorders>
              <w:top w:val="nil"/>
              <w:left w:val="nil"/>
              <w:bottom w:val="nil"/>
              <w:right w:val="nil"/>
            </w:tcBorders>
            <w:shd w:val="clear" w:color="auto" w:fill="auto"/>
            <w:noWrap/>
            <w:vAlign w:val="bottom"/>
            <w:hideMark/>
          </w:tcPr>
          <w:p w14:paraId="18C6CCB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163</w:t>
            </w:r>
          </w:p>
        </w:tc>
      </w:tr>
      <w:tr w:rsidR="00EE4837" w:rsidRPr="007239A6" w14:paraId="6ADEC18F" w14:textId="77777777" w:rsidTr="00181ACD">
        <w:trPr>
          <w:trHeight w:val="288"/>
        </w:trPr>
        <w:tc>
          <w:tcPr>
            <w:tcW w:w="1586" w:type="dxa"/>
            <w:tcBorders>
              <w:top w:val="nil"/>
              <w:left w:val="nil"/>
              <w:bottom w:val="nil"/>
              <w:right w:val="nil"/>
            </w:tcBorders>
            <w:shd w:val="clear" w:color="auto" w:fill="auto"/>
            <w:noWrap/>
            <w:vAlign w:val="bottom"/>
            <w:hideMark/>
          </w:tcPr>
          <w:p w14:paraId="52B62C6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Avon</w:t>
            </w:r>
          </w:p>
        </w:tc>
        <w:tc>
          <w:tcPr>
            <w:tcW w:w="1261" w:type="dxa"/>
            <w:tcBorders>
              <w:top w:val="nil"/>
              <w:left w:val="nil"/>
              <w:bottom w:val="nil"/>
              <w:right w:val="nil"/>
            </w:tcBorders>
            <w:shd w:val="clear" w:color="auto" w:fill="auto"/>
            <w:noWrap/>
            <w:vAlign w:val="bottom"/>
            <w:hideMark/>
          </w:tcPr>
          <w:p w14:paraId="31D192D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11,204.5</w:t>
            </w:r>
          </w:p>
        </w:tc>
        <w:tc>
          <w:tcPr>
            <w:tcW w:w="960" w:type="dxa"/>
            <w:tcBorders>
              <w:top w:val="nil"/>
              <w:left w:val="nil"/>
              <w:bottom w:val="nil"/>
              <w:right w:val="nil"/>
            </w:tcBorders>
            <w:shd w:val="clear" w:color="auto" w:fill="auto"/>
            <w:noWrap/>
            <w:vAlign w:val="bottom"/>
            <w:hideMark/>
          </w:tcPr>
          <w:p w14:paraId="4FFB9A9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615</w:t>
            </w:r>
          </w:p>
        </w:tc>
        <w:tc>
          <w:tcPr>
            <w:tcW w:w="1261" w:type="dxa"/>
            <w:tcBorders>
              <w:top w:val="nil"/>
              <w:left w:val="nil"/>
              <w:bottom w:val="nil"/>
              <w:right w:val="nil"/>
            </w:tcBorders>
            <w:shd w:val="clear" w:color="auto" w:fill="auto"/>
            <w:noWrap/>
            <w:vAlign w:val="bottom"/>
            <w:hideMark/>
          </w:tcPr>
          <w:p w14:paraId="0265CA0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14,186.4</w:t>
            </w:r>
          </w:p>
        </w:tc>
        <w:tc>
          <w:tcPr>
            <w:tcW w:w="960" w:type="dxa"/>
            <w:tcBorders>
              <w:top w:val="nil"/>
              <w:left w:val="nil"/>
              <w:bottom w:val="nil"/>
              <w:right w:val="nil"/>
            </w:tcBorders>
            <w:shd w:val="clear" w:color="auto" w:fill="auto"/>
            <w:noWrap/>
            <w:vAlign w:val="bottom"/>
            <w:hideMark/>
          </w:tcPr>
          <w:p w14:paraId="1604331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779</w:t>
            </w:r>
          </w:p>
        </w:tc>
        <w:tc>
          <w:tcPr>
            <w:tcW w:w="1261" w:type="dxa"/>
            <w:tcBorders>
              <w:top w:val="nil"/>
              <w:left w:val="nil"/>
              <w:bottom w:val="nil"/>
              <w:right w:val="nil"/>
            </w:tcBorders>
            <w:shd w:val="clear" w:color="auto" w:fill="auto"/>
            <w:noWrap/>
            <w:vAlign w:val="bottom"/>
            <w:hideMark/>
          </w:tcPr>
          <w:p w14:paraId="3A294E0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4,062.3</w:t>
            </w:r>
          </w:p>
        </w:tc>
        <w:tc>
          <w:tcPr>
            <w:tcW w:w="960" w:type="dxa"/>
            <w:tcBorders>
              <w:top w:val="nil"/>
              <w:left w:val="nil"/>
              <w:bottom w:val="nil"/>
              <w:right w:val="nil"/>
            </w:tcBorders>
            <w:shd w:val="clear" w:color="auto" w:fill="auto"/>
            <w:noWrap/>
            <w:vAlign w:val="bottom"/>
            <w:hideMark/>
          </w:tcPr>
          <w:p w14:paraId="5DA259D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223</w:t>
            </w:r>
          </w:p>
        </w:tc>
        <w:tc>
          <w:tcPr>
            <w:tcW w:w="1261" w:type="dxa"/>
            <w:tcBorders>
              <w:top w:val="nil"/>
              <w:left w:val="nil"/>
              <w:bottom w:val="nil"/>
              <w:right w:val="nil"/>
            </w:tcBorders>
            <w:shd w:val="clear" w:color="auto" w:fill="auto"/>
            <w:noWrap/>
            <w:vAlign w:val="bottom"/>
            <w:hideMark/>
          </w:tcPr>
          <w:p w14:paraId="385EB43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12,191.3</w:t>
            </w:r>
          </w:p>
        </w:tc>
        <w:tc>
          <w:tcPr>
            <w:tcW w:w="960" w:type="dxa"/>
            <w:tcBorders>
              <w:top w:val="nil"/>
              <w:left w:val="nil"/>
              <w:bottom w:val="nil"/>
              <w:right w:val="nil"/>
            </w:tcBorders>
            <w:shd w:val="clear" w:color="auto" w:fill="auto"/>
            <w:noWrap/>
            <w:vAlign w:val="bottom"/>
            <w:hideMark/>
          </w:tcPr>
          <w:p w14:paraId="2434E45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670</w:t>
            </w:r>
          </w:p>
        </w:tc>
        <w:tc>
          <w:tcPr>
            <w:tcW w:w="1261" w:type="dxa"/>
            <w:tcBorders>
              <w:top w:val="nil"/>
              <w:left w:val="nil"/>
              <w:bottom w:val="nil"/>
              <w:right w:val="nil"/>
            </w:tcBorders>
            <w:shd w:val="clear" w:color="auto" w:fill="auto"/>
            <w:noWrap/>
            <w:vAlign w:val="bottom"/>
            <w:hideMark/>
          </w:tcPr>
          <w:p w14:paraId="1C28E48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7,899.0</w:t>
            </w:r>
          </w:p>
        </w:tc>
        <w:tc>
          <w:tcPr>
            <w:tcW w:w="960" w:type="dxa"/>
            <w:tcBorders>
              <w:top w:val="nil"/>
              <w:left w:val="nil"/>
              <w:bottom w:val="nil"/>
              <w:right w:val="nil"/>
            </w:tcBorders>
            <w:shd w:val="clear" w:color="auto" w:fill="auto"/>
            <w:noWrap/>
            <w:vAlign w:val="bottom"/>
            <w:hideMark/>
          </w:tcPr>
          <w:p w14:paraId="67D4D43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434</w:t>
            </w:r>
          </w:p>
        </w:tc>
      </w:tr>
      <w:tr w:rsidR="00EE4837" w:rsidRPr="007239A6" w14:paraId="014B1BBD" w14:textId="77777777" w:rsidTr="00181ACD">
        <w:trPr>
          <w:trHeight w:val="288"/>
        </w:trPr>
        <w:tc>
          <w:tcPr>
            <w:tcW w:w="1586" w:type="dxa"/>
            <w:tcBorders>
              <w:top w:val="nil"/>
              <w:left w:val="nil"/>
              <w:bottom w:val="nil"/>
              <w:right w:val="nil"/>
            </w:tcBorders>
            <w:shd w:val="clear" w:color="auto" w:fill="auto"/>
            <w:noWrap/>
            <w:vAlign w:val="bottom"/>
            <w:hideMark/>
          </w:tcPr>
          <w:p w14:paraId="7EB47AE3"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Barkhamsted</w:t>
            </w:r>
          </w:p>
        </w:tc>
        <w:tc>
          <w:tcPr>
            <w:tcW w:w="1261" w:type="dxa"/>
            <w:tcBorders>
              <w:top w:val="nil"/>
              <w:left w:val="nil"/>
              <w:bottom w:val="nil"/>
              <w:right w:val="nil"/>
            </w:tcBorders>
            <w:shd w:val="clear" w:color="auto" w:fill="auto"/>
            <w:noWrap/>
            <w:vAlign w:val="bottom"/>
            <w:hideMark/>
          </w:tcPr>
          <w:p w14:paraId="6CDB650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959.4</w:t>
            </w:r>
          </w:p>
        </w:tc>
        <w:tc>
          <w:tcPr>
            <w:tcW w:w="960" w:type="dxa"/>
            <w:tcBorders>
              <w:top w:val="nil"/>
              <w:left w:val="nil"/>
              <w:bottom w:val="nil"/>
              <w:right w:val="nil"/>
            </w:tcBorders>
            <w:shd w:val="clear" w:color="auto" w:fill="auto"/>
            <w:noWrap/>
            <w:vAlign w:val="bottom"/>
            <w:hideMark/>
          </w:tcPr>
          <w:p w14:paraId="37C0970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254</w:t>
            </w:r>
          </w:p>
        </w:tc>
        <w:tc>
          <w:tcPr>
            <w:tcW w:w="1261" w:type="dxa"/>
            <w:tcBorders>
              <w:top w:val="nil"/>
              <w:left w:val="nil"/>
              <w:bottom w:val="nil"/>
              <w:right w:val="nil"/>
            </w:tcBorders>
            <w:shd w:val="clear" w:color="auto" w:fill="auto"/>
            <w:noWrap/>
            <w:vAlign w:val="bottom"/>
            <w:hideMark/>
          </w:tcPr>
          <w:p w14:paraId="726F231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920.3</w:t>
            </w:r>
          </w:p>
        </w:tc>
        <w:tc>
          <w:tcPr>
            <w:tcW w:w="960" w:type="dxa"/>
            <w:tcBorders>
              <w:top w:val="nil"/>
              <w:left w:val="nil"/>
              <w:bottom w:val="nil"/>
              <w:right w:val="nil"/>
            </w:tcBorders>
            <w:shd w:val="clear" w:color="auto" w:fill="auto"/>
            <w:noWrap/>
            <w:vAlign w:val="bottom"/>
            <w:hideMark/>
          </w:tcPr>
          <w:p w14:paraId="2CA1F5A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244</w:t>
            </w:r>
          </w:p>
        </w:tc>
        <w:tc>
          <w:tcPr>
            <w:tcW w:w="1261" w:type="dxa"/>
            <w:tcBorders>
              <w:top w:val="nil"/>
              <w:left w:val="nil"/>
              <w:bottom w:val="nil"/>
              <w:right w:val="nil"/>
            </w:tcBorders>
            <w:shd w:val="clear" w:color="auto" w:fill="auto"/>
            <w:noWrap/>
            <w:vAlign w:val="bottom"/>
            <w:hideMark/>
          </w:tcPr>
          <w:p w14:paraId="5C591E6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261.3</w:t>
            </w:r>
          </w:p>
        </w:tc>
        <w:tc>
          <w:tcPr>
            <w:tcW w:w="960" w:type="dxa"/>
            <w:tcBorders>
              <w:top w:val="nil"/>
              <w:left w:val="nil"/>
              <w:bottom w:val="nil"/>
              <w:right w:val="nil"/>
            </w:tcBorders>
            <w:shd w:val="clear" w:color="auto" w:fill="auto"/>
            <w:noWrap/>
            <w:vAlign w:val="bottom"/>
            <w:hideMark/>
          </w:tcPr>
          <w:p w14:paraId="61EFDAA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69</w:t>
            </w:r>
          </w:p>
        </w:tc>
        <w:tc>
          <w:tcPr>
            <w:tcW w:w="1261" w:type="dxa"/>
            <w:tcBorders>
              <w:top w:val="nil"/>
              <w:left w:val="nil"/>
              <w:bottom w:val="nil"/>
              <w:right w:val="nil"/>
            </w:tcBorders>
            <w:shd w:val="clear" w:color="auto" w:fill="auto"/>
            <w:noWrap/>
            <w:vAlign w:val="bottom"/>
            <w:hideMark/>
          </w:tcPr>
          <w:p w14:paraId="49A47AA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1,216.4</w:t>
            </w:r>
          </w:p>
        </w:tc>
        <w:tc>
          <w:tcPr>
            <w:tcW w:w="960" w:type="dxa"/>
            <w:tcBorders>
              <w:top w:val="nil"/>
              <w:left w:val="nil"/>
              <w:bottom w:val="nil"/>
              <w:right w:val="nil"/>
            </w:tcBorders>
            <w:shd w:val="clear" w:color="auto" w:fill="auto"/>
            <w:noWrap/>
            <w:vAlign w:val="bottom"/>
            <w:hideMark/>
          </w:tcPr>
          <w:p w14:paraId="4602632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322</w:t>
            </w:r>
          </w:p>
        </w:tc>
        <w:tc>
          <w:tcPr>
            <w:tcW w:w="1261" w:type="dxa"/>
            <w:tcBorders>
              <w:top w:val="nil"/>
              <w:left w:val="nil"/>
              <w:bottom w:val="nil"/>
              <w:right w:val="nil"/>
            </w:tcBorders>
            <w:shd w:val="clear" w:color="auto" w:fill="auto"/>
            <w:noWrap/>
            <w:vAlign w:val="bottom"/>
            <w:hideMark/>
          </w:tcPr>
          <w:p w14:paraId="64A202F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724.1</w:t>
            </w:r>
          </w:p>
        </w:tc>
        <w:tc>
          <w:tcPr>
            <w:tcW w:w="960" w:type="dxa"/>
            <w:tcBorders>
              <w:top w:val="nil"/>
              <w:left w:val="nil"/>
              <w:bottom w:val="nil"/>
              <w:right w:val="nil"/>
            </w:tcBorders>
            <w:shd w:val="clear" w:color="auto" w:fill="auto"/>
            <w:noWrap/>
            <w:vAlign w:val="bottom"/>
            <w:hideMark/>
          </w:tcPr>
          <w:p w14:paraId="3658A1F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192</w:t>
            </w:r>
          </w:p>
        </w:tc>
      </w:tr>
      <w:tr w:rsidR="00EE4837" w:rsidRPr="007239A6" w14:paraId="4723157F" w14:textId="77777777" w:rsidTr="00181ACD">
        <w:trPr>
          <w:trHeight w:val="288"/>
        </w:trPr>
        <w:tc>
          <w:tcPr>
            <w:tcW w:w="1586" w:type="dxa"/>
            <w:tcBorders>
              <w:top w:val="nil"/>
              <w:left w:val="nil"/>
              <w:bottom w:val="nil"/>
              <w:right w:val="nil"/>
            </w:tcBorders>
            <w:shd w:val="clear" w:color="auto" w:fill="auto"/>
            <w:noWrap/>
            <w:vAlign w:val="bottom"/>
            <w:hideMark/>
          </w:tcPr>
          <w:p w14:paraId="3973D74F"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Beacon Falls</w:t>
            </w:r>
          </w:p>
        </w:tc>
        <w:tc>
          <w:tcPr>
            <w:tcW w:w="1261" w:type="dxa"/>
            <w:tcBorders>
              <w:top w:val="nil"/>
              <w:left w:val="nil"/>
              <w:bottom w:val="nil"/>
              <w:right w:val="nil"/>
            </w:tcBorders>
            <w:shd w:val="clear" w:color="auto" w:fill="auto"/>
            <w:noWrap/>
            <w:vAlign w:val="bottom"/>
            <w:hideMark/>
          </w:tcPr>
          <w:p w14:paraId="2C17CDA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1,383.2</w:t>
            </w:r>
          </w:p>
        </w:tc>
        <w:tc>
          <w:tcPr>
            <w:tcW w:w="960" w:type="dxa"/>
            <w:tcBorders>
              <w:top w:val="nil"/>
              <w:left w:val="nil"/>
              <w:bottom w:val="nil"/>
              <w:right w:val="nil"/>
            </w:tcBorders>
            <w:shd w:val="clear" w:color="auto" w:fill="auto"/>
            <w:noWrap/>
            <w:vAlign w:val="bottom"/>
            <w:hideMark/>
          </w:tcPr>
          <w:p w14:paraId="2838C6A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229</w:t>
            </w:r>
          </w:p>
        </w:tc>
        <w:tc>
          <w:tcPr>
            <w:tcW w:w="1261" w:type="dxa"/>
            <w:tcBorders>
              <w:top w:val="nil"/>
              <w:left w:val="nil"/>
              <w:bottom w:val="nil"/>
              <w:right w:val="nil"/>
            </w:tcBorders>
            <w:shd w:val="clear" w:color="auto" w:fill="auto"/>
            <w:noWrap/>
            <w:vAlign w:val="bottom"/>
            <w:hideMark/>
          </w:tcPr>
          <w:p w14:paraId="25299F6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1,321.6</w:t>
            </w:r>
          </w:p>
        </w:tc>
        <w:tc>
          <w:tcPr>
            <w:tcW w:w="960" w:type="dxa"/>
            <w:tcBorders>
              <w:top w:val="nil"/>
              <w:left w:val="nil"/>
              <w:bottom w:val="nil"/>
              <w:right w:val="nil"/>
            </w:tcBorders>
            <w:shd w:val="clear" w:color="auto" w:fill="auto"/>
            <w:noWrap/>
            <w:vAlign w:val="bottom"/>
            <w:hideMark/>
          </w:tcPr>
          <w:p w14:paraId="48D4143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219</w:t>
            </w:r>
          </w:p>
        </w:tc>
        <w:tc>
          <w:tcPr>
            <w:tcW w:w="1261" w:type="dxa"/>
            <w:tcBorders>
              <w:top w:val="nil"/>
              <w:left w:val="nil"/>
              <w:bottom w:val="nil"/>
              <w:right w:val="nil"/>
            </w:tcBorders>
            <w:shd w:val="clear" w:color="auto" w:fill="auto"/>
            <w:noWrap/>
            <w:vAlign w:val="bottom"/>
            <w:hideMark/>
          </w:tcPr>
          <w:p w14:paraId="0B197DB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478.9</w:t>
            </w:r>
          </w:p>
        </w:tc>
        <w:tc>
          <w:tcPr>
            <w:tcW w:w="960" w:type="dxa"/>
            <w:tcBorders>
              <w:top w:val="nil"/>
              <w:left w:val="nil"/>
              <w:bottom w:val="nil"/>
              <w:right w:val="nil"/>
            </w:tcBorders>
            <w:shd w:val="clear" w:color="auto" w:fill="auto"/>
            <w:noWrap/>
            <w:vAlign w:val="bottom"/>
            <w:hideMark/>
          </w:tcPr>
          <w:p w14:paraId="6BF8C49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79</w:t>
            </w:r>
          </w:p>
        </w:tc>
        <w:tc>
          <w:tcPr>
            <w:tcW w:w="1261" w:type="dxa"/>
            <w:tcBorders>
              <w:top w:val="nil"/>
              <w:left w:val="nil"/>
              <w:bottom w:val="nil"/>
              <w:right w:val="nil"/>
            </w:tcBorders>
            <w:shd w:val="clear" w:color="auto" w:fill="auto"/>
            <w:noWrap/>
            <w:vAlign w:val="bottom"/>
            <w:hideMark/>
          </w:tcPr>
          <w:p w14:paraId="419B09B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1,920.3</w:t>
            </w:r>
          </w:p>
        </w:tc>
        <w:tc>
          <w:tcPr>
            <w:tcW w:w="960" w:type="dxa"/>
            <w:tcBorders>
              <w:top w:val="nil"/>
              <w:left w:val="nil"/>
              <w:bottom w:val="nil"/>
              <w:right w:val="nil"/>
            </w:tcBorders>
            <w:shd w:val="clear" w:color="auto" w:fill="auto"/>
            <w:noWrap/>
            <w:vAlign w:val="bottom"/>
            <w:hideMark/>
          </w:tcPr>
          <w:p w14:paraId="73D1375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318</w:t>
            </w:r>
          </w:p>
        </w:tc>
        <w:tc>
          <w:tcPr>
            <w:tcW w:w="1261" w:type="dxa"/>
            <w:tcBorders>
              <w:top w:val="nil"/>
              <w:left w:val="nil"/>
              <w:bottom w:val="nil"/>
              <w:right w:val="nil"/>
            </w:tcBorders>
            <w:shd w:val="clear" w:color="auto" w:fill="auto"/>
            <w:noWrap/>
            <w:vAlign w:val="bottom"/>
            <w:hideMark/>
          </w:tcPr>
          <w:p w14:paraId="3C45718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1,166.1</w:t>
            </w:r>
          </w:p>
        </w:tc>
        <w:tc>
          <w:tcPr>
            <w:tcW w:w="960" w:type="dxa"/>
            <w:tcBorders>
              <w:top w:val="nil"/>
              <w:left w:val="nil"/>
              <w:bottom w:val="nil"/>
              <w:right w:val="nil"/>
            </w:tcBorders>
            <w:shd w:val="clear" w:color="auto" w:fill="auto"/>
            <w:noWrap/>
            <w:vAlign w:val="bottom"/>
            <w:hideMark/>
          </w:tcPr>
          <w:p w14:paraId="4F212F5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193</w:t>
            </w:r>
          </w:p>
        </w:tc>
      </w:tr>
      <w:tr w:rsidR="00EE4837" w:rsidRPr="007239A6" w14:paraId="6234D815" w14:textId="77777777" w:rsidTr="00181ACD">
        <w:trPr>
          <w:trHeight w:val="288"/>
        </w:trPr>
        <w:tc>
          <w:tcPr>
            <w:tcW w:w="1586" w:type="dxa"/>
            <w:tcBorders>
              <w:top w:val="nil"/>
              <w:left w:val="nil"/>
              <w:bottom w:val="nil"/>
              <w:right w:val="nil"/>
            </w:tcBorders>
            <w:shd w:val="clear" w:color="auto" w:fill="auto"/>
            <w:noWrap/>
            <w:vAlign w:val="bottom"/>
            <w:hideMark/>
          </w:tcPr>
          <w:p w14:paraId="27FC75A4"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Berlin</w:t>
            </w:r>
          </w:p>
        </w:tc>
        <w:tc>
          <w:tcPr>
            <w:tcW w:w="1261" w:type="dxa"/>
            <w:tcBorders>
              <w:top w:val="nil"/>
              <w:left w:val="nil"/>
              <w:bottom w:val="nil"/>
              <w:right w:val="nil"/>
            </w:tcBorders>
            <w:shd w:val="clear" w:color="auto" w:fill="auto"/>
            <w:noWrap/>
            <w:vAlign w:val="bottom"/>
            <w:hideMark/>
          </w:tcPr>
          <w:p w14:paraId="1B39D98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5,922.4</w:t>
            </w:r>
          </w:p>
        </w:tc>
        <w:tc>
          <w:tcPr>
            <w:tcW w:w="960" w:type="dxa"/>
            <w:tcBorders>
              <w:top w:val="nil"/>
              <w:left w:val="nil"/>
              <w:bottom w:val="nil"/>
              <w:right w:val="nil"/>
            </w:tcBorders>
            <w:shd w:val="clear" w:color="auto" w:fill="auto"/>
            <w:noWrap/>
            <w:vAlign w:val="bottom"/>
            <w:hideMark/>
          </w:tcPr>
          <w:p w14:paraId="155A54A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293</w:t>
            </w:r>
          </w:p>
        </w:tc>
        <w:tc>
          <w:tcPr>
            <w:tcW w:w="1261" w:type="dxa"/>
            <w:tcBorders>
              <w:top w:val="nil"/>
              <w:left w:val="nil"/>
              <w:bottom w:val="nil"/>
              <w:right w:val="nil"/>
            </w:tcBorders>
            <w:shd w:val="clear" w:color="auto" w:fill="auto"/>
            <w:noWrap/>
            <w:vAlign w:val="bottom"/>
            <w:hideMark/>
          </w:tcPr>
          <w:p w14:paraId="456D566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6,170.8</w:t>
            </w:r>
          </w:p>
        </w:tc>
        <w:tc>
          <w:tcPr>
            <w:tcW w:w="960" w:type="dxa"/>
            <w:tcBorders>
              <w:top w:val="nil"/>
              <w:left w:val="nil"/>
              <w:bottom w:val="nil"/>
              <w:right w:val="nil"/>
            </w:tcBorders>
            <w:shd w:val="clear" w:color="auto" w:fill="auto"/>
            <w:noWrap/>
            <w:vAlign w:val="bottom"/>
            <w:hideMark/>
          </w:tcPr>
          <w:p w14:paraId="0E98131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306</w:t>
            </w:r>
          </w:p>
        </w:tc>
        <w:tc>
          <w:tcPr>
            <w:tcW w:w="1261" w:type="dxa"/>
            <w:tcBorders>
              <w:top w:val="nil"/>
              <w:left w:val="nil"/>
              <w:bottom w:val="nil"/>
              <w:right w:val="nil"/>
            </w:tcBorders>
            <w:shd w:val="clear" w:color="auto" w:fill="auto"/>
            <w:noWrap/>
            <w:vAlign w:val="bottom"/>
            <w:hideMark/>
          </w:tcPr>
          <w:p w14:paraId="7B22491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7,020.3</w:t>
            </w:r>
          </w:p>
        </w:tc>
        <w:tc>
          <w:tcPr>
            <w:tcW w:w="960" w:type="dxa"/>
            <w:tcBorders>
              <w:top w:val="nil"/>
              <w:left w:val="nil"/>
              <w:bottom w:val="nil"/>
              <w:right w:val="nil"/>
            </w:tcBorders>
            <w:shd w:val="clear" w:color="auto" w:fill="auto"/>
            <w:noWrap/>
            <w:vAlign w:val="bottom"/>
            <w:hideMark/>
          </w:tcPr>
          <w:p w14:paraId="6D5B572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348</w:t>
            </w:r>
          </w:p>
        </w:tc>
        <w:tc>
          <w:tcPr>
            <w:tcW w:w="1261" w:type="dxa"/>
            <w:tcBorders>
              <w:top w:val="nil"/>
              <w:left w:val="nil"/>
              <w:bottom w:val="nil"/>
              <w:right w:val="nil"/>
            </w:tcBorders>
            <w:shd w:val="clear" w:color="auto" w:fill="auto"/>
            <w:noWrap/>
            <w:vAlign w:val="bottom"/>
            <w:hideMark/>
          </w:tcPr>
          <w:p w14:paraId="642BD5A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7,152.4</w:t>
            </w:r>
          </w:p>
        </w:tc>
        <w:tc>
          <w:tcPr>
            <w:tcW w:w="960" w:type="dxa"/>
            <w:tcBorders>
              <w:top w:val="nil"/>
              <w:left w:val="nil"/>
              <w:bottom w:val="nil"/>
              <w:right w:val="nil"/>
            </w:tcBorders>
            <w:shd w:val="clear" w:color="auto" w:fill="auto"/>
            <w:noWrap/>
            <w:vAlign w:val="bottom"/>
            <w:hideMark/>
          </w:tcPr>
          <w:p w14:paraId="00B12B9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354</w:t>
            </w:r>
          </w:p>
        </w:tc>
        <w:tc>
          <w:tcPr>
            <w:tcW w:w="1261" w:type="dxa"/>
            <w:tcBorders>
              <w:top w:val="nil"/>
              <w:left w:val="nil"/>
              <w:bottom w:val="nil"/>
              <w:right w:val="nil"/>
            </w:tcBorders>
            <w:shd w:val="clear" w:color="auto" w:fill="auto"/>
            <w:noWrap/>
            <w:vAlign w:val="bottom"/>
            <w:hideMark/>
          </w:tcPr>
          <w:p w14:paraId="27E1D5E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7,092.5</w:t>
            </w:r>
          </w:p>
        </w:tc>
        <w:tc>
          <w:tcPr>
            <w:tcW w:w="960" w:type="dxa"/>
            <w:tcBorders>
              <w:top w:val="nil"/>
              <w:left w:val="nil"/>
              <w:bottom w:val="nil"/>
              <w:right w:val="nil"/>
            </w:tcBorders>
            <w:shd w:val="clear" w:color="auto" w:fill="auto"/>
            <w:noWrap/>
            <w:vAlign w:val="bottom"/>
            <w:hideMark/>
          </w:tcPr>
          <w:p w14:paraId="1DD7286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351</w:t>
            </w:r>
          </w:p>
        </w:tc>
      </w:tr>
      <w:tr w:rsidR="00EE4837" w:rsidRPr="007239A6" w14:paraId="2B5A9E40" w14:textId="77777777" w:rsidTr="00181ACD">
        <w:trPr>
          <w:trHeight w:val="288"/>
        </w:trPr>
        <w:tc>
          <w:tcPr>
            <w:tcW w:w="1586" w:type="dxa"/>
            <w:tcBorders>
              <w:top w:val="nil"/>
              <w:left w:val="nil"/>
              <w:bottom w:val="nil"/>
              <w:right w:val="nil"/>
            </w:tcBorders>
            <w:shd w:val="clear" w:color="auto" w:fill="auto"/>
            <w:noWrap/>
            <w:vAlign w:val="bottom"/>
            <w:hideMark/>
          </w:tcPr>
          <w:p w14:paraId="205280B9"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Bethany</w:t>
            </w:r>
          </w:p>
        </w:tc>
        <w:tc>
          <w:tcPr>
            <w:tcW w:w="1261" w:type="dxa"/>
            <w:tcBorders>
              <w:top w:val="nil"/>
              <w:left w:val="nil"/>
              <w:bottom w:val="nil"/>
              <w:right w:val="nil"/>
            </w:tcBorders>
            <w:shd w:val="clear" w:color="auto" w:fill="auto"/>
            <w:noWrap/>
            <w:vAlign w:val="bottom"/>
            <w:hideMark/>
          </w:tcPr>
          <w:p w14:paraId="1821085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2,073.4</w:t>
            </w:r>
          </w:p>
        </w:tc>
        <w:tc>
          <w:tcPr>
            <w:tcW w:w="960" w:type="dxa"/>
            <w:tcBorders>
              <w:top w:val="nil"/>
              <w:left w:val="nil"/>
              <w:bottom w:val="nil"/>
              <w:right w:val="nil"/>
            </w:tcBorders>
            <w:shd w:val="clear" w:color="auto" w:fill="auto"/>
            <w:noWrap/>
            <w:vAlign w:val="bottom"/>
            <w:hideMark/>
          </w:tcPr>
          <w:p w14:paraId="464977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373</w:t>
            </w:r>
          </w:p>
        </w:tc>
        <w:tc>
          <w:tcPr>
            <w:tcW w:w="1261" w:type="dxa"/>
            <w:tcBorders>
              <w:top w:val="nil"/>
              <w:left w:val="nil"/>
              <w:bottom w:val="nil"/>
              <w:right w:val="nil"/>
            </w:tcBorders>
            <w:shd w:val="clear" w:color="auto" w:fill="auto"/>
            <w:noWrap/>
            <w:vAlign w:val="bottom"/>
            <w:hideMark/>
          </w:tcPr>
          <w:p w14:paraId="0B7B36E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2,428.8</w:t>
            </w:r>
          </w:p>
        </w:tc>
        <w:tc>
          <w:tcPr>
            <w:tcW w:w="960" w:type="dxa"/>
            <w:tcBorders>
              <w:top w:val="nil"/>
              <w:left w:val="nil"/>
              <w:bottom w:val="nil"/>
              <w:right w:val="nil"/>
            </w:tcBorders>
            <w:shd w:val="clear" w:color="auto" w:fill="auto"/>
            <w:noWrap/>
            <w:vAlign w:val="bottom"/>
            <w:hideMark/>
          </w:tcPr>
          <w:p w14:paraId="10F72DD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437</w:t>
            </w:r>
          </w:p>
        </w:tc>
        <w:tc>
          <w:tcPr>
            <w:tcW w:w="1261" w:type="dxa"/>
            <w:tcBorders>
              <w:top w:val="nil"/>
              <w:left w:val="nil"/>
              <w:bottom w:val="nil"/>
              <w:right w:val="nil"/>
            </w:tcBorders>
            <w:shd w:val="clear" w:color="auto" w:fill="auto"/>
            <w:noWrap/>
            <w:vAlign w:val="bottom"/>
            <w:hideMark/>
          </w:tcPr>
          <w:p w14:paraId="75A661B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639.5</w:t>
            </w:r>
          </w:p>
        </w:tc>
        <w:tc>
          <w:tcPr>
            <w:tcW w:w="960" w:type="dxa"/>
            <w:tcBorders>
              <w:top w:val="nil"/>
              <w:left w:val="nil"/>
              <w:bottom w:val="nil"/>
              <w:right w:val="nil"/>
            </w:tcBorders>
            <w:shd w:val="clear" w:color="auto" w:fill="auto"/>
            <w:noWrap/>
            <w:vAlign w:val="bottom"/>
            <w:hideMark/>
          </w:tcPr>
          <w:p w14:paraId="0B00077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115</w:t>
            </w:r>
          </w:p>
        </w:tc>
        <w:tc>
          <w:tcPr>
            <w:tcW w:w="1261" w:type="dxa"/>
            <w:tcBorders>
              <w:top w:val="nil"/>
              <w:left w:val="nil"/>
              <w:bottom w:val="nil"/>
              <w:right w:val="nil"/>
            </w:tcBorders>
            <w:shd w:val="clear" w:color="auto" w:fill="auto"/>
            <w:noWrap/>
            <w:vAlign w:val="bottom"/>
            <w:hideMark/>
          </w:tcPr>
          <w:p w14:paraId="1B2C4E6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2,326.0</w:t>
            </w:r>
          </w:p>
        </w:tc>
        <w:tc>
          <w:tcPr>
            <w:tcW w:w="960" w:type="dxa"/>
            <w:tcBorders>
              <w:top w:val="nil"/>
              <w:left w:val="nil"/>
              <w:bottom w:val="nil"/>
              <w:right w:val="nil"/>
            </w:tcBorders>
            <w:shd w:val="clear" w:color="auto" w:fill="auto"/>
            <w:noWrap/>
            <w:vAlign w:val="bottom"/>
            <w:hideMark/>
          </w:tcPr>
          <w:p w14:paraId="0DC8B94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419</w:t>
            </w:r>
          </w:p>
        </w:tc>
        <w:tc>
          <w:tcPr>
            <w:tcW w:w="1261" w:type="dxa"/>
            <w:tcBorders>
              <w:top w:val="nil"/>
              <w:left w:val="nil"/>
              <w:bottom w:val="nil"/>
              <w:right w:val="nil"/>
            </w:tcBorders>
            <w:shd w:val="clear" w:color="auto" w:fill="auto"/>
            <w:noWrap/>
            <w:vAlign w:val="bottom"/>
            <w:hideMark/>
          </w:tcPr>
          <w:p w14:paraId="6877EBC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1,415.4</w:t>
            </w:r>
          </w:p>
        </w:tc>
        <w:tc>
          <w:tcPr>
            <w:tcW w:w="960" w:type="dxa"/>
            <w:tcBorders>
              <w:top w:val="nil"/>
              <w:left w:val="nil"/>
              <w:bottom w:val="nil"/>
              <w:right w:val="nil"/>
            </w:tcBorders>
            <w:shd w:val="clear" w:color="auto" w:fill="auto"/>
            <w:noWrap/>
            <w:vAlign w:val="bottom"/>
            <w:hideMark/>
          </w:tcPr>
          <w:p w14:paraId="5B9CD9C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255</w:t>
            </w:r>
          </w:p>
        </w:tc>
      </w:tr>
      <w:tr w:rsidR="00EE4837" w:rsidRPr="007239A6" w14:paraId="723920D3" w14:textId="77777777" w:rsidTr="00181ACD">
        <w:trPr>
          <w:trHeight w:val="288"/>
        </w:trPr>
        <w:tc>
          <w:tcPr>
            <w:tcW w:w="1586" w:type="dxa"/>
            <w:tcBorders>
              <w:top w:val="nil"/>
              <w:left w:val="nil"/>
              <w:bottom w:val="nil"/>
              <w:right w:val="nil"/>
            </w:tcBorders>
            <w:shd w:val="clear" w:color="auto" w:fill="auto"/>
            <w:noWrap/>
            <w:vAlign w:val="bottom"/>
            <w:hideMark/>
          </w:tcPr>
          <w:p w14:paraId="4E75CE9F"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Bethel</w:t>
            </w:r>
          </w:p>
        </w:tc>
        <w:tc>
          <w:tcPr>
            <w:tcW w:w="1261" w:type="dxa"/>
            <w:tcBorders>
              <w:top w:val="nil"/>
              <w:left w:val="nil"/>
              <w:bottom w:val="nil"/>
              <w:right w:val="nil"/>
            </w:tcBorders>
            <w:shd w:val="clear" w:color="auto" w:fill="auto"/>
            <w:noWrap/>
            <w:vAlign w:val="bottom"/>
            <w:hideMark/>
          </w:tcPr>
          <w:p w14:paraId="18848DA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4,857.8</w:t>
            </w:r>
          </w:p>
        </w:tc>
        <w:tc>
          <w:tcPr>
            <w:tcW w:w="960" w:type="dxa"/>
            <w:tcBorders>
              <w:top w:val="nil"/>
              <w:left w:val="nil"/>
              <w:bottom w:val="nil"/>
              <w:right w:val="nil"/>
            </w:tcBorders>
            <w:shd w:val="clear" w:color="auto" w:fill="auto"/>
            <w:noWrap/>
            <w:vAlign w:val="bottom"/>
            <w:hideMark/>
          </w:tcPr>
          <w:p w14:paraId="303AAB4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257</w:t>
            </w:r>
          </w:p>
        </w:tc>
        <w:tc>
          <w:tcPr>
            <w:tcW w:w="1261" w:type="dxa"/>
            <w:tcBorders>
              <w:top w:val="nil"/>
              <w:left w:val="nil"/>
              <w:bottom w:val="nil"/>
              <w:right w:val="nil"/>
            </w:tcBorders>
            <w:shd w:val="clear" w:color="auto" w:fill="auto"/>
            <w:noWrap/>
            <w:vAlign w:val="bottom"/>
            <w:hideMark/>
          </w:tcPr>
          <w:p w14:paraId="55CA002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4,356.1</w:t>
            </w:r>
          </w:p>
        </w:tc>
        <w:tc>
          <w:tcPr>
            <w:tcW w:w="960" w:type="dxa"/>
            <w:tcBorders>
              <w:top w:val="nil"/>
              <w:left w:val="nil"/>
              <w:bottom w:val="nil"/>
              <w:right w:val="nil"/>
            </w:tcBorders>
            <w:shd w:val="clear" w:color="auto" w:fill="auto"/>
            <w:noWrap/>
            <w:vAlign w:val="bottom"/>
            <w:hideMark/>
          </w:tcPr>
          <w:p w14:paraId="417418C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231</w:t>
            </w:r>
          </w:p>
        </w:tc>
        <w:tc>
          <w:tcPr>
            <w:tcW w:w="1261" w:type="dxa"/>
            <w:tcBorders>
              <w:top w:val="nil"/>
              <w:left w:val="nil"/>
              <w:bottom w:val="nil"/>
              <w:right w:val="nil"/>
            </w:tcBorders>
            <w:shd w:val="clear" w:color="auto" w:fill="auto"/>
            <w:noWrap/>
            <w:vAlign w:val="bottom"/>
            <w:hideMark/>
          </w:tcPr>
          <w:p w14:paraId="1DE770D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4,015.1</w:t>
            </w:r>
          </w:p>
        </w:tc>
        <w:tc>
          <w:tcPr>
            <w:tcW w:w="960" w:type="dxa"/>
            <w:tcBorders>
              <w:top w:val="nil"/>
              <w:left w:val="nil"/>
              <w:bottom w:val="nil"/>
              <w:right w:val="nil"/>
            </w:tcBorders>
            <w:shd w:val="clear" w:color="auto" w:fill="auto"/>
            <w:noWrap/>
            <w:vAlign w:val="bottom"/>
            <w:hideMark/>
          </w:tcPr>
          <w:p w14:paraId="52E1E80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213</w:t>
            </w:r>
          </w:p>
        </w:tc>
        <w:tc>
          <w:tcPr>
            <w:tcW w:w="1261" w:type="dxa"/>
            <w:tcBorders>
              <w:top w:val="nil"/>
              <w:left w:val="nil"/>
              <w:bottom w:val="nil"/>
              <w:right w:val="nil"/>
            </w:tcBorders>
            <w:shd w:val="clear" w:color="auto" w:fill="auto"/>
            <w:noWrap/>
            <w:vAlign w:val="bottom"/>
            <w:hideMark/>
          </w:tcPr>
          <w:p w14:paraId="3F8F96F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6,020.7</w:t>
            </w:r>
          </w:p>
        </w:tc>
        <w:tc>
          <w:tcPr>
            <w:tcW w:w="960" w:type="dxa"/>
            <w:tcBorders>
              <w:top w:val="nil"/>
              <w:left w:val="nil"/>
              <w:bottom w:val="nil"/>
              <w:right w:val="nil"/>
            </w:tcBorders>
            <w:shd w:val="clear" w:color="auto" w:fill="auto"/>
            <w:noWrap/>
            <w:vAlign w:val="bottom"/>
            <w:hideMark/>
          </w:tcPr>
          <w:p w14:paraId="02A002B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319</w:t>
            </w:r>
          </w:p>
        </w:tc>
        <w:tc>
          <w:tcPr>
            <w:tcW w:w="1261" w:type="dxa"/>
            <w:tcBorders>
              <w:top w:val="nil"/>
              <w:left w:val="nil"/>
              <w:bottom w:val="nil"/>
              <w:right w:val="nil"/>
            </w:tcBorders>
            <w:shd w:val="clear" w:color="auto" w:fill="auto"/>
            <w:noWrap/>
            <w:vAlign w:val="bottom"/>
            <w:hideMark/>
          </w:tcPr>
          <w:p w14:paraId="4F95C12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4,974.5</w:t>
            </w:r>
          </w:p>
        </w:tc>
        <w:tc>
          <w:tcPr>
            <w:tcW w:w="960" w:type="dxa"/>
            <w:tcBorders>
              <w:top w:val="nil"/>
              <w:left w:val="nil"/>
              <w:bottom w:val="nil"/>
              <w:right w:val="nil"/>
            </w:tcBorders>
            <w:shd w:val="clear" w:color="auto" w:fill="auto"/>
            <w:noWrap/>
            <w:vAlign w:val="bottom"/>
            <w:hideMark/>
          </w:tcPr>
          <w:p w14:paraId="3F210E9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263</w:t>
            </w:r>
          </w:p>
        </w:tc>
      </w:tr>
      <w:tr w:rsidR="00EE4837" w:rsidRPr="007239A6" w14:paraId="5D9963F6" w14:textId="77777777" w:rsidTr="00181ACD">
        <w:trPr>
          <w:trHeight w:val="288"/>
        </w:trPr>
        <w:tc>
          <w:tcPr>
            <w:tcW w:w="1586" w:type="dxa"/>
            <w:tcBorders>
              <w:top w:val="nil"/>
              <w:left w:val="nil"/>
              <w:bottom w:val="nil"/>
              <w:right w:val="nil"/>
            </w:tcBorders>
            <w:shd w:val="clear" w:color="auto" w:fill="auto"/>
            <w:noWrap/>
            <w:vAlign w:val="bottom"/>
            <w:hideMark/>
          </w:tcPr>
          <w:p w14:paraId="14AD2F6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Bethlehem</w:t>
            </w:r>
          </w:p>
        </w:tc>
        <w:tc>
          <w:tcPr>
            <w:tcW w:w="1261" w:type="dxa"/>
            <w:tcBorders>
              <w:top w:val="nil"/>
              <w:left w:val="nil"/>
              <w:bottom w:val="nil"/>
              <w:right w:val="nil"/>
            </w:tcBorders>
            <w:shd w:val="clear" w:color="auto" w:fill="auto"/>
            <w:noWrap/>
            <w:vAlign w:val="bottom"/>
            <w:hideMark/>
          </w:tcPr>
          <w:p w14:paraId="530103F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963.4</w:t>
            </w:r>
          </w:p>
        </w:tc>
        <w:tc>
          <w:tcPr>
            <w:tcW w:w="960" w:type="dxa"/>
            <w:tcBorders>
              <w:top w:val="nil"/>
              <w:left w:val="nil"/>
              <w:bottom w:val="nil"/>
              <w:right w:val="nil"/>
            </w:tcBorders>
            <w:shd w:val="clear" w:color="auto" w:fill="auto"/>
            <w:noWrap/>
            <w:vAlign w:val="bottom"/>
            <w:hideMark/>
          </w:tcPr>
          <w:p w14:paraId="6901403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269</w:t>
            </w:r>
          </w:p>
        </w:tc>
        <w:tc>
          <w:tcPr>
            <w:tcW w:w="1261" w:type="dxa"/>
            <w:tcBorders>
              <w:top w:val="nil"/>
              <w:left w:val="nil"/>
              <w:bottom w:val="nil"/>
              <w:right w:val="nil"/>
            </w:tcBorders>
            <w:shd w:val="clear" w:color="auto" w:fill="auto"/>
            <w:noWrap/>
            <w:vAlign w:val="bottom"/>
            <w:hideMark/>
          </w:tcPr>
          <w:p w14:paraId="70096DF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991.3</w:t>
            </w:r>
          </w:p>
        </w:tc>
        <w:tc>
          <w:tcPr>
            <w:tcW w:w="960" w:type="dxa"/>
            <w:tcBorders>
              <w:top w:val="nil"/>
              <w:left w:val="nil"/>
              <w:bottom w:val="nil"/>
              <w:right w:val="nil"/>
            </w:tcBorders>
            <w:shd w:val="clear" w:color="auto" w:fill="auto"/>
            <w:noWrap/>
            <w:vAlign w:val="bottom"/>
            <w:hideMark/>
          </w:tcPr>
          <w:p w14:paraId="34CDBEA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277</w:t>
            </w:r>
          </w:p>
        </w:tc>
        <w:tc>
          <w:tcPr>
            <w:tcW w:w="1261" w:type="dxa"/>
            <w:tcBorders>
              <w:top w:val="nil"/>
              <w:left w:val="nil"/>
              <w:bottom w:val="nil"/>
              <w:right w:val="nil"/>
            </w:tcBorders>
            <w:shd w:val="clear" w:color="auto" w:fill="auto"/>
            <w:noWrap/>
            <w:vAlign w:val="bottom"/>
            <w:hideMark/>
          </w:tcPr>
          <w:p w14:paraId="5418FA8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269.6</w:t>
            </w:r>
          </w:p>
        </w:tc>
        <w:tc>
          <w:tcPr>
            <w:tcW w:w="960" w:type="dxa"/>
            <w:tcBorders>
              <w:top w:val="nil"/>
              <w:left w:val="nil"/>
              <w:bottom w:val="nil"/>
              <w:right w:val="nil"/>
            </w:tcBorders>
            <w:shd w:val="clear" w:color="auto" w:fill="auto"/>
            <w:noWrap/>
            <w:vAlign w:val="bottom"/>
            <w:hideMark/>
          </w:tcPr>
          <w:p w14:paraId="5D507E7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75</w:t>
            </w:r>
          </w:p>
        </w:tc>
        <w:tc>
          <w:tcPr>
            <w:tcW w:w="1261" w:type="dxa"/>
            <w:tcBorders>
              <w:top w:val="nil"/>
              <w:left w:val="nil"/>
              <w:bottom w:val="nil"/>
              <w:right w:val="nil"/>
            </w:tcBorders>
            <w:shd w:val="clear" w:color="auto" w:fill="auto"/>
            <w:noWrap/>
            <w:vAlign w:val="bottom"/>
            <w:hideMark/>
          </w:tcPr>
          <w:p w14:paraId="7410582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1,040.1</w:t>
            </w:r>
          </w:p>
        </w:tc>
        <w:tc>
          <w:tcPr>
            <w:tcW w:w="960" w:type="dxa"/>
            <w:tcBorders>
              <w:top w:val="nil"/>
              <w:left w:val="nil"/>
              <w:bottom w:val="nil"/>
              <w:right w:val="nil"/>
            </w:tcBorders>
            <w:shd w:val="clear" w:color="auto" w:fill="auto"/>
            <w:noWrap/>
            <w:vAlign w:val="bottom"/>
            <w:hideMark/>
          </w:tcPr>
          <w:p w14:paraId="3212772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290</w:t>
            </w:r>
          </w:p>
        </w:tc>
        <w:tc>
          <w:tcPr>
            <w:tcW w:w="1261" w:type="dxa"/>
            <w:tcBorders>
              <w:top w:val="nil"/>
              <w:left w:val="nil"/>
              <w:bottom w:val="nil"/>
              <w:right w:val="nil"/>
            </w:tcBorders>
            <w:shd w:val="clear" w:color="auto" w:fill="auto"/>
            <w:noWrap/>
            <w:vAlign w:val="bottom"/>
            <w:hideMark/>
          </w:tcPr>
          <w:p w14:paraId="0971183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626.4</w:t>
            </w:r>
          </w:p>
        </w:tc>
        <w:tc>
          <w:tcPr>
            <w:tcW w:w="960" w:type="dxa"/>
            <w:tcBorders>
              <w:top w:val="nil"/>
              <w:left w:val="nil"/>
              <w:bottom w:val="nil"/>
              <w:right w:val="nil"/>
            </w:tcBorders>
            <w:shd w:val="clear" w:color="auto" w:fill="auto"/>
            <w:noWrap/>
            <w:vAlign w:val="bottom"/>
            <w:hideMark/>
          </w:tcPr>
          <w:p w14:paraId="52BAA6A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175</w:t>
            </w:r>
          </w:p>
        </w:tc>
      </w:tr>
      <w:tr w:rsidR="00EE4837" w:rsidRPr="007239A6" w14:paraId="4D7622E3" w14:textId="77777777" w:rsidTr="00181ACD">
        <w:trPr>
          <w:trHeight w:val="288"/>
        </w:trPr>
        <w:tc>
          <w:tcPr>
            <w:tcW w:w="1586" w:type="dxa"/>
            <w:tcBorders>
              <w:top w:val="nil"/>
              <w:left w:val="nil"/>
              <w:bottom w:val="nil"/>
              <w:right w:val="nil"/>
            </w:tcBorders>
            <w:shd w:val="clear" w:color="auto" w:fill="auto"/>
            <w:noWrap/>
            <w:vAlign w:val="bottom"/>
            <w:hideMark/>
          </w:tcPr>
          <w:p w14:paraId="609CACC8"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Bloomfield</w:t>
            </w:r>
          </w:p>
        </w:tc>
        <w:tc>
          <w:tcPr>
            <w:tcW w:w="1261" w:type="dxa"/>
            <w:tcBorders>
              <w:top w:val="nil"/>
              <w:left w:val="nil"/>
              <w:bottom w:val="nil"/>
              <w:right w:val="nil"/>
            </w:tcBorders>
            <w:shd w:val="clear" w:color="auto" w:fill="auto"/>
            <w:noWrap/>
            <w:vAlign w:val="bottom"/>
            <w:hideMark/>
          </w:tcPr>
          <w:p w14:paraId="759D5B6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5,582.3</w:t>
            </w:r>
          </w:p>
        </w:tc>
        <w:tc>
          <w:tcPr>
            <w:tcW w:w="960" w:type="dxa"/>
            <w:tcBorders>
              <w:top w:val="nil"/>
              <w:left w:val="nil"/>
              <w:bottom w:val="nil"/>
              <w:right w:val="nil"/>
            </w:tcBorders>
            <w:shd w:val="clear" w:color="auto" w:fill="auto"/>
            <w:noWrap/>
            <w:vAlign w:val="bottom"/>
            <w:hideMark/>
          </w:tcPr>
          <w:p w14:paraId="30C7999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271</w:t>
            </w:r>
          </w:p>
        </w:tc>
        <w:tc>
          <w:tcPr>
            <w:tcW w:w="1261" w:type="dxa"/>
            <w:tcBorders>
              <w:top w:val="nil"/>
              <w:left w:val="nil"/>
              <w:bottom w:val="nil"/>
              <w:right w:val="nil"/>
            </w:tcBorders>
            <w:shd w:val="clear" w:color="auto" w:fill="auto"/>
            <w:noWrap/>
            <w:vAlign w:val="bottom"/>
            <w:hideMark/>
          </w:tcPr>
          <w:p w14:paraId="745B16E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5,679.9</w:t>
            </w:r>
          </w:p>
        </w:tc>
        <w:tc>
          <w:tcPr>
            <w:tcW w:w="960" w:type="dxa"/>
            <w:tcBorders>
              <w:top w:val="nil"/>
              <w:left w:val="nil"/>
              <w:bottom w:val="nil"/>
              <w:right w:val="nil"/>
            </w:tcBorders>
            <w:shd w:val="clear" w:color="auto" w:fill="auto"/>
            <w:noWrap/>
            <w:vAlign w:val="bottom"/>
            <w:hideMark/>
          </w:tcPr>
          <w:p w14:paraId="658B9EB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276</w:t>
            </w:r>
          </w:p>
        </w:tc>
        <w:tc>
          <w:tcPr>
            <w:tcW w:w="1261" w:type="dxa"/>
            <w:tcBorders>
              <w:top w:val="nil"/>
              <w:left w:val="nil"/>
              <w:bottom w:val="nil"/>
              <w:right w:val="nil"/>
            </w:tcBorders>
            <w:shd w:val="clear" w:color="auto" w:fill="auto"/>
            <w:noWrap/>
            <w:vAlign w:val="bottom"/>
            <w:hideMark/>
          </w:tcPr>
          <w:p w14:paraId="385404C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16,308.8</w:t>
            </w:r>
          </w:p>
        </w:tc>
        <w:tc>
          <w:tcPr>
            <w:tcW w:w="960" w:type="dxa"/>
            <w:tcBorders>
              <w:top w:val="nil"/>
              <w:left w:val="nil"/>
              <w:bottom w:val="nil"/>
              <w:right w:val="nil"/>
            </w:tcBorders>
            <w:shd w:val="clear" w:color="auto" w:fill="auto"/>
            <w:noWrap/>
            <w:vAlign w:val="bottom"/>
            <w:hideMark/>
          </w:tcPr>
          <w:p w14:paraId="0A4838A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793</w:t>
            </w:r>
          </w:p>
        </w:tc>
        <w:tc>
          <w:tcPr>
            <w:tcW w:w="1261" w:type="dxa"/>
            <w:tcBorders>
              <w:top w:val="nil"/>
              <w:left w:val="nil"/>
              <w:bottom w:val="nil"/>
              <w:right w:val="nil"/>
            </w:tcBorders>
            <w:shd w:val="clear" w:color="auto" w:fill="auto"/>
            <w:noWrap/>
            <w:vAlign w:val="bottom"/>
            <w:hideMark/>
          </w:tcPr>
          <w:p w14:paraId="0FB17FB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6,116.0</w:t>
            </w:r>
          </w:p>
        </w:tc>
        <w:tc>
          <w:tcPr>
            <w:tcW w:w="960" w:type="dxa"/>
            <w:tcBorders>
              <w:top w:val="nil"/>
              <w:left w:val="nil"/>
              <w:bottom w:val="nil"/>
              <w:right w:val="nil"/>
            </w:tcBorders>
            <w:shd w:val="clear" w:color="auto" w:fill="auto"/>
            <w:noWrap/>
            <w:vAlign w:val="bottom"/>
            <w:hideMark/>
          </w:tcPr>
          <w:p w14:paraId="277E23D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297</w:t>
            </w:r>
          </w:p>
        </w:tc>
        <w:tc>
          <w:tcPr>
            <w:tcW w:w="1261" w:type="dxa"/>
            <w:tcBorders>
              <w:top w:val="nil"/>
              <w:left w:val="nil"/>
              <w:bottom w:val="nil"/>
              <w:right w:val="nil"/>
            </w:tcBorders>
            <w:shd w:val="clear" w:color="auto" w:fill="auto"/>
            <w:noWrap/>
            <w:vAlign w:val="bottom"/>
            <w:hideMark/>
          </w:tcPr>
          <w:p w14:paraId="2D30DE9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11,557.5</w:t>
            </w:r>
          </w:p>
        </w:tc>
        <w:tc>
          <w:tcPr>
            <w:tcW w:w="960" w:type="dxa"/>
            <w:tcBorders>
              <w:top w:val="nil"/>
              <w:left w:val="nil"/>
              <w:bottom w:val="nil"/>
              <w:right w:val="nil"/>
            </w:tcBorders>
            <w:shd w:val="clear" w:color="auto" w:fill="auto"/>
            <w:noWrap/>
            <w:vAlign w:val="bottom"/>
            <w:hideMark/>
          </w:tcPr>
          <w:p w14:paraId="46D7521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562</w:t>
            </w:r>
          </w:p>
        </w:tc>
      </w:tr>
      <w:tr w:rsidR="00EE4837" w:rsidRPr="007239A6" w14:paraId="3C1522B9" w14:textId="77777777" w:rsidTr="00181ACD">
        <w:trPr>
          <w:trHeight w:val="288"/>
        </w:trPr>
        <w:tc>
          <w:tcPr>
            <w:tcW w:w="1586" w:type="dxa"/>
            <w:tcBorders>
              <w:top w:val="nil"/>
              <w:left w:val="nil"/>
              <w:bottom w:val="nil"/>
              <w:right w:val="nil"/>
            </w:tcBorders>
            <w:shd w:val="clear" w:color="auto" w:fill="auto"/>
            <w:noWrap/>
            <w:vAlign w:val="bottom"/>
            <w:hideMark/>
          </w:tcPr>
          <w:p w14:paraId="48253E13"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Bolton</w:t>
            </w:r>
          </w:p>
        </w:tc>
        <w:tc>
          <w:tcPr>
            <w:tcW w:w="1261" w:type="dxa"/>
            <w:tcBorders>
              <w:top w:val="nil"/>
              <w:left w:val="nil"/>
              <w:bottom w:val="nil"/>
              <w:right w:val="nil"/>
            </w:tcBorders>
            <w:shd w:val="clear" w:color="auto" w:fill="auto"/>
            <w:noWrap/>
            <w:vAlign w:val="bottom"/>
            <w:hideMark/>
          </w:tcPr>
          <w:p w14:paraId="57CB300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1,572.5</w:t>
            </w:r>
          </w:p>
        </w:tc>
        <w:tc>
          <w:tcPr>
            <w:tcW w:w="960" w:type="dxa"/>
            <w:tcBorders>
              <w:top w:val="nil"/>
              <w:left w:val="nil"/>
              <w:bottom w:val="nil"/>
              <w:right w:val="nil"/>
            </w:tcBorders>
            <w:shd w:val="clear" w:color="auto" w:fill="auto"/>
            <w:noWrap/>
            <w:vAlign w:val="bottom"/>
            <w:hideMark/>
          </w:tcPr>
          <w:p w14:paraId="28FF31B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316</w:t>
            </w:r>
          </w:p>
        </w:tc>
        <w:tc>
          <w:tcPr>
            <w:tcW w:w="1261" w:type="dxa"/>
            <w:tcBorders>
              <w:top w:val="nil"/>
              <w:left w:val="nil"/>
              <w:bottom w:val="nil"/>
              <w:right w:val="nil"/>
            </w:tcBorders>
            <w:shd w:val="clear" w:color="auto" w:fill="auto"/>
            <w:noWrap/>
            <w:vAlign w:val="bottom"/>
            <w:hideMark/>
          </w:tcPr>
          <w:p w14:paraId="612264B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1,686.9</w:t>
            </w:r>
          </w:p>
        </w:tc>
        <w:tc>
          <w:tcPr>
            <w:tcW w:w="960" w:type="dxa"/>
            <w:tcBorders>
              <w:top w:val="nil"/>
              <w:left w:val="nil"/>
              <w:bottom w:val="nil"/>
              <w:right w:val="nil"/>
            </w:tcBorders>
            <w:shd w:val="clear" w:color="auto" w:fill="auto"/>
            <w:noWrap/>
            <w:vAlign w:val="bottom"/>
            <w:hideMark/>
          </w:tcPr>
          <w:p w14:paraId="7F7F6FC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339</w:t>
            </w:r>
          </w:p>
        </w:tc>
        <w:tc>
          <w:tcPr>
            <w:tcW w:w="1261" w:type="dxa"/>
            <w:tcBorders>
              <w:top w:val="nil"/>
              <w:left w:val="nil"/>
              <w:bottom w:val="nil"/>
              <w:right w:val="nil"/>
            </w:tcBorders>
            <w:shd w:val="clear" w:color="auto" w:fill="auto"/>
            <w:noWrap/>
            <w:vAlign w:val="bottom"/>
            <w:hideMark/>
          </w:tcPr>
          <w:p w14:paraId="56F07D0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579.3</w:t>
            </w:r>
          </w:p>
        </w:tc>
        <w:tc>
          <w:tcPr>
            <w:tcW w:w="960" w:type="dxa"/>
            <w:tcBorders>
              <w:top w:val="nil"/>
              <w:left w:val="nil"/>
              <w:bottom w:val="nil"/>
              <w:right w:val="nil"/>
            </w:tcBorders>
            <w:shd w:val="clear" w:color="auto" w:fill="auto"/>
            <w:noWrap/>
            <w:vAlign w:val="bottom"/>
            <w:hideMark/>
          </w:tcPr>
          <w:p w14:paraId="62F8B3D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117</w:t>
            </w:r>
          </w:p>
        </w:tc>
        <w:tc>
          <w:tcPr>
            <w:tcW w:w="1261" w:type="dxa"/>
            <w:tcBorders>
              <w:top w:val="nil"/>
              <w:left w:val="nil"/>
              <w:bottom w:val="nil"/>
              <w:right w:val="nil"/>
            </w:tcBorders>
            <w:shd w:val="clear" w:color="auto" w:fill="auto"/>
            <w:noWrap/>
            <w:vAlign w:val="bottom"/>
            <w:hideMark/>
          </w:tcPr>
          <w:p w14:paraId="7A17C0C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1,908.3</w:t>
            </w:r>
          </w:p>
        </w:tc>
        <w:tc>
          <w:tcPr>
            <w:tcW w:w="960" w:type="dxa"/>
            <w:tcBorders>
              <w:top w:val="nil"/>
              <w:left w:val="nil"/>
              <w:bottom w:val="nil"/>
              <w:right w:val="nil"/>
            </w:tcBorders>
            <w:shd w:val="clear" w:color="auto" w:fill="auto"/>
            <w:noWrap/>
            <w:vAlign w:val="bottom"/>
            <w:hideMark/>
          </w:tcPr>
          <w:p w14:paraId="7C4A85C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384</w:t>
            </w:r>
          </w:p>
        </w:tc>
        <w:tc>
          <w:tcPr>
            <w:tcW w:w="1261" w:type="dxa"/>
            <w:tcBorders>
              <w:top w:val="nil"/>
              <w:left w:val="nil"/>
              <w:bottom w:val="nil"/>
              <w:right w:val="nil"/>
            </w:tcBorders>
            <w:shd w:val="clear" w:color="auto" w:fill="auto"/>
            <w:noWrap/>
            <w:vAlign w:val="bottom"/>
            <w:hideMark/>
          </w:tcPr>
          <w:p w14:paraId="51FBF3A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1,193.1</w:t>
            </w:r>
          </w:p>
        </w:tc>
        <w:tc>
          <w:tcPr>
            <w:tcW w:w="960" w:type="dxa"/>
            <w:tcBorders>
              <w:top w:val="nil"/>
              <w:left w:val="nil"/>
              <w:bottom w:val="nil"/>
              <w:right w:val="nil"/>
            </w:tcBorders>
            <w:shd w:val="clear" w:color="auto" w:fill="auto"/>
            <w:noWrap/>
            <w:vAlign w:val="bottom"/>
            <w:hideMark/>
          </w:tcPr>
          <w:p w14:paraId="49BEE99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240</w:t>
            </w:r>
          </w:p>
        </w:tc>
      </w:tr>
      <w:tr w:rsidR="00EE4837" w:rsidRPr="007239A6" w14:paraId="18A53C24" w14:textId="77777777" w:rsidTr="00181ACD">
        <w:trPr>
          <w:trHeight w:val="288"/>
        </w:trPr>
        <w:tc>
          <w:tcPr>
            <w:tcW w:w="1586" w:type="dxa"/>
            <w:tcBorders>
              <w:top w:val="nil"/>
              <w:left w:val="nil"/>
              <w:bottom w:val="nil"/>
              <w:right w:val="nil"/>
            </w:tcBorders>
            <w:shd w:val="clear" w:color="auto" w:fill="auto"/>
            <w:noWrap/>
            <w:vAlign w:val="bottom"/>
            <w:hideMark/>
          </w:tcPr>
          <w:p w14:paraId="11E1E24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Bozrah</w:t>
            </w:r>
          </w:p>
        </w:tc>
        <w:tc>
          <w:tcPr>
            <w:tcW w:w="1261" w:type="dxa"/>
            <w:tcBorders>
              <w:top w:val="nil"/>
              <w:left w:val="nil"/>
              <w:bottom w:val="nil"/>
              <w:right w:val="nil"/>
            </w:tcBorders>
            <w:shd w:val="clear" w:color="auto" w:fill="auto"/>
            <w:noWrap/>
            <w:vAlign w:val="bottom"/>
            <w:hideMark/>
          </w:tcPr>
          <w:p w14:paraId="21B1C9A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582.6</w:t>
            </w:r>
          </w:p>
        </w:tc>
        <w:tc>
          <w:tcPr>
            <w:tcW w:w="960" w:type="dxa"/>
            <w:tcBorders>
              <w:top w:val="nil"/>
              <w:left w:val="nil"/>
              <w:bottom w:val="nil"/>
              <w:right w:val="nil"/>
            </w:tcBorders>
            <w:shd w:val="clear" w:color="auto" w:fill="auto"/>
            <w:noWrap/>
            <w:vAlign w:val="bottom"/>
            <w:hideMark/>
          </w:tcPr>
          <w:p w14:paraId="3C91F70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223</w:t>
            </w:r>
          </w:p>
        </w:tc>
        <w:tc>
          <w:tcPr>
            <w:tcW w:w="1261" w:type="dxa"/>
            <w:tcBorders>
              <w:top w:val="nil"/>
              <w:left w:val="nil"/>
              <w:bottom w:val="nil"/>
              <w:right w:val="nil"/>
            </w:tcBorders>
            <w:shd w:val="clear" w:color="auto" w:fill="auto"/>
            <w:noWrap/>
            <w:vAlign w:val="bottom"/>
            <w:hideMark/>
          </w:tcPr>
          <w:p w14:paraId="46BF1FA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556.2</w:t>
            </w:r>
          </w:p>
        </w:tc>
        <w:tc>
          <w:tcPr>
            <w:tcW w:w="960" w:type="dxa"/>
            <w:tcBorders>
              <w:top w:val="nil"/>
              <w:left w:val="nil"/>
              <w:bottom w:val="nil"/>
              <w:right w:val="nil"/>
            </w:tcBorders>
            <w:shd w:val="clear" w:color="auto" w:fill="auto"/>
            <w:noWrap/>
            <w:vAlign w:val="bottom"/>
            <w:hideMark/>
          </w:tcPr>
          <w:p w14:paraId="2D2D845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212</w:t>
            </w:r>
          </w:p>
        </w:tc>
        <w:tc>
          <w:tcPr>
            <w:tcW w:w="1261" w:type="dxa"/>
            <w:tcBorders>
              <w:top w:val="nil"/>
              <w:left w:val="nil"/>
              <w:bottom w:val="nil"/>
              <w:right w:val="nil"/>
            </w:tcBorders>
            <w:shd w:val="clear" w:color="auto" w:fill="auto"/>
            <w:noWrap/>
            <w:vAlign w:val="bottom"/>
            <w:hideMark/>
          </w:tcPr>
          <w:p w14:paraId="463B969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507.5</w:t>
            </w:r>
          </w:p>
        </w:tc>
        <w:tc>
          <w:tcPr>
            <w:tcW w:w="960" w:type="dxa"/>
            <w:tcBorders>
              <w:top w:val="nil"/>
              <w:left w:val="nil"/>
              <w:bottom w:val="nil"/>
              <w:right w:val="nil"/>
            </w:tcBorders>
            <w:shd w:val="clear" w:color="auto" w:fill="auto"/>
            <w:noWrap/>
            <w:vAlign w:val="bottom"/>
            <w:hideMark/>
          </w:tcPr>
          <w:p w14:paraId="770CD82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194</w:t>
            </w:r>
          </w:p>
        </w:tc>
        <w:tc>
          <w:tcPr>
            <w:tcW w:w="1261" w:type="dxa"/>
            <w:tcBorders>
              <w:top w:val="nil"/>
              <w:left w:val="nil"/>
              <w:bottom w:val="nil"/>
              <w:right w:val="nil"/>
            </w:tcBorders>
            <w:shd w:val="clear" w:color="auto" w:fill="auto"/>
            <w:noWrap/>
            <w:vAlign w:val="bottom"/>
            <w:hideMark/>
          </w:tcPr>
          <w:p w14:paraId="42CE0E7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667.3</w:t>
            </w:r>
          </w:p>
        </w:tc>
        <w:tc>
          <w:tcPr>
            <w:tcW w:w="960" w:type="dxa"/>
            <w:tcBorders>
              <w:top w:val="nil"/>
              <w:left w:val="nil"/>
              <w:bottom w:val="nil"/>
              <w:right w:val="nil"/>
            </w:tcBorders>
            <w:shd w:val="clear" w:color="auto" w:fill="auto"/>
            <w:noWrap/>
            <w:vAlign w:val="bottom"/>
            <w:hideMark/>
          </w:tcPr>
          <w:p w14:paraId="760DB61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255</w:t>
            </w:r>
          </w:p>
        </w:tc>
        <w:tc>
          <w:tcPr>
            <w:tcW w:w="1261" w:type="dxa"/>
            <w:tcBorders>
              <w:top w:val="nil"/>
              <w:left w:val="nil"/>
              <w:bottom w:val="nil"/>
              <w:right w:val="nil"/>
            </w:tcBorders>
            <w:shd w:val="clear" w:color="auto" w:fill="auto"/>
            <w:noWrap/>
            <w:vAlign w:val="bottom"/>
            <w:hideMark/>
          </w:tcPr>
          <w:p w14:paraId="070F2F1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584.9</w:t>
            </w:r>
          </w:p>
        </w:tc>
        <w:tc>
          <w:tcPr>
            <w:tcW w:w="960" w:type="dxa"/>
            <w:tcBorders>
              <w:top w:val="nil"/>
              <w:left w:val="nil"/>
              <w:bottom w:val="nil"/>
              <w:right w:val="nil"/>
            </w:tcBorders>
            <w:shd w:val="clear" w:color="auto" w:fill="auto"/>
            <w:noWrap/>
            <w:vAlign w:val="bottom"/>
            <w:hideMark/>
          </w:tcPr>
          <w:p w14:paraId="6C8DD80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223</w:t>
            </w:r>
          </w:p>
        </w:tc>
      </w:tr>
      <w:tr w:rsidR="00EE4837" w:rsidRPr="007239A6" w14:paraId="5A051A98" w14:textId="77777777" w:rsidTr="00181ACD">
        <w:trPr>
          <w:trHeight w:val="288"/>
        </w:trPr>
        <w:tc>
          <w:tcPr>
            <w:tcW w:w="1586" w:type="dxa"/>
            <w:tcBorders>
              <w:top w:val="nil"/>
              <w:left w:val="nil"/>
              <w:bottom w:val="nil"/>
              <w:right w:val="nil"/>
            </w:tcBorders>
            <w:shd w:val="clear" w:color="auto" w:fill="auto"/>
            <w:noWrap/>
            <w:vAlign w:val="bottom"/>
            <w:hideMark/>
          </w:tcPr>
          <w:p w14:paraId="16010287"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Branford</w:t>
            </w:r>
          </w:p>
        </w:tc>
        <w:tc>
          <w:tcPr>
            <w:tcW w:w="1261" w:type="dxa"/>
            <w:tcBorders>
              <w:top w:val="nil"/>
              <w:left w:val="nil"/>
              <w:bottom w:val="nil"/>
              <w:right w:val="nil"/>
            </w:tcBorders>
            <w:shd w:val="clear" w:color="auto" w:fill="auto"/>
            <w:noWrap/>
            <w:vAlign w:val="bottom"/>
            <w:hideMark/>
          </w:tcPr>
          <w:p w14:paraId="3FCAB98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8,785.0</w:t>
            </w:r>
          </w:p>
        </w:tc>
        <w:tc>
          <w:tcPr>
            <w:tcW w:w="960" w:type="dxa"/>
            <w:tcBorders>
              <w:top w:val="nil"/>
              <w:left w:val="nil"/>
              <w:bottom w:val="nil"/>
              <w:right w:val="nil"/>
            </w:tcBorders>
            <w:shd w:val="clear" w:color="auto" w:fill="auto"/>
            <w:noWrap/>
            <w:vAlign w:val="bottom"/>
            <w:hideMark/>
          </w:tcPr>
          <w:p w14:paraId="5F3C4AA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313</w:t>
            </w:r>
          </w:p>
        </w:tc>
        <w:tc>
          <w:tcPr>
            <w:tcW w:w="1261" w:type="dxa"/>
            <w:tcBorders>
              <w:top w:val="nil"/>
              <w:left w:val="nil"/>
              <w:bottom w:val="nil"/>
              <w:right w:val="nil"/>
            </w:tcBorders>
            <w:shd w:val="clear" w:color="auto" w:fill="auto"/>
            <w:noWrap/>
            <w:vAlign w:val="bottom"/>
            <w:hideMark/>
          </w:tcPr>
          <w:p w14:paraId="2707F37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9,440.0</w:t>
            </w:r>
          </w:p>
        </w:tc>
        <w:tc>
          <w:tcPr>
            <w:tcW w:w="960" w:type="dxa"/>
            <w:tcBorders>
              <w:top w:val="nil"/>
              <w:left w:val="nil"/>
              <w:bottom w:val="nil"/>
              <w:right w:val="nil"/>
            </w:tcBorders>
            <w:shd w:val="clear" w:color="auto" w:fill="auto"/>
            <w:noWrap/>
            <w:vAlign w:val="bottom"/>
            <w:hideMark/>
          </w:tcPr>
          <w:p w14:paraId="77148C3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337</w:t>
            </w:r>
          </w:p>
        </w:tc>
        <w:tc>
          <w:tcPr>
            <w:tcW w:w="1261" w:type="dxa"/>
            <w:tcBorders>
              <w:top w:val="nil"/>
              <w:left w:val="nil"/>
              <w:bottom w:val="nil"/>
              <w:right w:val="nil"/>
            </w:tcBorders>
            <w:shd w:val="clear" w:color="auto" w:fill="auto"/>
            <w:noWrap/>
            <w:vAlign w:val="bottom"/>
            <w:hideMark/>
          </w:tcPr>
          <w:p w14:paraId="6A545F0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6,338.3</w:t>
            </w:r>
          </w:p>
        </w:tc>
        <w:tc>
          <w:tcPr>
            <w:tcW w:w="960" w:type="dxa"/>
            <w:tcBorders>
              <w:top w:val="nil"/>
              <w:left w:val="nil"/>
              <w:bottom w:val="nil"/>
              <w:right w:val="nil"/>
            </w:tcBorders>
            <w:shd w:val="clear" w:color="auto" w:fill="auto"/>
            <w:noWrap/>
            <w:vAlign w:val="bottom"/>
            <w:hideMark/>
          </w:tcPr>
          <w:p w14:paraId="41CEF80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226</w:t>
            </w:r>
          </w:p>
        </w:tc>
        <w:tc>
          <w:tcPr>
            <w:tcW w:w="1261" w:type="dxa"/>
            <w:tcBorders>
              <w:top w:val="nil"/>
              <w:left w:val="nil"/>
              <w:bottom w:val="nil"/>
              <w:right w:val="nil"/>
            </w:tcBorders>
            <w:shd w:val="clear" w:color="auto" w:fill="auto"/>
            <w:noWrap/>
            <w:vAlign w:val="bottom"/>
            <w:hideMark/>
          </w:tcPr>
          <w:p w14:paraId="3C0EB00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9,733.1</w:t>
            </w:r>
          </w:p>
        </w:tc>
        <w:tc>
          <w:tcPr>
            <w:tcW w:w="960" w:type="dxa"/>
            <w:tcBorders>
              <w:top w:val="nil"/>
              <w:left w:val="nil"/>
              <w:bottom w:val="nil"/>
              <w:right w:val="nil"/>
            </w:tcBorders>
            <w:shd w:val="clear" w:color="auto" w:fill="auto"/>
            <w:noWrap/>
            <w:vAlign w:val="bottom"/>
            <w:hideMark/>
          </w:tcPr>
          <w:p w14:paraId="1A8434A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347</w:t>
            </w:r>
          </w:p>
        </w:tc>
        <w:tc>
          <w:tcPr>
            <w:tcW w:w="1261" w:type="dxa"/>
            <w:tcBorders>
              <w:top w:val="nil"/>
              <w:left w:val="nil"/>
              <w:bottom w:val="nil"/>
              <w:right w:val="nil"/>
            </w:tcBorders>
            <w:shd w:val="clear" w:color="auto" w:fill="auto"/>
            <w:noWrap/>
            <w:vAlign w:val="bottom"/>
            <w:hideMark/>
          </w:tcPr>
          <w:p w14:paraId="5CE45C9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7,941.3</w:t>
            </w:r>
          </w:p>
        </w:tc>
        <w:tc>
          <w:tcPr>
            <w:tcW w:w="960" w:type="dxa"/>
            <w:tcBorders>
              <w:top w:val="nil"/>
              <w:left w:val="nil"/>
              <w:bottom w:val="nil"/>
              <w:right w:val="nil"/>
            </w:tcBorders>
            <w:shd w:val="clear" w:color="auto" w:fill="auto"/>
            <w:noWrap/>
            <w:vAlign w:val="bottom"/>
            <w:hideMark/>
          </w:tcPr>
          <w:p w14:paraId="3FC0944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283</w:t>
            </w:r>
          </w:p>
        </w:tc>
      </w:tr>
      <w:tr w:rsidR="00EE4837" w:rsidRPr="007239A6" w14:paraId="4D44E2B2" w14:textId="77777777" w:rsidTr="00181ACD">
        <w:trPr>
          <w:trHeight w:val="288"/>
        </w:trPr>
        <w:tc>
          <w:tcPr>
            <w:tcW w:w="1586" w:type="dxa"/>
            <w:tcBorders>
              <w:top w:val="nil"/>
              <w:left w:val="nil"/>
              <w:bottom w:val="nil"/>
              <w:right w:val="nil"/>
            </w:tcBorders>
            <w:shd w:val="clear" w:color="auto" w:fill="auto"/>
            <w:noWrap/>
            <w:vAlign w:val="bottom"/>
            <w:hideMark/>
          </w:tcPr>
          <w:p w14:paraId="10DA18E8"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Bridgeport</w:t>
            </w:r>
          </w:p>
        </w:tc>
        <w:tc>
          <w:tcPr>
            <w:tcW w:w="1261" w:type="dxa"/>
            <w:tcBorders>
              <w:top w:val="nil"/>
              <w:left w:val="nil"/>
              <w:bottom w:val="nil"/>
              <w:right w:val="nil"/>
            </w:tcBorders>
            <w:shd w:val="clear" w:color="auto" w:fill="auto"/>
            <w:noWrap/>
            <w:vAlign w:val="bottom"/>
            <w:hideMark/>
          </w:tcPr>
          <w:p w14:paraId="19FA2E0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15,660.4</w:t>
            </w:r>
          </w:p>
        </w:tc>
        <w:tc>
          <w:tcPr>
            <w:tcW w:w="960" w:type="dxa"/>
            <w:tcBorders>
              <w:top w:val="nil"/>
              <w:left w:val="nil"/>
              <w:bottom w:val="nil"/>
              <w:right w:val="nil"/>
            </w:tcBorders>
            <w:shd w:val="clear" w:color="auto" w:fill="auto"/>
            <w:noWrap/>
            <w:vAlign w:val="bottom"/>
            <w:hideMark/>
          </w:tcPr>
          <w:p w14:paraId="2DC4DA2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108</w:t>
            </w:r>
          </w:p>
        </w:tc>
        <w:tc>
          <w:tcPr>
            <w:tcW w:w="1261" w:type="dxa"/>
            <w:tcBorders>
              <w:top w:val="nil"/>
              <w:left w:val="nil"/>
              <w:bottom w:val="nil"/>
              <w:right w:val="nil"/>
            </w:tcBorders>
            <w:shd w:val="clear" w:color="auto" w:fill="auto"/>
            <w:noWrap/>
            <w:vAlign w:val="bottom"/>
            <w:hideMark/>
          </w:tcPr>
          <w:p w14:paraId="73F0C2B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9,720.7</w:t>
            </w:r>
          </w:p>
        </w:tc>
        <w:tc>
          <w:tcPr>
            <w:tcW w:w="960" w:type="dxa"/>
            <w:tcBorders>
              <w:top w:val="nil"/>
              <w:left w:val="nil"/>
              <w:bottom w:val="nil"/>
              <w:right w:val="nil"/>
            </w:tcBorders>
            <w:shd w:val="clear" w:color="auto" w:fill="auto"/>
            <w:noWrap/>
            <w:vAlign w:val="bottom"/>
            <w:hideMark/>
          </w:tcPr>
          <w:p w14:paraId="766A85B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67</w:t>
            </w:r>
          </w:p>
        </w:tc>
        <w:tc>
          <w:tcPr>
            <w:tcW w:w="1261" w:type="dxa"/>
            <w:tcBorders>
              <w:top w:val="nil"/>
              <w:left w:val="nil"/>
              <w:bottom w:val="nil"/>
              <w:right w:val="nil"/>
            </w:tcBorders>
            <w:shd w:val="clear" w:color="auto" w:fill="auto"/>
            <w:noWrap/>
            <w:vAlign w:val="bottom"/>
            <w:hideMark/>
          </w:tcPr>
          <w:p w14:paraId="6F9900A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24,131.7</w:t>
            </w:r>
          </w:p>
        </w:tc>
        <w:tc>
          <w:tcPr>
            <w:tcW w:w="960" w:type="dxa"/>
            <w:tcBorders>
              <w:top w:val="nil"/>
              <w:left w:val="nil"/>
              <w:bottom w:val="nil"/>
              <w:right w:val="nil"/>
            </w:tcBorders>
            <w:shd w:val="clear" w:color="auto" w:fill="auto"/>
            <w:noWrap/>
            <w:vAlign w:val="bottom"/>
            <w:hideMark/>
          </w:tcPr>
          <w:p w14:paraId="5BBB80B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166</w:t>
            </w:r>
          </w:p>
        </w:tc>
        <w:tc>
          <w:tcPr>
            <w:tcW w:w="1261" w:type="dxa"/>
            <w:tcBorders>
              <w:top w:val="nil"/>
              <w:left w:val="nil"/>
              <w:bottom w:val="nil"/>
              <w:right w:val="nil"/>
            </w:tcBorders>
            <w:shd w:val="clear" w:color="auto" w:fill="auto"/>
            <w:noWrap/>
            <w:vAlign w:val="bottom"/>
            <w:hideMark/>
          </w:tcPr>
          <w:p w14:paraId="4345587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19,880.3</w:t>
            </w:r>
          </w:p>
        </w:tc>
        <w:tc>
          <w:tcPr>
            <w:tcW w:w="960" w:type="dxa"/>
            <w:tcBorders>
              <w:top w:val="nil"/>
              <w:left w:val="nil"/>
              <w:bottom w:val="nil"/>
              <w:right w:val="nil"/>
            </w:tcBorders>
            <w:shd w:val="clear" w:color="auto" w:fill="auto"/>
            <w:noWrap/>
            <w:vAlign w:val="bottom"/>
            <w:hideMark/>
          </w:tcPr>
          <w:p w14:paraId="5660070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137</w:t>
            </w:r>
          </w:p>
        </w:tc>
        <w:tc>
          <w:tcPr>
            <w:tcW w:w="1261" w:type="dxa"/>
            <w:tcBorders>
              <w:top w:val="nil"/>
              <w:left w:val="nil"/>
              <w:bottom w:val="nil"/>
              <w:right w:val="nil"/>
            </w:tcBorders>
            <w:shd w:val="clear" w:color="auto" w:fill="auto"/>
            <w:noWrap/>
            <w:vAlign w:val="bottom"/>
            <w:hideMark/>
          </w:tcPr>
          <w:p w14:paraId="3CFB698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22,127.3</w:t>
            </w:r>
          </w:p>
        </w:tc>
        <w:tc>
          <w:tcPr>
            <w:tcW w:w="960" w:type="dxa"/>
            <w:tcBorders>
              <w:top w:val="nil"/>
              <w:left w:val="nil"/>
              <w:bottom w:val="nil"/>
              <w:right w:val="nil"/>
            </w:tcBorders>
            <w:shd w:val="clear" w:color="auto" w:fill="auto"/>
            <w:noWrap/>
            <w:vAlign w:val="bottom"/>
            <w:hideMark/>
          </w:tcPr>
          <w:p w14:paraId="140CE1F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152</w:t>
            </w:r>
          </w:p>
        </w:tc>
      </w:tr>
      <w:tr w:rsidR="00EE4837" w:rsidRPr="007239A6" w14:paraId="57346F4D" w14:textId="77777777" w:rsidTr="00181ACD">
        <w:trPr>
          <w:trHeight w:val="288"/>
        </w:trPr>
        <w:tc>
          <w:tcPr>
            <w:tcW w:w="1586" w:type="dxa"/>
            <w:tcBorders>
              <w:top w:val="nil"/>
              <w:left w:val="nil"/>
              <w:bottom w:val="nil"/>
              <w:right w:val="nil"/>
            </w:tcBorders>
            <w:shd w:val="clear" w:color="auto" w:fill="auto"/>
            <w:noWrap/>
            <w:vAlign w:val="bottom"/>
            <w:hideMark/>
          </w:tcPr>
          <w:p w14:paraId="66B9A213"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Bridgewater</w:t>
            </w:r>
          </w:p>
        </w:tc>
        <w:tc>
          <w:tcPr>
            <w:tcW w:w="1261" w:type="dxa"/>
            <w:tcBorders>
              <w:top w:val="nil"/>
              <w:left w:val="nil"/>
              <w:bottom w:val="nil"/>
              <w:right w:val="nil"/>
            </w:tcBorders>
            <w:shd w:val="clear" w:color="auto" w:fill="auto"/>
            <w:noWrap/>
            <w:vAlign w:val="bottom"/>
            <w:hideMark/>
          </w:tcPr>
          <w:p w14:paraId="7A8BA3D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768.4</w:t>
            </w:r>
          </w:p>
        </w:tc>
        <w:tc>
          <w:tcPr>
            <w:tcW w:w="960" w:type="dxa"/>
            <w:tcBorders>
              <w:top w:val="nil"/>
              <w:left w:val="nil"/>
              <w:bottom w:val="nil"/>
              <w:right w:val="nil"/>
            </w:tcBorders>
            <w:shd w:val="clear" w:color="auto" w:fill="auto"/>
            <w:noWrap/>
            <w:vAlign w:val="bottom"/>
            <w:hideMark/>
          </w:tcPr>
          <w:p w14:paraId="5A187ED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444</w:t>
            </w:r>
          </w:p>
        </w:tc>
        <w:tc>
          <w:tcPr>
            <w:tcW w:w="1261" w:type="dxa"/>
            <w:tcBorders>
              <w:top w:val="nil"/>
              <w:left w:val="nil"/>
              <w:bottom w:val="nil"/>
              <w:right w:val="nil"/>
            </w:tcBorders>
            <w:shd w:val="clear" w:color="auto" w:fill="auto"/>
            <w:noWrap/>
            <w:vAlign w:val="bottom"/>
            <w:hideMark/>
          </w:tcPr>
          <w:p w14:paraId="78C7BA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821.3</w:t>
            </w:r>
          </w:p>
        </w:tc>
        <w:tc>
          <w:tcPr>
            <w:tcW w:w="960" w:type="dxa"/>
            <w:tcBorders>
              <w:top w:val="nil"/>
              <w:left w:val="nil"/>
              <w:bottom w:val="nil"/>
              <w:right w:val="nil"/>
            </w:tcBorders>
            <w:shd w:val="clear" w:color="auto" w:fill="auto"/>
            <w:noWrap/>
            <w:vAlign w:val="bottom"/>
            <w:hideMark/>
          </w:tcPr>
          <w:p w14:paraId="214BA98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475</w:t>
            </w:r>
          </w:p>
        </w:tc>
        <w:tc>
          <w:tcPr>
            <w:tcW w:w="1261" w:type="dxa"/>
            <w:tcBorders>
              <w:top w:val="nil"/>
              <w:left w:val="nil"/>
              <w:bottom w:val="nil"/>
              <w:right w:val="nil"/>
            </w:tcBorders>
            <w:shd w:val="clear" w:color="auto" w:fill="auto"/>
            <w:noWrap/>
            <w:vAlign w:val="bottom"/>
            <w:hideMark/>
          </w:tcPr>
          <w:p w14:paraId="6EB2996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134.5</w:t>
            </w:r>
          </w:p>
        </w:tc>
        <w:tc>
          <w:tcPr>
            <w:tcW w:w="960" w:type="dxa"/>
            <w:tcBorders>
              <w:top w:val="nil"/>
              <w:left w:val="nil"/>
              <w:bottom w:val="nil"/>
              <w:right w:val="nil"/>
            </w:tcBorders>
            <w:shd w:val="clear" w:color="auto" w:fill="auto"/>
            <w:noWrap/>
            <w:vAlign w:val="bottom"/>
            <w:hideMark/>
          </w:tcPr>
          <w:p w14:paraId="54B3A83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78</w:t>
            </w:r>
          </w:p>
        </w:tc>
        <w:tc>
          <w:tcPr>
            <w:tcW w:w="1261" w:type="dxa"/>
            <w:tcBorders>
              <w:top w:val="nil"/>
              <w:left w:val="nil"/>
              <w:bottom w:val="nil"/>
              <w:right w:val="nil"/>
            </w:tcBorders>
            <w:shd w:val="clear" w:color="auto" w:fill="auto"/>
            <w:noWrap/>
            <w:vAlign w:val="bottom"/>
            <w:hideMark/>
          </w:tcPr>
          <w:p w14:paraId="0B49D90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553.5</w:t>
            </w:r>
          </w:p>
        </w:tc>
        <w:tc>
          <w:tcPr>
            <w:tcW w:w="960" w:type="dxa"/>
            <w:tcBorders>
              <w:top w:val="nil"/>
              <w:left w:val="nil"/>
              <w:bottom w:val="nil"/>
              <w:right w:val="nil"/>
            </w:tcBorders>
            <w:shd w:val="clear" w:color="auto" w:fill="auto"/>
            <w:noWrap/>
            <w:vAlign w:val="bottom"/>
            <w:hideMark/>
          </w:tcPr>
          <w:p w14:paraId="2B184D4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320</w:t>
            </w:r>
          </w:p>
        </w:tc>
        <w:tc>
          <w:tcPr>
            <w:tcW w:w="1261" w:type="dxa"/>
            <w:tcBorders>
              <w:top w:val="nil"/>
              <w:left w:val="nil"/>
              <w:bottom w:val="nil"/>
              <w:right w:val="nil"/>
            </w:tcBorders>
            <w:shd w:val="clear" w:color="auto" w:fill="auto"/>
            <w:noWrap/>
            <w:vAlign w:val="bottom"/>
            <w:hideMark/>
          </w:tcPr>
          <w:p w14:paraId="5E59147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330.6</w:t>
            </w:r>
          </w:p>
        </w:tc>
        <w:tc>
          <w:tcPr>
            <w:tcW w:w="960" w:type="dxa"/>
            <w:tcBorders>
              <w:top w:val="nil"/>
              <w:left w:val="nil"/>
              <w:bottom w:val="nil"/>
              <w:right w:val="nil"/>
            </w:tcBorders>
            <w:shd w:val="clear" w:color="auto" w:fill="auto"/>
            <w:noWrap/>
            <w:vAlign w:val="bottom"/>
            <w:hideMark/>
          </w:tcPr>
          <w:p w14:paraId="1A735FF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191</w:t>
            </w:r>
          </w:p>
        </w:tc>
      </w:tr>
      <w:tr w:rsidR="00EE4837" w:rsidRPr="007239A6" w14:paraId="7DBEE1B1" w14:textId="77777777" w:rsidTr="00181ACD">
        <w:trPr>
          <w:trHeight w:val="288"/>
        </w:trPr>
        <w:tc>
          <w:tcPr>
            <w:tcW w:w="1586" w:type="dxa"/>
            <w:tcBorders>
              <w:top w:val="nil"/>
              <w:left w:val="nil"/>
              <w:bottom w:val="nil"/>
              <w:right w:val="nil"/>
            </w:tcBorders>
            <w:shd w:val="clear" w:color="auto" w:fill="auto"/>
            <w:noWrap/>
            <w:vAlign w:val="bottom"/>
            <w:hideMark/>
          </w:tcPr>
          <w:p w14:paraId="119EB32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Bristol</w:t>
            </w:r>
          </w:p>
        </w:tc>
        <w:tc>
          <w:tcPr>
            <w:tcW w:w="1261" w:type="dxa"/>
            <w:tcBorders>
              <w:top w:val="nil"/>
              <w:left w:val="nil"/>
              <w:bottom w:val="nil"/>
              <w:right w:val="nil"/>
            </w:tcBorders>
            <w:shd w:val="clear" w:color="auto" w:fill="auto"/>
            <w:noWrap/>
            <w:vAlign w:val="bottom"/>
            <w:hideMark/>
          </w:tcPr>
          <w:p w14:paraId="104B419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11,831.2</w:t>
            </w:r>
          </w:p>
        </w:tc>
        <w:tc>
          <w:tcPr>
            <w:tcW w:w="960" w:type="dxa"/>
            <w:tcBorders>
              <w:top w:val="nil"/>
              <w:left w:val="nil"/>
              <w:bottom w:val="nil"/>
              <w:right w:val="nil"/>
            </w:tcBorders>
            <w:shd w:val="clear" w:color="auto" w:fill="auto"/>
            <w:noWrap/>
            <w:vAlign w:val="bottom"/>
            <w:hideMark/>
          </w:tcPr>
          <w:p w14:paraId="321F618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195</w:t>
            </w:r>
          </w:p>
        </w:tc>
        <w:tc>
          <w:tcPr>
            <w:tcW w:w="1261" w:type="dxa"/>
            <w:tcBorders>
              <w:top w:val="nil"/>
              <w:left w:val="nil"/>
              <w:bottom w:val="nil"/>
              <w:right w:val="nil"/>
            </w:tcBorders>
            <w:shd w:val="clear" w:color="auto" w:fill="auto"/>
            <w:noWrap/>
            <w:vAlign w:val="bottom"/>
            <w:hideMark/>
          </w:tcPr>
          <w:p w14:paraId="78EDF3B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10,609.4</w:t>
            </w:r>
          </w:p>
        </w:tc>
        <w:tc>
          <w:tcPr>
            <w:tcW w:w="960" w:type="dxa"/>
            <w:tcBorders>
              <w:top w:val="nil"/>
              <w:left w:val="nil"/>
              <w:bottom w:val="nil"/>
              <w:right w:val="nil"/>
            </w:tcBorders>
            <w:shd w:val="clear" w:color="auto" w:fill="auto"/>
            <w:noWrap/>
            <w:vAlign w:val="bottom"/>
            <w:hideMark/>
          </w:tcPr>
          <w:p w14:paraId="5BAC056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175</w:t>
            </w:r>
          </w:p>
        </w:tc>
        <w:tc>
          <w:tcPr>
            <w:tcW w:w="1261" w:type="dxa"/>
            <w:tcBorders>
              <w:top w:val="nil"/>
              <w:left w:val="nil"/>
              <w:bottom w:val="nil"/>
              <w:right w:val="nil"/>
            </w:tcBorders>
            <w:shd w:val="clear" w:color="auto" w:fill="auto"/>
            <w:noWrap/>
            <w:vAlign w:val="bottom"/>
            <w:hideMark/>
          </w:tcPr>
          <w:p w14:paraId="7159254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15,282.2</w:t>
            </w:r>
          </w:p>
        </w:tc>
        <w:tc>
          <w:tcPr>
            <w:tcW w:w="960" w:type="dxa"/>
            <w:tcBorders>
              <w:top w:val="nil"/>
              <w:left w:val="nil"/>
              <w:bottom w:val="nil"/>
              <w:right w:val="nil"/>
            </w:tcBorders>
            <w:shd w:val="clear" w:color="auto" w:fill="auto"/>
            <w:noWrap/>
            <w:vAlign w:val="bottom"/>
            <w:hideMark/>
          </w:tcPr>
          <w:p w14:paraId="03F8DAB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252</w:t>
            </w:r>
          </w:p>
        </w:tc>
        <w:tc>
          <w:tcPr>
            <w:tcW w:w="1261" w:type="dxa"/>
            <w:tcBorders>
              <w:top w:val="nil"/>
              <w:left w:val="nil"/>
              <w:bottom w:val="nil"/>
              <w:right w:val="nil"/>
            </w:tcBorders>
            <w:shd w:val="clear" w:color="auto" w:fill="auto"/>
            <w:noWrap/>
            <w:vAlign w:val="bottom"/>
            <w:hideMark/>
          </w:tcPr>
          <w:p w14:paraId="7CEC172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15,691.1</w:t>
            </w:r>
          </w:p>
        </w:tc>
        <w:tc>
          <w:tcPr>
            <w:tcW w:w="960" w:type="dxa"/>
            <w:tcBorders>
              <w:top w:val="nil"/>
              <w:left w:val="nil"/>
              <w:bottom w:val="nil"/>
              <w:right w:val="nil"/>
            </w:tcBorders>
            <w:shd w:val="clear" w:color="auto" w:fill="auto"/>
            <w:noWrap/>
            <w:vAlign w:val="bottom"/>
            <w:hideMark/>
          </w:tcPr>
          <w:p w14:paraId="0841A14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259</w:t>
            </w:r>
          </w:p>
        </w:tc>
        <w:tc>
          <w:tcPr>
            <w:tcW w:w="1261" w:type="dxa"/>
            <w:tcBorders>
              <w:top w:val="nil"/>
              <w:left w:val="nil"/>
              <w:bottom w:val="nil"/>
              <w:right w:val="nil"/>
            </w:tcBorders>
            <w:shd w:val="clear" w:color="auto" w:fill="auto"/>
            <w:noWrap/>
            <w:vAlign w:val="bottom"/>
            <w:hideMark/>
          </w:tcPr>
          <w:p w14:paraId="58D5779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15,495.2</w:t>
            </w:r>
          </w:p>
        </w:tc>
        <w:tc>
          <w:tcPr>
            <w:tcW w:w="960" w:type="dxa"/>
            <w:tcBorders>
              <w:top w:val="nil"/>
              <w:left w:val="nil"/>
              <w:bottom w:val="nil"/>
              <w:right w:val="nil"/>
            </w:tcBorders>
            <w:shd w:val="clear" w:color="auto" w:fill="auto"/>
            <w:noWrap/>
            <w:vAlign w:val="bottom"/>
            <w:hideMark/>
          </w:tcPr>
          <w:p w14:paraId="105A92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256</w:t>
            </w:r>
          </w:p>
        </w:tc>
      </w:tr>
      <w:tr w:rsidR="00EE4837" w:rsidRPr="007239A6" w14:paraId="70DF879A" w14:textId="77777777" w:rsidTr="00181ACD">
        <w:trPr>
          <w:trHeight w:val="288"/>
        </w:trPr>
        <w:tc>
          <w:tcPr>
            <w:tcW w:w="1586" w:type="dxa"/>
            <w:tcBorders>
              <w:top w:val="nil"/>
              <w:left w:val="nil"/>
              <w:bottom w:val="nil"/>
              <w:right w:val="nil"/>
            </w:tcBorders>
            <w:shd w:val="clear" w:color="auto" w:fill="auto"/>
            <w:noWrap/>
            <w:vAlign w:val="bottom"/>
            <w:hideMark/>
          </w:tcPr>
          <w:p w14:paraId="1EE542F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Brookfield</w:t>
            </w:r>
          </w:p>
        </w:tc>
        <w:tc>
          <w:tcPr>
            <w:tcW w:w="1261" w:type="dxa"/>
            <w:tcBorders>
              <w:top w:val="nil"/>
              <w:left w:val="nil"/>
              <w:bottom w:val="nil"/>
              <w:right w:val="nil"/>
            </w:tcBorders>
            <w:shd w:val="clear" w:color="auto" w:fill="auto"/>
            <w:noWrap/>
            <w:vAlign w:val="bottom"/>
            <w:hideMark/>
          </w:tcPr>
          <w:p w14:paraId="5C475E7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5,761.7</w:t>
            </w:r>
          </w:p>
        </w:tc>
        <w:tc>
          <w:tcPr>
            <w:tcW w:w="960" w:type="dxa"/>
            <w:tcBorders>
              <w:top w:val="nil"/>
              <w:left w:val="nil"/>
              <w:bottom w:val="nil"/>
              <w:right w:val="nil"/>
            </w:tcBorders>
            <w:shd w:val="clear" w:color="auto" w:fill="auto"/>
            <w:noWrap/>
            <w:vAlign w:val="bottom"/>
            <w:hideMark/>
          </w:tcPr>
          <w:p w14:paraId="38FEE4E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347</w:t>
            </w:r>
          </w:p>
        </w:tc>
        <w:tc>
          <w:tcPr>
            <w:tcW w:w="1261" w:type="dxa"/>
            <w:tcBorders>
              <w:top w:val="nil"/>
              <w:left w:val="nil"/>
              <w:bottom w:val="nil"/>
              <w:right w:val="nil"/>
            </w:tcBorders>
            <w:shd w:val="clear" w:color="auto" w:fill="auto"/>
            <w:noWrap/>
            <w:vAlign w:val="bottom"/>
            <w:hideMark/>
          </w:tcPr>
          <w:p w14:paraId="25A123B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5,388.7</w:t>
            </w:r>
          </w:p>
        </w:tc>
        <w:tc>
          <w:tcPr>
            <w:tcW w:w="960" w:type="dxa"/>
            <w:tcBorders>
              <w:top w:val="nil"/>
              <w:left w:val="nil"/>
              <w:bottom w:val="nil"/>
              <w:right w:val="nil"/>
            </w:tcBorders>
            <w:shd w:val="clear" w:color="auto" w:fill="auto"/>
            <w:noWrap/>
            <w:vAlign w:val="bottom"/>
            <w:hideMark/>
          </w:tcPr>
          <w:p w14:paraId="31E36E6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324</w:t>
            </w:r>
          </w:p>
        </w:tc>
        <w:tc>
          <w:tcPr>
            <w:tcW w:w="1261" w:type="dxa"/>
            <w:tcBorders>
              <w:top w:val="nil"/>
              <w:left w:val="nil"/>
              <w:bottom w:val="nil"/>
              <w:right w:val="nil"/>
            </w:tcBorders>
            <w:shd w:val="clear" w:color="auto" w:fill="auto"/>
            <w:noWrap/>
            <w:vAlign w:val="bottom"/>
            <w:hideMark/>
          </w:tcPr>
          <w:p w14:paraId="7D105B1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3,455.5</w:t>
            </w:r>
          </w:p>
        </w:tc>
        <w:tc>
          <w:tcPr>
            <w:tcW w:w="960" w:type="dxa"/>
            <w:tcBorders>
              <w:top w:val="nil"/>
              <w:left w:val="nil"/>
              <w:bottom w:val="nil"/>
              <w:right w:val="nil"/>
            </w:tcBorders>
            <w:shd w:val="clear" w:color="auto" w:fill="auto"/>
            <w:noWrap/>
            <w:vAlign w:val="bottom"/>
            <w:hideMark/>
          </w:tcPr>
          <w:p w14:paraId="77832EC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208</w:t>
            </w:r>
          </w:p>
        </w:tc>
        <w:tc>
          <w:tcPr>
            <w:tcW w:w="1261" w:type="dxa"/>
            <w:tcBorders>
              <w:top w:val="nil"/>
              <w:left w:val="nil"/>
              <w:bottom w:val="nil"/>
              <w:right w:val="nil"/>
            </w:tcBorders>
            <w:shd w:val="clear" w:color="auto" w:fill="auto"/>
            <w:noWrap/>
            <w:vAlign w:val="bottom"/>
            <w:hideMark/>
          </w:tcPr>
          <w:p w14:paraId="7EA5CBA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6,059.4</w:t>
            </w:r>
          </w:p>
        </w:tc>
        <w:tc>
          <w:tcPr>
            <w:tcW w:w="960" w:type="dxa"/>
            <w:tcBorders>
              <w:top w:val="nil"/>
              <w:left w:val="nil"/>
              <w:bottom w:val="nil"/>
              <w:right w:val="nil"/>
            </w:tcBorders>
            <w:shd w:val="clear" w:color="auto" w:fill="auto"/>
            <w:noWrap/>
            <w:vAlign w:val="bottom"/>
            <w:hideMark/>
          </w:tcPr>
          <w:p w14:paraId="398387C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365</w:t>
            </w:r>
          </w:p>
        </w:tc>
        <w:tc>
          <w:tcPr>
            <w:tcW w:w="1261" w:type="dxa"/>
            <w:tcBorders>
              <w:top w:val="nil"/>
              <w:left w:val="nil"/>
              <w:bottom w:val="nil"/>
              <w:right w:val="nil"/>
            </w:tcBorders>
            <w:shd w:val="clear" w:color="auto" w:fill="auto"/>
            <w:noWrap/>
            <w:vAlign w:val="bottom"/>
            <w:hideMark/>
          </w:tcPr>
          <w:p w14:paraId="05FCFF1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4,691.8</w:t>
            </w:r>
          </w:p>
        </w:tc>
        <w:tc>
          <w:tcPr>
            <w:tcW w:w="960" w:type="dxa"/>
            <w:tcBorders>
              <w:top w:val="nil"/>
              <w:left w:val="nil"/>
              <w:bottom w:val="nil"/>
              <w:right w:val="nil"/>
            </w:tcBorders>
            <w:shd w:val="clear" w:color="auto" w:fill="auto"/>
            <w:noWrap/>
            <w:vAlign w:val="bottom"/>
            <w:hideMark/>
          </w:tcPr>
          <w:p w14:paraId="55D1E8D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282</w:t>
            </w:r>
          </w:p>
        </w:tc>
      </w:tr>
      <w:tr w:rsidR="00EE4837" w:rsidRPr="007239A6" w14:paraId="1E7BA674" w14:textId="77777777" w:rsidTr="00181ACD">
        <w:trPr>
          <w:trHeight w:val="288"/>
        </w:trPr>
        <w:tc>
          <w:tcPr>
            <w:tcW w:w="1586" w:type="dxa"/>
            <w:tcBorders>
              <w:top w:val="nil"/>
              <w:left w:val="nil"/>
              <w:bottom w:val="nil"/>
              <w:right w:val="nil"/>
            </w:tcBorders>
            <w:shd w:val="clear" w:color="auto" w:fill="auto"/>
            <w:noWrap/>
            <w:vAlign w:val="bottom"/>
            <w:hideMark/>
          </w:tcPr>
          <w:p w14:paraId="4A6221E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Brooklyn</w:t>
            </w:r>
          </w:p>
        </w:tc>
        <w:tc>
          <w:tcPr>
            <w:tcW w:w="1261" w:type="dxa"/>
            <w:tcBorders>
              <w:top w:val="nil"/>
              <w:left w:val="nil"/>
              <w:bottom w:val="nil"/>
              <w:right w:val="nil"/>
            </w:tcBorders>
            <w:shd w:val="clear" w:color="auto" w:fill="auto"/>
            <w:noWrap/>
            <w:vAlign w:val="bottom"/>
            <w:hideMark/>
          </w:tcPr>
          <w:p w14:paraId="31BC21B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1,582.3</w:t>
            </w:r>
          </w:p>
        </w:tc>
        <w:tc>
          <w:tcPr>
            <w:tcW w:w="960" w:type="dxa"/>
            <w:tcBorders>
              <w:top w:val="nil"/>
              <w:left w:val="nil"/>
              <w:bottom w:val="nil"/>
              <w:right w:val="nil"/>
            </w:tcBorders>
            <w:shd w:val="clear" w:color="auto" w:fill="auto"/>
            <w:noWrap/>
            <w:vAlign w:val="bottom"/>
            <w:hideMark/>
          </w:tcPr>
          <w:p w14:paraId="19655DA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192</w:t>
            </w:r>
          </w:p>
        </w:tc>
        <w:tc>
          <w:tcPr>
            <w:tcW w:w="1261" w:type="dxa"/>
            <w:tcBorders>
              <w:top w:val="nil"/>
              <w:left w:val="nil"/>
              <w:bottom w:val="nil"/>
              <w:right w:val="nil"/>
            </w:tcBorders>
            <w:shd w:val="clear" w:color="auto" w:fill="auto"/>
            <w:noWrap/>
            <w:vAlign w:val="bottom"/>
            <w:hideMark/>
          </w:tcPr>
          <w:p w14:paraId="60C71ED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1,291.6</w:t>
            </w:r>
          </w:p>
        </w:tc>
        <w:tc>
          <w:tcPr>
            <w:tcW w:w="960" w:type="dxa"/>
            <w:tcBorders>
              <w:top w:val="nil"/>
              <w:left w:val="nil"/>
              <w:bottom w:val="nil"/>
              <w:right w:val="nil"/>
            </w:tcBorders>
            <w:shd w:val="clear" w:color="auto" w:fill="auto"/>
            <w:noWrap/>
            <w:vAlign w:val="bottom"/>
            <w:hideMark/>
          </w:tcPr>
          <w:p w14:paraId="51F7276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157</w:t>
            </w:r>
          </w:p>
        </w:tc>
        <w:tc>
          <w:tcPr>
            <w:tcW w:w="1261" w:type="dxa"/>
            <w:tcBorders>
              <w:top w:val="nil"/>
              <w:left w:val="nil"/>
              <w:bottom w:val="nil"/>
              <w:right w:val="nil"/>
            </w:tcBorders>
            <w:shd w:val="clear" w:color="auto" w:fill="auto"/>
            <w:noWrap/>
            <w:vAlign w:val="bottom"/>
            <w:hideMark/>
          </w:tcPr>
          <w:p w14:paraId="11AE5EB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622.3</w:t>
            </w:r>
          </w:p>
        </w:tc>
        <w:tc>
          <w:tcPr>
            <w:tcW w:w="960" w:type="dxa"/>
            <w:tcBorders>
              <w:top w:val="nil"/>
              <w:left w:val="nil"/>
              <w:bottom w:val="nil"/>
              <w:right w:val="nil"/>
            </w:tcBorders>
            <w:shd w:val="clear" w:color="auto" w:fill="auto"/>
            <w:noWrap/>
            <w:vAlign w:val="bottom"/>
            <w:hideMark/>
          </w:tcPr>
          <w:p w14:paraId="6974B8A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76</w:t>
            </w:r>
          </w:p>
        </w:tc>
        <w:tc>
          <w:tcPr>
            <w:tcW w:w="1261" w:type="dxa"/>
            <w:tcBorders>
              <w:top w:val="nil"/>
              <w:left w:val="nil"/>
              <w:bottom w:val="nil"/>
              <w:right w:val="nil"/>
            </w:tcBorders>
            <w:shd w:val="clear" w:color="auto" w:fill="auto"/>
            <w:noWrap/>
            <w:vAlign w:val="bottom"/>
            <w:hideMark/>
          </w:tcPr>
          <w:p w14:paraId="3DDD73A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1,712.1</w:t>
            </w:r>
          </w:p>
        </w:tc>
        <w:tc>
          <w:tcPr>
            <w:tcW w:w="960" w:type="dxa"/>
            <w:tcBorders>
              <w:top w:val="nil"/>
              <w:left w:val="nil"/>
              <w:bottom w:val="nil"/>
              <w:right w:val="nil"/>
            </w:tcBorders>
            <w:shd w:val="clear" w:color="auto" w:fill="auto"/>
            <w:noWrap/>
            <w:vAlign w:val="bottom"/>
            <w:hideMark/>
          </w:tcPr>
          <w:p w14:paraId="73ABA1D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208</w:t>
            </w:r>
          </w:p>
        </w:tc>
        <w:tc>
          <w:tcPr>
            <w:tcW w:w="1261" w:type="dxa"/>
            <w:tcBorders>
              <w:top w:val="nil"/>
              <w:left w:val="nil"/>
              <w:bottom w:val="nil"/>
              <w:right w:val="nil"/>
            </w:tcBorders>
            <w:shd w:val="clear" w:color="auto" w:fill="auto"/>
            <w:noWrap/>
            <w:vAlign w:val="bottom"/>
            <w:hideMark/>
          </w:tcPr>
          <w:p w14:paraId="1A6CA7D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1,138.1</w:t>
            </w:r>
          </w:p>
        </w:tc>
        <w:tc>
          <w:tcPr>
            <w:tcW w:w="960" w:type="dxa"/>
            <w:tcBorders>
              <w:top w:val="nil"/>
              <w:left w:val="nil"/>
              <w:bottom w:val="nil"/>
              <w:right w:val="nil"/>
            </w:tcBorders>
            <w:shd w:val="clear" w:color="auto" w:fill="auto"/>
            <w:noWrap/>
            <w:vAlign w:val="bottom"/>
            <w:hideMark/>
          </w:tcPr>
          <w:p w14:paraId="556F00B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138</w:t>
            </w:r>
          </w:p>
        </w:tc>
      </w:tr>
      <w:tr w:rsidR="00EE4837" w:rsidRPr="007239A6" w14:paraId="0459AFF7" w14:textId="77777777" w:rsidTr="00181ACD">
        <w:trPr>
          <w:trHeight w:val="288"/>
        </w:trPr>
        <w:tc>
          <w:tcPr>
            <w:tcW w:w="1586" w:type="dxa"/>
            <w:tcBorders>
              <w:top w:val="nil"/>
              <w:left w:val="nil"/>
              <w:bottom w:val="nil"/>
              <w:right w:val="nil"/>
            </w:tcBorders>
            <w:shd w:val="clear" w:color="auto" w:fill="auto"/>
            <w:noWrap/>
            <w:vAlign w:val="bottom"/>
            <w:hideMark/>
          </w:tcPr>
          <w:p w14:paraId="08AD838A"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Burlington</w:t>
            </w:r>
          </w:p>
        </w:tc>
        <w:tc>
          <w:tcPr>
            <w:tcW w:w="1261" w:type="dxa"/>
            <w:tcBorders>
              <w:top w:val="nil"/>
              <w:left w:val="nil"/>
              <w:bottom w:val="nil"/>
              <w:right w:val="nil"/>
            </w:tcBorders>
            <w:shd w:val="clear" w:color="auto" w:fill="auto"/>
            <w:noWrap/>
            <w:vAlign w:val="bottom"/>
            <w:hideMark/>
          </w:tcPr>
          <w:p w14:paraId="039BFEF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3,332.3</w:t>
            </w:r>
          </w:p>
        </w:tc>
        <w:tc>
          <w:tcPr>
            <w:tcW w:w="960" w:type="dxa"/>
            <w:tcBorders>
              <w:top w:val="nil"/>
              <w:left w:val="nil"/>
              <w:bottom w:val="nil"/>
              <w:right w:val="nil"/>
            </w:tcBorders>
            <w:shd w:val="clear" w:color="auto" w:fill="auto"/>
            <w:noWrap/>
            <w:vAlign w:val="bottom"/>
            <w:hideMark/>
          </w:tcPr>
          <w:p w14:paraId="12919F5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355</w:t>
            </w:r>
          </w:p>
        </w:tc>
        <w:tc>
          <w:tcPr>
            <w:tcW w:w="1261" w:type="dxa"/>
            <w:tcBorders>
              <w:top w:val="nil"/>
              <w:left w:val="nil"/>
              <w:bottom w:val="nil"/>
              <w:right w:val="nil"/>
            </w:tcBorders>
            <w:shd w:val="clear" w:color="auto" w:fill="auto"/>
            <w:noWrap/>
            <w:vAlign w:val="bottom"/>
            <w:hideMark/>
          </w:tcPr>
          <w:p w14:paraId="779B141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3,814.7</w:t>
            </w:r>
          </w:p>
        </w:tc>
        <w:tc>
          <w:tcPr>
            <w:tcW w:w="960" w:type="dxa"/>
            <w:tcBorders>
              <w:top w:val="nil"/>
              <w:left w:val="nil"/>
              <w:bottom w:val="nil"/>
              <w:right w:val="nil"/>
            </w:tcBorders>
            <w:shd w:val="clear" w:color="auto" w:fill="auto"/>
            <w:noWrap/>
            <w:vAlign w:val="bottom"/>
            <w:hideMark/>
          </w:tcPr>
          <w:p w14:paraId="135D97E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407</w:t>
            </w:r>
          </w:p>
        </w:tc>
        <w:tc>
          <w:tcPr>
            <w:tcW w:w="1261" w:type="dxa"/>
            <w:tcBorders>
              <w:top w:val="nil"/>
              <w:left w:val="nil"/>
              <w:bottom w:val="nil"/>
              <w:right w:val="nil"/>
            </w:tcBorders>
            <w:shd w:val="clear" w:color="auto" w:fill="auto"/>
            <w:noWrap/>
            <w:vAlign w:val="bottom"/>
            <w:hideMark/>
          </w:tcPr>
          <w:p w14:paraId="08988C8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441.6</w:t>
            </w:r>
          </w:p>
        </w:tc>
        <w:tc>
          <w:tcPr>
            <w:tcW w:w="960" w:type="dxa"/>
            <w:tcBorders>
              <w:top w:val="nil"/>
              <w:left w:val="nil"/>
              <w:bottom w:val="nil"/>
              <w:right w:val="nil"/>
            </w:tcBorders>
            <w:shd w:val="clear" w:color="auto" w:fill="auto"/>
            <w:noWrap/>
            <w:vAlign w:val="bottom"/>
            <w:hideMark/>
          </w:tcPr>
          <w:p w14:paraId="5F52C45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w:t>
            </w:r>
          </w:p>
        </w:tc>
        <w:tc>
          <w:tcPr>
            <w:tcW w:w="1261" w:type="dxa"/>
            <w:tcBorders>
              <w:top w:val="nil"/>
              <w:left w:val="nil"/>
              <w:bottom w:val="nil"/>
              <w:right w:val="nil"/>
            </w:tcBorders>
            <w:shd w:val="clear" w:color="auto" w:fill="auto"/>
            <w:noWrap/>
            <w:vAlign w:val="bottom"/>
            <w:hideMark/>
          </w:tcPr>
          <w:p w14:paraId="0543468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4,466.2</w:t>
            </w:r>
          </w:p>
        </w:tc>
        <w:tc>
          <w:tcPr>
            <w:tcW w:w="960" w:type="dxa"/>
            <w:tcBorders>
              <w:top w:val="nil"/>
              <w:left w:val="nil"/>
              <w:bottom w:val="nil"/>
              <w:right w:val="nil"/>
            </w:tcBorders>
            <w:shd w:val="clear" w:color="auto" w:fill="auto"/>
            <w:noWrap/>
            <w:vAlign w:val="bottom"/>
            <w:hideMark/>
          </w:tcPr>
          <w:p w14:paraId="00F470E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476</w:t>
            </w:r>
          </w:p>
        </w:tc>
        <w:tc>
          <w:tcPr>
            <w:tcW w:w="1261" w:type="dxa"/>
            <w:tcBorders>
              <w:top w:val="nil"/>
              <w:left w:val="nil"/>
              <w:bottom w:val="nil"/>
              <w:right w:val="nil"/>
            </w:tcBorders>
            <w:shd w:val="clear" w:color="auto" w:fill="auto"/>
            <w:noWrap/>
            <w:vAlign w:val="bottom"/>
            <w:hideMark/>
          </w:tcPr>
          <w:p w14:paraId="3C9AE2B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2,352.6</w:t>
            </w:r>
          </w:p>
        </w:tc>
        <w:tc>
          <w:tcPr>
            <w:tcW w:w="960" w:type="dxa"/>
            <w:tcBorders>
              <w:top w:val="nil"/>
              <w:left w:val="nil"/>
              <w:bottom w:val="nil"/>
              <w:right w:val="nil"/>
            </w:tcBorders>
            <w:shd w:val="clear" w:color="auto" w:fill="auto"/>
            <w:noWrap/>
            <w:vAlign w:val="bottom"/>
            <w:hideMark/>
          </w:tcPr>
          <w:p w14:paraId="1CF8802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251</w:t>
            </w:r>
          </w:p>
        </w:tc>
      </w:tr>
      <w:tr w:rsidR="00EE4837" w:rsidRPr="007239A6" w14:paraId="73B2B9BF" w14:textId="77777777" w:rsidTr="00181ACD">
        <w:trPr>
          <w:trHeight w:val="288"/>
        </w:trPr>
        <w:tc>
          <w:tcPr>
            <w:tcW w:w="1586" w:type="dxa"/>
            <w:tcBorders>
              <w:top w:val="nil"/>
              <w:left w:val="nil"/>
              <w:bottom w:val="nil"/>
              <w:right w:val="nil"/>
            </w:tcBorders>
            <w:shd w:val="clear" w:color="auto" w:fill="auto"/>
            <w:noWrap/>
            <w:vAlign w:val="bottom"/>
            <w:hideMark/>
          </w:tcPr>
          <w:p w14:paraId="7FC04F00"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Canaan</w:t>
            </w:r>
          </w:p>
        </w:tc>
        <w:tc>
          <w:tcPr>
            <w:tcW w:w="1261" w:type="dxa"/>
            <w:tcBorders>
              <w:top w:val="nil"/>
              <w:left w:val="nil"/>
              <w:bottom w:val="nil"/>
              <w:right w:val="nil"/>
            </w:tcBorders>
            <w:shd w:val="clear" w:color="auto" w:fill="auto"/>
            <w:noWrap/>
            <w:vAlign w:val="bottom"/>
            <w:hideMark/>
          </w:tcPr>
          <w:p w14:paraId="0FA39CA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733.7</w:t>
            </w:r>
          </w:p>
        </w:tc>
        <w:tc>
          <w:tcPr>
            <w:tcW w:w="960" w:type="dxa"/>
            <w:tcBorders>
              <w:top w:val="nil"/>
              <w:left w:val="nil"/>
              <w:bottom w:val="nil"/>
              <w:right w:val="nil"/>
            </w:tcBorders>
            <w:shd w:val="clear" w:color="auto" w:fill="auto"/>
            <w:noWrap/>
            <w:vAlign w:val="bottom"/>
            <w:hideMark/>
          </w:tcPr>
          <w:p w14:paraId="12BD6AA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639</w:t>
            </w:r>
          </w:p>
        </w:tc>
        <w:tc>
          <w:tcPr>
            <w:tcW w:w="1261" w:type="dxa"/>
            <w:tcBorders>
              <w:top w:val="nil"/>
              <w:left w:val="nil"/>
              <w:bottom w:val="nil"/>
              <w:right w:val="nil"/>
            </w:tcBorders>
            <w:shd w:val="clear" w:color="auto" w:fill="auto"/>
            <w:noWrap/>
            <w:vAlign w:val="bottom"/>
            <w:hideMark/>
          </w:tcPr>
          <w:p w14:paraId="07B0E35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550.5</w:t>
            </w:r>
          </w:p>
        </w:tc>
        <w:tc>
          <w:tcPr>
            <w:tcW w:w="960" w:type="dxa"/>
            <w:tcBorders>
              <w:top w:val="nil"/>
              <w:left w:val="nil"/>
              <w:bottom w:val="nil"/>
              <w:right w:val="nil"/>
            </w:tcBorders>
            <w:shd w:val="clear" w:color="auto" w:fill="auto"/>
            <w:noWrap/>
            <w:vAlign w:val="bottom"/>
            <w:hideMark/>
          </w:tcPr>
          <w:p w14:paraId="280EE25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480</w:t>
            </w:r>
          </w:p>
        </w:tc>
        <w:tc>
          <w:tcPr>
            <w:tcW w:w="1261" w:type="dxa"/>
            <w:tcBorders>
              <w:top w:val="nil"/>
              <w:left w:val="nil"/>
              <w:bottom w:val="nil"/>
              <w:right w:val="nil"/>
            </w:tcBorders>
            <w:shd w:val="clear" w:color="auto" w:fill="auto"/>
            <w:noWrap/>
            <w:vAlign w:val="bottom"/>
            <w:hideMark/>
          </w:tcPr>
          <w:p w14:paraId="5E0EEE7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441.6</w:t>
            </w:r>
          </w:p>
        </w:tc>
        <w:tc>
          <w:tcPr>
            <w:tcW w:w="960" w:type="dxa"/>
            <w:tcBorders>
              <w:top w:val="nil"/>
              <w:left w:val="nil"/>
              <w:bottom w:val="nil"/>
              <w:right w:val="nil"/>
            </w:tcBorders>
            <w:shd w:val="clear" w:color="auto" w:fill="auto"/>
            <w:noWrap/>
            <w:vAlign w:val="bottom"/>
            <w:hideMark/>
          </w:tcPr>
          <w:p w14:paraId="7DE0100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385</w:t>
            </w:r>
          </w:p>
        </w:tc>
        <w:tc>
          <w:tcPr>
            <w:tcW w:w="1261" w:type="dxa"/>
            <w:tcBorders>
              <w:top w:val="nil"/>
              <w:left w:val="nil"/>
              <w:bottom w:val="nil"/>
              <w:right w:val="nil"/>
            </w:tcBorders>
            <w:shd w:val="clear" w:color="auto" w:fill="auto"/>
            <w:noWrap/>
            <w:vAlign w:val="bottom"/>
            <w:hideMark/>
          </w:tcPr>
          <w:p w14:paraId="17D45FA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757.7</w:t>
            </w:r>
          </w:p>
        </w:tc>
        <w:tc>
          <w:tcPr>
            <w:tcW w:w="960" w:type="dxa"/>
            <w:tcBorders>
              <w:top w:val="nil"/>
              <w:left w:val="nil"/>
              <w:bottom w:val="nil"/>
              <w:right w:val="nil"/>
            </w:tcBorders>
            <w:shd w:val="clear" w:color="auto" w:fill="auto"/>
            <w:noWrap/>
            <w:vAlign w:val="bottom"/>
            <w:hideMark/>
          </w:tcPr>
          <w:p w14:paraId="49661B4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660</w:t>
            </w:r>
          </w:p>
        </w:tc>
        <w:tc>
          <w:tcPr>
            <w:tcW w:w="1261" w:type="dxa"/>
            <w:tcBorders>
              <w:top w:val="nil"/>
              <w:left w:val="nil"/>
              <w:bottom w:val="nil"/>
              <w:right w:val="nil"/>
            </w:tcBorders>
            <w:shd w:val="clear" w:color="auto" w:fill="auto"/>
            <w:noWrap/>
            <w:vAlign w:val="bottom"/>
            <w:hideMark/>
          </w:tcPr>
          <w:p w14:paraId="6D31409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580.3</w:t>
            </w:r>
          </w:p>
        </w:tc>
        <w:tc>
          <w:tcPr>
            <w:tcW w:w="960" w:type="dxa"/>
            <w:tcBorders>
              <w:top w:val="nil"/>
              <w:left w:val="nil"/>
              <w:bottom w:val="nil"/>
              <w:right w:val="nil"/>
            </w:tcBorders>
            <w:shd w:val="clear" w:color="auto" w:fill="auto"/>
            <w:noWrap/>
            <w:vAlign w:val="bottom"/>
            <w:hideMark/>
          </w:tcPr>
          <w:p w14:paraId="1586E95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505</w:t>
            </w:r>
          </w:p>
        </w:tc>
      </w:tr>
      <w:tr w:rsidR="00EE4837" w:rsidRPr="007239A6" w14:paraId="30CD7A04" w14:textId="77777777" w:rsidTr="00181ACD">
        <w:trPr>
          <w:trHeight w:val="288"/>
        </w:trPr>
        <w:tc>
          <w:tcPr>
            <w:tcW w:w="1586" w:type="dxa"/>
            <w:tcBorders>
              <w:top w:val="nil"/>
              <w:left w:val="nil"/>
              <w:bottom w:val="nil"/>
              <w:right w:val="nil"/>
            </w:tcBorders>
            <w:shd w:val="clear" w:color="auto" w:fill="auto"/>
            <w:noWrap/>
            <w:vAlign w:val="bottom"/>
            <w:hideMark/>
          </w:tcPr>
          <w:p w14:paraId="2A8CB9F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Canterbury</w:t>
            </w:r>
          </w:p>
        </w:tc>
        <w:tc>
          <w:tcPr>
            <w:tcW w:w="1261" w:type="dxa"/>
            <w:tcBorders>
              <w:top w:val="nil"/>
              <w:left w:val="nil"/>
              <w:bottom w:val="nil"/>
              <w:right w:val="nil"/>
            </w:tcBorders>
            <w:shd w:val="clear" w:color="auto" w:fill="auto"/>
            <w:noWrap/>
            <w:vAlign w:val="bottom"/>
            <w:hideMark/>
          </w:tcPr>
          <w:p w14:paraId="73C8046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1,034.7</w:t>
            </w:r>
          </w:p>
        </w:tc>
        <w:tc>
          <w:tcPr>
            <w:tcW w:w="960" w:type="dxa"/>
            <w:tcBorders>
              <w:top w:val="nil"/>
              <w:left w:val="nil"/>
              <w:bottom w:val="nil"/>
              <w:right w:val="nil"/>
            </w:tcBorders>
            <w:shd w:val="clear" w:color="auto" w:fill="auto"/>
            <w:noWrap/>
            <w:vAlign w:val="bottom"/>
            <w:hideMark/>
          </w:tcPr>
          <w:p w14:paraId="5B5F1B3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202</w:t>
            </w:r>
          </w:p>
        </w:tc>
        <w:tc>
          <w:tcPr>
            <w:tcW w:w="1261" w:type="dxa"/>
            <w:tcBorders>
              <w:top w:val="nil"/>
              <w:left w:val="nil"/>
              <w:bottom w:val="nil"/>
              <w:right w:val="nil"/>
            </w:tcBorders>
            <w:shd w:val="clear" w:color="auto" w:fill="auto"/>
            <w:noWrap/>
            <w:vAlign w:val="bottom"/>
            <w:hideMark/>
          </w:tcPr>
          <w:p w14:paraId="6AA522B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872.6</w:t>
            </w:r>
          </w:p>
        </w:tc>
        <w:tc>
          <w:tcPr>
            <w:tcW w:w="960" w:type="dxa"/>
            <w:tcBorders>
              <w:top w:val="nil"/>
              <w:left w:val="nil"/>
              <w:bottom w:val="nil"/>
              <w:right w:val="nil"/>
            </w:tcBorders>
            <w:shd w:val="clear" w:color="auto" w:fill="auto"/>
            <w:noWrap/>
            <w:vAlign w:val="bottom"/>
            <w:hideMark/>
          </w:tcPr>
          <w:p w14:paraId="5C31B6B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170</w:t>
            </w:r>
          </w:p>
        </w:tc>
        <w:tc>
          <w:tcPr>
            <w:tcW w:w="1261" w:type="dxa"/>
            <w:tcBorders>
              <w:top w:val="nil"/>
              <w:left w:val="nil"/>
              <w:bottom w:val="nil"/>
              <w:right w:val="nil"/>
            </w:tcBorders>
            <w:shd w:val="clear" w:color="auto" w:fill="auto"/>
            <w:noWrap/>
            <w:vAlign w:val="bottom"/>
            <w:hideMark/>
          </w:tcPr>
          <w:p w14:paraId="7A3BB4C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177.2</w:t>
            </w:r>
          </w:p>
        </w:tc>
        <w:tc>
          <w:tcPr>
            <w:tcW w:w="960" w:type="dxa"/>
            <w:tcBorders>
              <w:top w:val="nil"/>
              <w:left w:val="nil"/>
              <w:bottom w:val="nil"/>
              <w:right w:val="nil"/>
            </w:tcBorders>
            <w:shd w:val="clear" w:color="auto" w:fill="auto"/>
            <w:noWrap/>
            <w:vAlign w:val="bottom"/>
            <w:hideMark/>
          </w:tcPr>
          <w:p w14:paraId="5F93A49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w:t>
            </w:r>
          </w:p>
        </w:tc>
        <w:tc>
          <w:tcPr>
            <w:tcW w:w="1261" w:type="dxa"/>
            <w:tcBorders>
              <w:top w:val="nil"/>
              <w:left w:val="nil"/>
              <w:bottom w:val="nil"/>
              <w:right w:val="nil"/>
            </w:tcBorders>
            <w:shd w:val="clear" w:color="auto" w:fill="auto"/>
            <w:noWrap/>
            <w:vAlign w:val="bottom"/>
            <w:hideMark/>
          </w:tcPr>
          <w:p w14:paraId="3E1D19D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1,289.7</w:t>
            </w:r>
          </w:p>
        </w:tc>
        <w:tc>
          <w:tcPr>
            <w:tcW w:w="960" w:type="dxa"/>
            <w:tcBorders>
              <w:top w:val="nil"/>
              <w:left w:val="nil"/>
              <w:bottom w:val="nil"/>
              <w:right w:val="nil"/>
            </w:tcBorders>
            <w:shd w:val="clear" w:color="auto" w:fill="auto"/>
            <w:noWrap/>
            <w:vAlign w:val="bottom"/>
            <w:hideMark/>
          </w:tcPr>
          <w:p w14:paraId="7D74BAF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252</w:t>
            </w:r>
          </w:p>
        </w:tc>
        <w:tc>
          <w:tcPr>
            <w:tcW w:w="1261" w:type="dxa"/>
            <w:tcBorders>
              <w:top w:val="nil"/>
              <w:left w:val="nil"/>
              <w:bottom w:val="nil"/>
              <w:right w:val="nil"/>
            </w:tcBorders>
            <w:shd w:val="clear" w:color="auto" w:fill="auto"/>
            <w:noWrap/>
            <w:vAlign w:val="bottom"/>
            <w:hideMark/>
          </w:tcPr>
          <w:p w14:paraId="0235BDF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713.9</w:t>
            </w:r>
          </w:p>
        </w:tc>
        <w:tc>
          <w:tcPr>
            <w:tcW w:w="960" w:type="dxa"/>
            <w:tcBorders>
              <w:top w:val="nil"/>
              <w:left w:val="nil"/>
              <w:bottom w:val="nil"/>
              <w:right w:val="nil"/>
            </w:tcBorders>
            <w:shd w:val="clear" w:color="auto" w:fill="auto"/>
            <w:noWrap/>
            <w:vAlign w:val="bottom"/>
            <w:hideMark/>
          </w:tcPr>
          <w:p w14:paraId="62C4BE8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139</w:t>
            </w:r>
          </w:p>
        </w:tc>
      </w:tr>
      <w:tr w:rsidR="00EE4837" w:rsidRPr="007239A6" w14:paraId="1B65F5AC" w14:textId="77777777" w:rsidTr="00181ACD">
        <w:trPr>
          <w:trHeight w:val="288"/>
        </w:trPr>
        <w:tc>
          <w:tcPr>
            <w:tcW w:w="1586" w:type="dxa"/>
            <w:tcBorders>
              <w:top w:val="nil"/>
              <w:left w:val="nil"/>
              <w:bottom w:val="nil"/>
              <w:right w:val="nil"/>
            </w:tcBorders>
            <w:shd w:val="clear" w:color="auto" w:fill="auto"/>
            <w:noWrap/>
            <w:vAlign w:val="bottom"/>
            <w:hideMark/>
          </w:tcPr>
          <w:p w14:paraId="55CEAE70"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Canton</w:t>
            </w:r>
          </w:p>
        </w:tc>
        <w:tc>
          <w:tcPr>
            <w:tcW w:w="1261" w:type="dxa"/>
            <w:tcBorders>
              <w:top w:val="nil"/>
              <w:left w:val="nil"/>
              <w:bottom w:val="nil"/>
              <w:right w:val="nil"/>
            </w:tcBorders>
            <w:shd w:val="clear" w:color="auto" w:fill="auto"/>
            <w:noWrap/>
            <w:vAlign w:val="bottom"/>
            <w:hideMark/>
          </w:tcPr>
          <w:p w14:paraId="7506E75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3,719.2</w:t>
            </w:r>
          </w:p>
        </w:tc>
        <w:tc>
          <w:tcPr>
            <w:tcW w:w="960" w:type="dxa"/>
            <w:tcBorders>
              <w:top w:val="nil"/>
              <w:left w:val="nil"/>
              <w:bottom w:val="nil"/>
              <w:right w:val="nil"/>
            </w:tcBorders>
            <w:shd w:val="clear" w:color="auto" w:fill="auto"/>
            <w:noWrap/>
            <w:vAlign w:val="bottom"/>
            <w:hideMark/>
          </w:tcPr>
          <w:p w14:paraId="24E6AB1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361</w:t>
            </w:r>
          </w:p>
        </w:tc>
        <w:tc>
          <w:tcPr>
            <w:tcW w:w="1261" w:type="dxa"/>
            <w:tcBorders>
              <w:top w:val="nil"/>
              <w:left w:val="nil"/>
              <w:bottom w:val="nil"/>
              <w:right w:val="nil"/>
            </w:tcBorders>
            <w:shd w:val="clear" w:color="auto" w:fill="auto"/>
            <w:noWrap/>
            <w:vAlign w:val="bottom"/>
            <w:hideMark/>
          </w:tcPr>
          <w:p w14:paraId="403F203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4,289.8</w:t>
            </w:r>
          </w:p>
        </w:tc>
        <w:tc>
          <w:tcPr>
            <w:tcW w:w="960" w:type="dxa"/>
            <w:tcBorders>
              <w:top w:val="nil"/>
              <w:left w:val="nil"/>
              <w:bottom w:val="nil"/>
              <w:right w:val="nil"/>
            </w:tcBorders>
            <w:shd w:val="clear" w:color="auto" w:fill="auto"/>
            <w:noWrap/>
            <w:vAlign w:val="bottom"/>
            <w:hideMark/>
          </w:tcPr>
          <w:p w14:paraId="50C3F66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416</w:t>
            </w:r>
          </w:p>
        </w:tc>
        <w:tc>
          <w:tcPr>
            <w:tcW w:w="1261" w:type="dxa"/>
            <w:tcBorders>
              <w:top w:val="nil"/>
              <w:left w:val="nil"/>
              <w:bottom w:val="nil"/>
              <w:right w:val="nil"/>
            </w:tcBorders>
            <w:shd w:val="clear" w:color="auto" w:fill="auto"/>
            <w:noWrap/>
            <w:vAlign w:val="bottom"/>
            <w:hideMark/>
          </w:tcPr>
          <w:p w14:paraId="08CFF8F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1,413.1</w:t>
            </w:r>
          </w:p>
        </w:tc>
        <w:tc>
          <w:tcPr>
            <w:tcW w:w="960" w:type="dxa"/>
            <w:tcBorders>
              <w:top w:val="nil"/>
              <w:left w:val="nil"/>
              <w:bottom w:val="nil"/>
              <w:right w:val="nil"/>
            </w:tcBorders>
            <w:shd w:val="clear" w:color="auto" w:fill="auto"/>
            <w:noWrap/>
            <w:vAlign w:val="bottom"/>
            <w:hideMark/>
          </w:tcPr>
          <w:p w14:paraId="2D8F4D7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137</w:t>
            </w:r>
          </w:p>
        </w:tc>
        <w:tc>
          <w:tcPr>
            <w:tcW w:w="1261" w:type="dxa"/>
            <w:tcBorders>
              <w:top w:val="nil"/>
              <w:left w:val="nil"/>
              <w:bottom w:val="nil"/>
              <w:right w:val="nil"/>
            </w:tcBorders>
            <w:shd w:val="clear" w:color="auto" w:fill="auto"/>
            <w:noWrap/>
            <w:vAlign w:val="bottom"/>
            <w:hideMark/>
          </w:tcPr>
          <w:p w14:paraId="6D9B7C0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4,626.8</w:t>
            </w:r>
          </w:p>
        </w:tc>
        <w:tc>
          <w:tcPr>
            <w:tcW w:w="960" w:type="dxa"/>
            <w:tcBorders>
              <w:top w:val="nil"/>
              <w:left w:val="nil"/>
              <w:bottom w:val="nil"/>
              <w:right w:val="nil"/>
            </w:tcBorders>
            <w:shd w:val="clear" w:color="auto" w:fill="auto"/>
            <w:noWrap/>
            <w:vAlign w:val="bottom"/>
            <w:hideMark/>
          </w:tcPr>
          <w:p w14:paraId="00F1584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449</w:t>
            </w:r>
          </w:p>
        </w:tc>
        <w:tc>
          <w:tcPr>
            <w:tcW w:w="1261" w:type="dxa"/>
            <w:tcBorders>
              <w:top w:val="nil"/>
              <w:left w:val="nil"/>
              <w:bottom w:val="nil"/>
              <w:right w:val="nil"/>
            </w:tcBorders>
            <w:shd w:val="clear" w:color="auto" w:fill="auto"/>
            <w:noWrap/>
            <w:vAlign w:val="bottom"/>
            <w:hideMark/>
          </w:tcPr>
          <w:p w14:paraId="45D3957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2,876.6</w:t>
            </w:r>
          </w:p>
        </w:tc>
        <w:tc>
          <w:tcPr>
            <w:tcW w:w="960" w:type="dxa"/>
            <w:tcBorders>
              <w:top w:val="nil"/>
              <w:left w:val="nil"/>
              <w:bottom w:val="nil"/>
              <w:right w:val="nil"/>
            </w:tcBorders>
            <w:shd w:val="clear" w:color="auto" w:fill="auto"/>
            <w:noWrap/>
            <w:vAlign w:val="bottom"/>
            <w:hideMark/>
          </w:tcPr>
          <w:p w14:paraId="61191C7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279</w:t>
            </w:r>
          </w:p>
        </w:tc>
      </w:tr>
      <w:tr w:rsidR="00EE4837" w:rsidRPr="007239A6" w14:paraId="03C001E8" w14:textId="77777777" w:rsidTr="00181ACD">
        <w:trPr>
          <w:trHeight w:val="288"/>
        </w:trPr>
        <w:tc>
          <w:tcPr>
            <w:tcW w:w="1586" w:type="dxa"/>
            <w:tcBorders>
              <w:top w:val="nil"/>
              <w:left w:val="nil"/>
              <w:bottom w:val="nil"/>
              <w:right w:val="nil"/>
            </w:tcBorders>
            <w:shd w:val="clear" w:color="auto" w:fill="auto"/>
            <w:noWrap/>
            <w:vAlign w:val="bottom"/>
            <w:hideMark/>
          </w:tcPr>
          <w:p w14:paraId="318E854D"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Chaplin</w:t>
            </w:r>
          </w:p>
        </w:tc>
        <w:tc>
          <w:tcPr>
            <w:tcW w:w="1261" w:type="dxa"/>
            <w:tcBorders>
              <w:top w:val="nil"/>
              <w:left w:val="nil"/>
              <w:bottom w:val="nil"/>
              <w:right w:val="nil"/>
            </w:tcBorders>
            <w:shd w:val="clear" w:color="auto" w:fill="auto"/>
            <w:noWrap/>
            <w:vAlign w:val="bottom"/>
            <w:hideMark/>
          </w:tcPr>
          <w:p w14:paraId="439CAF3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416.8</w:t>
            </w:r>
          </w:p>
        </w:tc>
        <w:tc>
          <w:tcPr>
            <w:tcW w:w="960" w:type="dxa"/>
            <w:tcBorders>
              <w:top w:val="nil"/>
              <w:left w:val="nil"/>
              <w:bottom w:val="nil"/>
              <w:right w:val="nil"/>
            </w:tcBorders>
            <w:shd w:val="clear" w:color="auto" w:fill="auto"/>
            <w:noWrap/>
            <w:vAlign w:val="bottom"/>
            <w:hideMark/>
          </w:tcPr>
          <w:p w14:paraId="6CF9CAE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173</w:t>
            </w:r>
          </w:p>
        </w:tc>
        <w:tc>
          <w:tcPr>
            <w:tcW w:w="1261" w:type="dxa"/>
            <w:tcBorders>
              <w:top w:val="nil"/>
              <w:left w:val="nil"/>
              <w:bottom w:val="nil"/>
              <w:right w:val="nil"/>
            </w:tcBorders>
            <w:shd w:val="clear" w:color="auto" w:fill="auto"/>
            <w:noWrap/>
            <w:vAlign w:val="bottom"/>
            <w:hideMark/>
          </w:tcPr>
          <w:p w14:paraId="45EB0E6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350.7</w:t>
            </w:r>
          </w:p>
        </w:tc>
        <w:tc>
          <w:tcPr>
            <w:tcW w:w="960" w:type="dxa"/>
            <w:tcBorders>
              <w:top w:val="nil"/>
              <w:left w:val="nil"/>
              <w:bottom w:val="nil"/>
              <w:right w:val="nil"/>
            </w:tcBorders>
            <w:shd w:val="clear" w:color="auto" w:fill="auto"/>
            <w:noWrap/>
            <w:vAlign w:val="bottom"/>
            <w:hideMark/>
          </w:tcPr>
          <w:p w14:paraId="6593C49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146</w:t>
            </w:r>
          </w:p>
        </w:tc>
        <w:tc>
          <w:tcPr>
            <w:tcW w:w="1261" w:type="dxa"/>
            <w:tcBorders>
              <w:top w:val="nil"/>
              <w:left w:val="nil"/>
              <w:bottom w:val="nil"/>
              <w:right w:val="nil"/>
            </w:tcBorders>
            <w:shd w:val="clear" w:color="auto" w:fill="auto"/>
            <w:noWrap/>
            <w:vAlign w:val="bottom"/>
            <w:hideMark/>
          </w:tcPr>
          <w:p w14:paraId="70EA439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112.4</w:t>
            </w:r>
          </w:p>
        </w:tc>
        <w:tc>
          <w:tcPr>
            <w:tcW w:w="960" w:type="dxa"/>
            <w:tcBorders>
              <w:top w:val="nil"/>
              <w:left w:val="nil"/>
              <w:bottom w:val="nil"/>
              <w:right w:val="nil"/>
            </w:tcBorders>
            <w:shd w:val="clear" w:color="auto" w:fill="auto"/>
            <w:noWrap/>
            <w:vAlign w:val="bottom"/>
            <w:hideMark/>
          </w:tcPr>
          <w:p w14:paraId="662F535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w:t>
            </w:r>
          </w:p>
        </w:tc>
        <w:tc>
          <w:tcPr>
            <w:tcW w:w="1261" w:type="dxa"/>
            <w:tcBorders>
              <w:top w:val="nil"/>
              <w:left w:val="nil"/>
              <w:bottom w:val="nil"/>
              <w:right w:val="nil"/>
            </w:tcBorders>
            <w:shd w:val="clear" w:color="auto" w:fill="auto"/>
            <w:noWrap/>
            <w:vAlign w:val="bottom"/>
            <w:hideMark/>
          </w:tcPr>
          <w:p w14:paraId="409E057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541.4</w:t>
            </w:r>
          </w:p>
        </w:tc>
        <w:tc>
          <w:tcPr>
            <w:tcW w:w="960" w:type="dxa"/>
            <w:tcBorders>
              <w:top w:val="nil"/>
              <w:left w:val="nil"/>
              <w:bottom w:val="nil"/>
              <w:right w:val="nil"/>
            </w:tcBorders>
            <w:shd w:val="clear" w:color="auto" w:fill="auto"/>
            <w:noWrap/>
            <w:vAlign w:val="bottom"/>
            <w:hideMark/>
          </w:tcPr>
          <w:p w14:paraId="094417D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225</w:t>
            </w:r>
          </w:p>
        </w:tc>
        <w:tc>
          <w:tcPr>
            <w:tcW w:w="1261" w:type="dxa"/>
            <w:tcBorders>
              <w:top w:val="nil"/>
              <w:left w:val="nil"/>
              <w:bottom w:val="nil"/>
              <w:right w:val="nil"/>
            </w:tcBorders>
            <w:shd w:val="clear" w:color="auto" w:fill="auto"/>
            <w:noWrap/>
            <w:vAlign w:val="bottom"/>
            <w:hideMark/>
          </w:tcPr>
          <w:p w14:paraId="1453981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305.0</w:t>
            </w:r>
          </w:p>
        </w:tc>
        <w:tc>
          <w:tcPr>
            <w:tcW w:w="960" w:type="dxa"/>
            <w:tcBorders>
              <w:top w:val="nil"/>
              <w:left w:val="nil"/>
              <w:bottom w:val="nil"/>
              <w:right w:val="nil"/>
            </w:tcBorders>
            <w:shd w:val="clear" w:color="auto" w:fill="auto"/>
            <w:noWrap/>
            <w:vAlign w:val="bottom"/>
            <w:hideMark/>
          </w:tcPr>
          <w:p w14:paraId="65FF071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127</w:t>
            </w:r>
          </w:p>
        </w:tc>
      </w:tr>
      <w:tr w:rsidR="00EE4837" w:rsidRPr="007239A6" w14:paraId="6E0C3503" w14:textId="77777777" w:rsidTr="00181ACD">
        <w:trPr>
          <w:trHeight w:val="288"/>
        </w:trPr>
        <w:tc>
          <w:tcPr>
            <w:tcW w:w="1586" w:type="dxa"/>
            <w:tcBorders>
              <w:top w:val="nil"/>
              <w:left w:val="nil"/>
              <w:bottom w:val="nil"/>
              <w:right w:val="nil"/>
            </w:tcBorders>
            <w:shd w:val="clear" w:color="auto" w:fill="auto"/>
            <w:noWrap/>
            <w:vAlign w:val="bottom"/>
            <w:hideMark/>
          </w:tcPr>
          <w:p w14:paraId="7815E11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Cheshire</w:t>
            </w:r>
          </w:p>
        </w:tc>
        <w:tc>
          <w:tcPr>
            <w:tcW w:w="1261" w:type="dxa"/>
            <w:tcBorders>
              <w:top w:val="nil"/>
              <w:left w:val="nil"/>
              <w:bottom w:val="nil"/>
              <w:right w:val="nil"/>
            </w:tcBorders>
            <w:shd w:val="clear" w:color="auto" w:fill="auto"/>
            <w:noWrap/>
            <w:vAlign w:val="bottom"/>
            <w:hideMark/>
          </w:tcPr>
          <w:p w14:paraId="7A6A32C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9,637.2</w:t>
            </w:r>
          </w:p>
        </w:tc>
        <w:tc>
          <w:tcPr>
            <w:tcW w:w="960" w:type="dxa"/>
            <w:tcBorders>
              <w:top w:val="nil"/>
              <w:left w:val="nil"/>
              <w:bottom w:val="nil"/>
              <w:right w:val="nil"/>
            </w:tcBorders>
            <w:shd w:val="clear" w:color="auto" w:fill="auto"/>
            <w:noWrap/>
            <w:vAlign w:val="bottom"/>
            <w:hideMark/>
          </w:tcPr>
          <w:p w14:paraId="572C133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329</w:t>
            </w:r>
          </w:p>
        </w:tc>
        <w:tc>
          <w:tcPr>
            <w:tcW w:w="1261" w:type="dxa"/>
            <w:tcBorders>
              <w:top w:val="nil"/>
              <w:left w:val="nil"/>
              <w:bottom w:val="nil"/>
              <w:right w:val="nil"/>
            </w:tcBorders>
            <w:shd w:val="clear" w:color="auto" w:fill="auto"/>
            <w:noWrap/>
            <w:vAlign w:val="bottom"/>
            <w:hideMark/>
          </w:tcPr>
          <w:p w14:paraId="50EA84C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11,060.5</w:t>
            </w:r>
          </w:p>
        </w:tc>
        <w:tc>
          <w:tcPr>
            <w:tcW w:w="960" w:type="dxa"/>
            <w:tcBorders>
              <w:top w:val="nil"/>
              <w:left w:val="nil"/>
              <w:bottom w:val="nil"/>
              <w:right w:val="nil"/>
            </w:tcBorders>
            <w:shd w:val="clear" w:color="auto" w:fill="auto"/>
            <w:noWrap/>
            <w:vAlign w:val="bottom"/>
            <w:hideMark/>
          </w:tcPr>
          <w:p w14:paraId="4FF528B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378</w:t>
            </w:r>
          </w:p>
        </w:tc>
        <w:tc>
          <w:tcPr>
            <w:tcW w:w="1261" w:type="dxa"/>
            <w:tcBorders>
              <w:top w:val="nil"/>
              <w:left w:val="nil"/>
              <w:bottom w:val="nil"/>
              <w:right w:val="nil"/>
            </w:tcBorders>
            <w:shd w:val="clear" w:color="auto" w:fill="auto"/>
            <w:noWrap/>
            <w:vAlign w:val="bottom"/>
            <w:hideMark/>
          </w:tcPr>
          <w:p w14:paraId="0B283E4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10,285.1</w:t>
            </w:r>
          </w:p>
        </w:tc>
        <w:tc>
          <w:tcPr>
            <w:tcW w:w="960" w:type="dxa"/>
            <w:tcBorders>
              <w:top w:val="nil"/>
              <w:left w:val="nil"/>
              <w:bottom w:val="nil"/>
              <w:right w:val="nil"/>
            </w:tcBorders>
            <w:shd w:val="clear" w:color="auto" w:fill="auto"/>
            <w:noWrap/>
            <w:vAlign w:val="bottom"/>
            <w:hideMark/>
          </w:tcPr>
          <w:p w14:paraId="21E9704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351</w:t>
            </w:r>
          </w:p>
        </w:tc>
        <w:tc>
          <w:tcPr>
            <w:tcW w:w="1261" w:type="dxa"/>
            <w:tcBorders>
              <w:top w:val="nil"/>
              <w:left w:val="nil"/>
              <w:bottom w:val="nil"/>
              <w:right w:val="nil"/>
            </w:tcBorders>
            <w:shd w:val="clear" w:color="auto" w:fill="auto"/>
            <w:noWrap/>
            <w:vAlign w:val="bottom"/>
            <w:hideMark/>
          </w:tcPr>
          <w:p w14:paraId="13840DE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11,586.1</w:t>
            </w:r>
          </w:p>
        </w:tc>
        <w:tc>
          <w:tcPr>
            <w:tcW w:w="960" w:type="dxa"/>
            <w:tcBorders>
              <w:top w:val="nil"/>
              <w:left w:val="nil"/>
              <w:bottom w:val="nil"/>
              <w:right w:val="nil"/>
            </w:tcBorders>
            <w:shd w:val="clear" w:color="auto" w:fill="auto"/>
            <w:noWrap/>
            <w:vAlign w:val="bottom"/>
            <w:hideMark/>
          </w:tcPr>
          <w:p w14:paraId="4C16622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396</w:t>
            </w:r>
          </w:p>
        </w:tc>
        <w:tc>
          <w:tcPr>
            <w:tcW w:w="1261" w:type="dxa"/>
            <w:tcBorders>
              <w:top w:val="nil"/>
              <w:left w:val="nil"/>
              <w:bottom w:val="nil"/>
              <w:right w:val="nil"/>
            </w:tcBorders>
            <w:shd w:val="clear" w:color="auto" w:fill="auto"/>
            <w:noWrap/>
            <w:vAlign w:val="bottom"/>
            <w:hideMark/>
          </w:tcPr>
          <w:p w14:paraId="11BF9EE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10,917.6</w:t>
            </w:r>
          </w:p>
        </w:tc>
        <w:tc>
          <w:tcPr>
            <w:tcW w:w="960" w:type="dxa"/>
            <w:tcBorders>
              <w:top w:val="nil"/>
              <w:left w:val="nil"/>
              <w:bottom w:val="nil"/>
              <w:right w:val="nil"/>
            </w:tcBorders>
            <w:shd w:val="clear" w:color="auto" w:fill="auto"/>
            <w:noWrap/>
            <w:vAlign w:val="bottom"/>
            <w:hideMark/>
          </w:tcPr>
          <w:p w14:paraId="7F40A52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373</w:t>
            </w:r>
          </w:p>
        </w:tc>
      </w:tr>
      <w:tr w:rsidR="00EE4837" w:rsidRPr="007239A6" w14:paraId="0EC9578B" w14:textId="77777777" w:rsidTr="00181ACD">
        <w:trPr>
          <w:trHeight w:val="288"/>
        </w:trPr>
        <w:tc>
          <w:tcPr>
            <w:tcW w:w="1586" w:type="dxa"/>
            <w:tcBorders>
              <w:top w:val="nil"/>
              <w:left w:val="nil"/>
              <w:bottom w:val="nil"/>
              <w:right w:val="nil"/>
            </w:tcBorders>
            <w:shd w:val="clear" w:color="auto" w:fill="auto"/>
            <w:noWrap/>
            <w:vAlign w:val="bottom"/>
            <w:hideMark/>
          </w:tcPr>
          <w:p w14:paraId="655A935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Chester</w:t>
            </w:r>
          </w:p>
        </w:tc>
        <w:tc>
          <w:tcPr>
            <w:tcW w:w="1261" w:type="dxa"/>
            <w:tcBorders>
              <w:top w:val="nil"/>
              <w:left w:val="nil"/>
              <w:bottom w:val="nil"/>
              <w:right w:val="nil"/>
            </w:tcBorders>
            <w:shd w:val="clear" w:color="auto" w:fill="auto"/>
            <w:noWrap/>
            <w:vAlign w:val="bottom"/>
            <w:hideMark/>
          </w:tcPr>
          <w:p w14:paraId="5ED2ABE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1,281.9</w:t>
            </w:r>
          </w:p>
        </w:tc>
        <w:tc>
          <w:tcPr>
            <w:tcW w:w="960" w:type="dxa"/>
            <w:tcBorders>
              <w:top w:val="nil"/>
              <w:left w:val="nil"/>
              <w:bottom w:val="nil"/>
              <w:right w:val="nil"/>
            </w:tcBorders>
            <w:shd w:val="clear" w:color="auto" w:fill="auto"/>
            <w:noWrap/>
            <w:vAlign w:val="bottom"/>
            <w:hideMark/>
          </w:tcPr>
          <w:p w14:paraId="53195AB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309</w:t>
            </w:r>
          </w:p>
        </w:tc>
        <w:tc>
          <w:tcPr>
            <w:tcW w:w="1261" w:type="dxa"/>
            <w:tcBorders>
              <w:top w:val="nil"/>
              <w:left w:val="nil"/>
              <w:bottom w:val="nil"/>
              <w:right w:val="nil"/>
            </w:tcBorders>
            <w:shd w:val="clear" w:color="auto" w:fill="auto"/>
            <w:noWrap/>
            <w:vAlign w:val="bottom"/>
            <w:hideMark/>
          </w:tcPr>
          <w:p w14:paraId="0EBAE9B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1,452.3</w:t>
            </w:r>
          </w:p>
        </w:tc>
        <w:tc>
          <w:tcPr>
            <w:tcW w:w="960" w:type="dxa"/>
            <w:tcBorders>
              <w:top w:val="nil"/>
              <w:left w:val="nil"/>
              <w:bottom w:val="nil"/>
              <w:right w:val="nil"/>
            </w:tcBorders>
            <w:shd w:val="clear" w:color="auto" w:fill="auto"/>
            <w:noWrap/>
            <w:vAlign w:val="bottom"/>
            <w:hideMark/>
          </w:tcPr>
          <w:p w14:paraId="33A5D2C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350</w:t>
            </w:r>
          </w:p>
        </w:tc>
        <w:tc>
          <w:tcPr>
            <w:tcW w:w="1261" w:type="dxa"/>
            <w:tcBorders>
              <w:top w:val="nil"/>
              <w:left w:val="nil"/>
              <w:bottom w:val="nil"/>
              <w:right w:val="nil"/>
            </w:tcBorders>
            <w:shd w:val="clear" w:color="auto" w:fill="auto"/>
            <w:noWrap/>
            <w:vAlign w:val="bottom"/>
            <w:hideMark/>
          </w:tcPr>
          <w:p w14:paraId="7B93CAF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1,214.4</w:t>
            </w:r>
          </w:p>
        </w:tc>
        <w:tc>
          <w:tcPr>
            <w:tcW w:w="960" w:type="dxa"/>
            <w:tcBorders>
              <w:top w:val="nil"/>
              <w:left w:val="nil"/>
              <w:bottom w:val="nil"/>
              <w:right w:val="nil"/>
            </w:tcBorders>
            <w:shd w:val="clear" w:color="auto" w:fill="auto"/>
            <w:noWrap/>
            <w:vAlign w:val="bottom"/>
            <w:hideMark/>
          </w:tcPr>
          <w:p w14:paraId="6FDE928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292</w:t>
            </w:r>
          </w:p>
        </w:tc>
        <w:tc>
          <w:tcPr>
            <w:tcW w:w="1261" w:type="dxa"/>
            <w:tcBorders>
              <w:top w:val="nil"/>
              <w:left w:val="nil"/>
              <w:bottom w:val="nil"/>
              <w:right w:val="nil"/>
            </w:tcBorders>
            <w:shd w:val="clear" w:color="auto" w:fill="auto"/>
            <w:noWrap/>
            <w:vAlign w:val="bottom"/>
            <w:hideMark/>
          </w:tcPr>
          <w:p w14:paraId="48A7A6B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1,328.6</w:t>
            </w:r>
          </w:p>
        </w:tc>
        <w:tc>
          <w:tcPr>
            <w:tcW w:w="960" w:type="dxa"/>
            <w:tcBorders>
              <w:top w:val="nil"/>
              <w:left w:val="nil"/>
              <w:bottom w:val="nil"/>
              <w:right w:val="nil"/>
            </w:tcBorders>
            <w:shd w:val="clear" w:color="auto" w:fill="auto"/>
            <w:noWrap/>
            <w:vAlign w:val="bottom"/>
            <w:hideMark/>
          </w:tcPr>
          <w:p w14:paraId="62B2E54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320</w:t>
            </w:r>
          </w:p>
        </w:tc>
        <w:tc>
          <w:tcPr>
            <w:tcW w:w="1261" w:type="dxa"/>
            <w:tcBorders>
              <w:top w:val="nil"/>
              <w:left w:val="nil"/>
              <w:bottom w:val="nil"/>
              <w:right w:val="nil"/>
            </w:tcBorders>
            <w:shd w:val="clear" w:color="auto" w:fill="auto"/>
            <w:noWrap/>
            <w:vAlign w:val="bottom"/>
            <w:hideMark/>
          </w:tcPr>
          <w:p w14:paraId="04130D9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1,271.7</w:t>
            </w:r>
          </w:p>
        </w:tc>
        <w:tc>
          <w:tcPr>
            <w:tcW w:w="960" w:type="dxa"/>
            <w:tcBorders>
              <w:top w:val="nil"/>
              <w:left w:val="nil"/>
              <w:bottom w:val="nil"/>
              <w:right w:val="nil"/>
            </w:tcBorders>
            <w:shd w:val="clear" w:color="auto" w:fill="auto"/>
            <w:noWrap/>
            <w:vAlign w:val="bottom"/>
            <w:hideMark/>
          </w:tcPr>
          <w:p w14:paraId="69FC4AA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306</w:t>
            </w:r>
          </w:p>
        </w:tc>
      </w:tr>
      <w:tr w:rsidR="00EE4837" w:rsidRPr="007239A6" w14:paraId="2D8A138B" w14:textId="77777777" w:rsidTr="00181ACD">
        <w:trPr>
          <w:trHeight w:val="288"/>
        </w:trPr>
        <w:tc>
          <w:tcPr>
            <w:tcW w:w="1586" w:type="dxa"/>
            <w:tcBorders>
              <w:top w:val="nil"/>
              <w:left w:val="nil"/>
              <w:bottom w:val="nil"/>
              <w:right w:val="nil"/>
            </w:tcBorders>
            <w:shd w:val="clear" w:color="auto" w:fill="auto"/>
            <w:noWrap/>
            <w:vAlign w:val="bottom"/>
            <w:hideMark/>
          </w:tcPr>
          <w:p w14:paraId="5D3025A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Clinton</w:t>
            </w:r>
          </w:p>
        </w:tc>
        <w:tc>
          <w:tcPr>
            <w:tcW w:w="1261" w:type="dxa"/>
            <w:tcBorders>
              <w:top w:val="nil"/>
              <w:left w:val="nil"/>
              <w:bottom w:val="nil"/>
              <w:right w:val="nil"/>
            </w:tcBorders>
            <w:shd w:val="clear" w:color="auto" w:fill="auto"/>
            <w:noWrap/>
            <w:vAlign w:val="bottom"/>
            <w:hideMark/>
          </w:tcPr>
          <w:p w14:paraId="1B21F77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3,430.9</w:t>
            </w:r>
          </w:p>
        </w:tc>
        <w:tc>
          <w:tcPr>
            <w:tcW w:w="960" w:type="dxa"/>
            <w:tcBorders>
              <w:top w:val="nil"/>
              <w:left w:val="nil"/>
              <w:bottom w:val="nil"/>
              <w:right w:val="nil"/>
            </w:tcBorders>
            <w:shd w:val="clear" w:color="auto" w:fill="auto"/>
            <w:noWrap/>
            <w:vAlign w:val="bottom"/>
            <w:hideMark/>
          </w:tcPr>
          <w:p w14:paraId="011FBB7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259</w:t>
            </w:r>
          </w:p>
        </w:tc>
        <w:tc>
          <w:tcPr>
            <w:tcW w:w="1261" w:type="dxa"/>
            <w:tcBorders>
              <w:top w:val="nil"/>
              <w:left w:val="nil"/>
              <w:bottom w:val="nil"/>
              <w:right w:val="nil"/>
            </w:tcBorders>
            <w:shd w:val="clear" w:color="auto" w:fill="auto"/>
            <w:noWrap/>
            <w:vAlign w:val="bottom"/>
            <w:hideMark/>
          </w:tcPr>
          <w:p w14:paraId="3966B9C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3,477.1</w:t>
            </w:r>
          </w:p>
        </w:tc>
        <w:tc>
          <w:tcPr>
            <w:tcW w:w="960" w:type="dxa"/>
            <w:tcBorders>
              <w:top w:val="nil"/>
              <w:left w:val="nil"/>
              <w:bottom w:val="nil"/>
              <w:right w:val="nil"/>
            </w:tcBorders>
            <w:shd w:val="clear" w:color="auto" w:fill="auto"/>
            <w:noWrap/>
            <w:vAlign w:val="bottom"/>
            <w:hideMark/>
          </w:tcPr>
          <w:p w14:paraId="34F1544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263</w:t>
            </w:r>
          </w:p>
        </w:tc>
        <w:tc>
          <w:tcPr>
            <w:tcW w:w="1261" w:type="dxa"/>
            <w:tcBorders>
              <w:top w:val="nil"/>
              <w:left w:val="nil"/>
              <w:bottom w:val="nil"/>
              <w:right w:val="nil"/>
            </w:tcBorders>
            <w:shd w:val="clear" w:color="auto" w:fill="auto"/>
            <w:noWrap/>
            <w:vAlign w:val="bottom"/>
            <w:hideMark/>
          </w:tcPr>
          <w:p w14:paraId="293AA59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1,641.5</w:t>
            </w:r>
          </w:p>
        </w:tc>
        <w:tc>
          <w:tcPr>
            <w:tcW w:w="960" w:type="dxa"/>
            <w:tcBorders>
              <w:top w:val="nil"/>
              <w:left w:val="nil"/>
              <w:bottom w:val="nil"/>
              <w:right w:val="nil"/>
            </w:tcBorders>
            <w:shd w:val="clear" w:color="auto" w:fill="auto"/>
            <w:noWrap/>
            <w:vAlign w:val="bottom"/>
            <w:hideMark/>
          </w:tcPr>
          <w:p w14:paraId="49F0945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124</w:t>
            </w:r>
          </w:p>
        </w:tc>
        <w:tc>
          <w:tcPr>
            <w:tcW w:w="1261" w:type="dxa"/>
            <w:tcBorders>
              <w:top w:val="nil"/>
              <w:left w:val="nil"/>
              <w:bottom w:val="nil"/>
              <w:right w:val="nil"/>
            </w:tcBorders>
            <w:shd w:val="clear" w:color="auto" w:fill="auto"/>
            <w:noWrap/>
            <w:vAlign w:val="bottom"/>
            <w:hideMark/>
          </w:tcPr>
          <w:p w14:paraId="2D777D5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4,214.5</w:t>
            </w:r>
          </w:p>
        </w:tc>
        <w:tc>
          <w:tcPr>
            <w:tcW w:w="960" w:type="dxa"/>
            <w:tcBorders>
              <w:top w:val="nil"/>
              <w:left w:val="nil"/>
              <w:bottom w:val="nil"/>
              <w:right w:val="nil"/>
            </w:tcBorders>
            <w:shd w:val="clear" w:color="auto" w:fill="auto"/>
            <w:noWrap/>
            <w:vAlign w:val="bottom"/>
            <w:hideMark/>
          </w:tcPr>
          <w:p w14:paraId="5C101AC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318</w:t>
            </w:r>
          </w:p>
        </w:tc>
        <w:tc>
          <w:tcPr>
            <w:tcW w:w="1261" w:type="dxa"/>
            <w:tcBorders>
              <w:top w:val="nil"/>
              <w:left w:val="nil"/>
              <w:bottom w:val="nil"/>
              <w:right w:val="nil"/>
            </w:tcBorders>
            <w:shd w:val="clear" w:color="auto" w:fill="auto"/>
            <w:noWrap/>
            <w:vAlign w:val="bottom"/>
            <w:hideMark/>
          </w:tcPr>
          <w:p w14:paraId="70DFB8D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2,823.0</w:t>
            </w:r>
          </w:p>
        </w:tc>
        <w:tc>
          <w:tcPr>
            <w:tcW w:w="960" w:type="dxa"/>
            <w:tcBorders>
              <w:top w:val="nil"/>
              <w:left w:val="nil"/>
              <w:bottom w:val="nil"/>
              <w:right w:val="nil"/>
            </w:tcBorders>
            <w:shd w:val="clear" w:color="auto" w:fill="auto"/>
            <w:noWrap/>
            <w:vAlign w:val="bottom"/>
            <w:hideMark/>
          </w:tcPr>
          <w:p w14:paraId="51C27ED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213</w:t>
            </w:r>
          </w:p>
        </w:tc>
      </w:tr>
      <w:tr w:rsidR="00EE4837" w:rsidRPr="007239A6" w14:paraId="19603D87" w14:textId="77777777" w:rsidTr="00181ACD">
        <w:trPr>
          <w:trHeight w:val="288"/>
        </w:trPr>
        <w:tc>
          <w:tcPr>
            <w:tcW w:w="1586" w:type="dxa"/>
            <w:tcBorders>
              <w:top w:val="nil"/>
              <w:left w:val="nil"/>
              <w:bottom w:val="nil"/>
              <w:right w:val="nil"/>
            </w:tcBorders>
            <w:shd w:val="clear" w:color="auto" w:fill="auto"/>
            <w:noWrap/>
            <w:vAlign w:val="bottom"/>
            <w:hideMark/>
          </w:tcPr>
          <w:p w14:paraId="251C8FD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lastRenderedPageBreak/>
              <w:t>Colchester</w:t>
            </w:r>
          </w:p>
        </w:tc>
        <w:tc>
          <w:tcPr>
            <w:tcW w:w="1261" w:type="dxa"/>
            <w:tcBorders>
              <w:top w:val="nil"/>
              <w:left w:val="nil"/>
              <w:bottom w:val="nil"/>
              <w:right w:val="nil"/>
            </w:tcBorders>
            <w:shd w:val="clear" w:color="auto" w:fill="auto"/>
            <w:noWrap/>
            <w:vAlign w:val="bottom"/>
            <w:hideMark/>
          </w:tcPr>
          <w:p w14:paraId="53C7FF5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4,178.8</w:t>
            </w:r>
          </w:p>
        </w:tc>
        <w:tc>
          <w:tcPr>
            <w:tcW w:w="960" w:type="dxa"/>
            <w:tcBorders>
              <w:top w:val="nil"/>
              <w:left w:val="nil"/>
              <w:bottom w:val="nil"/>
              <w:right w:val="nil"/>
            </w:tcBorders>
            <w:shd w:val="clear" w:color="auto" w:fill="auto"/>
            <w:noWrap/>
            <w:vAlign w:val="bottom"/>
            <w:hideMark/>
          </w:tcPr>
          <w:p w14:paraId="3A9C196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259</w:t>
            </w:r>
          </w:p>
        </w:tc>
        <w:tc>
          <w:tcPr>
            <w:tcW w:w="1261" w:type="dxa"/>
            <w:tcBorders>
              <w:top w:val="nil"/>
              <w:left w:val="nil"/>
              <w:bottom w:val="nil"/>
              <w:right w:val="nil"/>
            </w:tcBorders>
            <w:shd w:val="clear" w:color="auto" w:fill="auto"/>
            <w:noWrap/>
            <w:vAlign w:val="bottom"/>
            <w:hideMark/>
          </w:tcPr>
          <w:p w14:paraId="1186777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4,219.5</w:t>
            </w:r>
          </w:p>
        </w:tc>
        <w:tc>
          <w:tcPr>
            <w:tcW w:w="960" w:type="dxa"/>
            <w:tcBorders>
              <w:top w:val="nil"/>
              <w:left w:val="nil"/>
              <w:bottom w:val="nil"/>
              <w:right w:val="nil"/>
            </w:tcBorders>
            <w:shd w:val="clear" w:color="auto" w:fill="auto"/>
            <w:noWrap/>
            <w:vAlign w:val="bottom"/>
            <w:hideMark/>
          </w:tcPr>
          <w:p w14:paraId="6EA269F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262</w:t>
            </w:r>
          </w:p>
        </w:tc>
        <w:tc>
          <w:tcPr>
            <w:tcW w:w="1261" w:type="dxa"/>
            <w:tcBorders>
              <w:top w:val="nil"/>
              <w:left w:val="nil"/>
              <w:bottom w:val="nil"/>
              <w:right w:val="nil"/>
            </w:tcBorders>
            <w:shd w:val="clear" w:color="auto" w:fill="auto"/>
            <w:noWrap/>
            <w:vAlign w:val="bottom"/>
            <w:hideMark/>
          </w:tcPr>
          <w:p w14:paraId="67C8497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1,704.6</w:t>
            </w:r>
          </w:p>
        </w:tc>
        <w:tc>
          <w:tcPr>
            <w:tcW w:w="960" w:type="dxa"/>
            <w:tcBorders>
              <w:top w:val="nil"/>
              <w:left w:val="nil"/>
              <w:bottom w:val="nil"/>
              <w:right w:val="nil"/>
            </w:tcBorders>
            <w:shd w:val="clear" w:color="auto" w:fill="auto"/>
            <w:noWrap/>
            <w:vAlign w:val="bottom"/>
            <w:hideMark/>
          </w:tcPr>
          <w:p w14:paraId="09B6B27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106</w:t>
            </w:r>
          </w:p>
        </w:tc>
        <w:tc>
          <w:tcPr>
            <w:tcW w:w="1261" w:type="dxa"/>
            <w:tcBorders>
              <w:top w:val="nil"/>
              <w:left w:val="nil"/>
              <w:bottom w:val="nil"/>
              <w:right w:val="nil"/>
            </w:tcBorders>
            <w:shd w:val="clear" w:color="auto" w:fill="auto"/>
            <w:noWrap/>
            <w:vAlign w:val="bottom"/>
            <w:hideMark/>
          </w:tcPr>
          <w:p w14:paraId="40E887F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5,479.2</w:t>
            </w:r>
          </w:p>
        </w:tc>
        <w:tc>
          <w:tcPr>
            <w:tcW w:w="960" w:type="dxa"/>
            <w:tcBorders>
              <w:top w:val="nil"/>
              <w:left w:val="nil"/>
              <w:bottom w:val="nil"/>
              <w:right w:val="nil"/>
            </w:tcBorders>
            <w:shd w:val="clear" w:color="auto" w:fill="auto"/>
            <w:noWrap/>
            <w:vAlign w:val="bottom"/>
            <w:hideMark/>
          </w:tcPr>
          <w:p w14:paraId="33B4222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340</w:t>
            </w:r>
          </w:p>
        </w:tc>
        <w:tc>
          <w:tcPr>
            <w:tcW w:w="1261" w:type="dxa"/>
            <w:tcBorders>
              <w:top w:val="nil"/>
              <w:left w:val="nil"/>
              <w:bottom w:val="nil"/>
              <w:right w:val="nil"/>
            </w:tcBorders>
            <w:shd w:val="clear" w:color="auto" w:fill="auto"/>
            <w:noWrap/>
            <w:vAlign w:val="bottom"/>
            <w:hideMark/>
          </w:tcPr>
          <w:p w14:paraId="208F512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3,507.3</w:t>
            </w:r>
          </w:p>
        </w:tc>
        <w:tc>
          <w:tcPr>
            <w:tcW w:w="960" w:type="dxa"/>
            <w:tcBorders>
              <w:top w:val="nil"/>
              <w:left w:val="nil"/>
              <w:bottom w:val="nil"/>
              <w:right w:val="nil"/>
            </w:tcBorders>
            <w:shd w:val="clear" w:color="auto" w:fill="auto"/>
            <w:noWrap/>
            <w:vAlign w:val="bottom"/>
            <w:hideMark/>
          </w:tcPr>
          <w:p w14:paraId="3529A30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218</w:t>
            </w:r>
          </w:p>
        </w:tc>
      </w:tr>
      <w:tr w:rsidR="00EE4837" w:rsidRPr="007239A6" w14:paraId="63A2680F" w14:textId="77777777" w:rsidTr="00181ACD">
        <w:trPr>
          <w:trHeight w:val="288"/>
        </w:trPr>
        <w:tc>
          <w:tcPr>
            <w:tcW w:w="1586" w:type="dxa"/>
            <w:tcBorders>
              <w:top w:val="nil"/>
              <w:left w:val="nil"/>
              <w:bottom w:val="nil"/>
              <w:right w:val="nil"/>
            </w:tcBorders>
            <w:shd w:val="clear" w:color="auto" w:fill="auto"/>
            <w:noWrap/>
            <w:vAlign w:val="bottom"/>
            <w:hideMark/>
          </w:tcPr>
          <w:p w14:paraId="1C2532C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Colebrook</w:t>
            </w:r>
          </w:p>
        </w:tc>
        <w:tc>
          <w:tcPr>
            <w:tcW w:w="1261" w:type="dxa"/>
            <w:tcBorders>
              <w:top w:val="nil"/>
              <w:left w:val="nil"/>
              <w:bottom w:val="nil"/>
              <w:right w:val="nil"/>
            </w:tcBorders>
            <w:shd w:val="clear" w:color="auto" w:fill="auto"/>
            <w:noWrap/>
            <w:vAlign w:val="bottom"/>
            <w:hideMark/>
          </w:tcPr>
          <w:p w14:paraId="5A1A6BE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212.1</w:t>
            </w:r>
          </w:p>
        </w:tc>
        <w:tc>
          <w:tcPr>
            <w:tcW w:w="960" w:type="dxa"/>
            <w:tcBorders>
              <w:top w:val="nil"/>
              <w:left w:val="nil"/>
              <w:bottom w:val="nil"/>
              <w:right w:val="nil"/>
            </w:tcBorders>
            <w:shd w:val="clear" w:color="auto" w:fill="auto"/>
            <w:noWrap/>
            <w:vAlign w:val="bottom"/>
            <w:hideMark/>
          </w:tcPr>
          <w:p w14:paraId="42AAC58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139</w:t>
            </w:r>
          </w:p>
        </w:tc>
        <w:tc>
          <w:tcPr>
            <w:tcW w:w="1261" w:type="dxa"/>
            <w:tcBorders>
              <w:top w:val="nil"/>
              <w:left w:val="nil"/>
              <w:bottom w:val="nil"/>
              <w:right w:val="nil"/>
            </w:tcBorders>
            <w:shd w:val="clear" w:color="auto" w:fill="auto"/>
            <w:noWrap/>
            <w:vAlign w:val="bottom"/>
            <w:hideMark/>
          </w:tcPr>
          <w:p w14:paraId="2C67A30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220.0</w:t>
            </w:r>
          </w:p>
        </w:tc>
        <w:tc>
          <w:tcPr>
            <w:tcW w:w="960" w:type="dxa"/>
            <w:tcBorders>
              <w:top w:val="nil"/>
              <w:left w:val="nil"/>
              <w:bottom w:val="nil"/>
              <w:right w:val="nil"/>
            </w:tcBorders>
            <w:shd w:val="clear" w:color="auto" w:fill="auto"/>
            <w:noWrap/>
            <w:vAlign w:val="bottom"/>
            <w:hideMark/>
          </w:tcPr>
          <w:p w14:paraId="1EE53F9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144</w:t>
            </w:r>
          </w:p>
        </w:tc>
        <w:tc>
          <w:tcPr>
            <w:tcW w:w="1261" w:type="dxa"/>
            <w:tcBorders>
              <w:top w:val="nil"/>
              <w:left w:val="nil"/>
              <w:bottom w:val="nil"/>
              <w:right w:val="nil"/>
            </w:tcBorders>
            <w:shd w:val="clear" w:color="auto" w:fill="auto"/>
            <w:noWrap/>
            <w:vAlign w:val="bottom"/>
            <w:hideMark/>
          </w:tcPr>
          <w:p w14:paraId="5BC5891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56.5</w:t>
            </w:r>
          </w:p>
        </w:tc>
        <w:tc>
          <w:tcPr>
            <w:tcW w:w="960" w:type="dxa"/>
            <w:tcBorders>
              <w:top w:val="nil"/>
              <w:left w:val="nil"/>
              <w:bottom w:val="nil"/>
              <w:right w:val="nil"/>
            </w:tcBorders>
            <w:shd w:val="clear" w:color="auto" w:fill="auto"/>
            <w:noWrap/>
            <w:vAlign w:val="bottom"/>
            <w:hideMark/>
          </w:tcPr>
          <w:p w14:paraId="44289C7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w:t>
            </w:r>
          </w:p>
        </w:tc>
        <w:tc>
          <w:tcPr>
            <w:tcW w:w="1261" w:type="dxa"/>
            <w:tcBorders>
              <w:top w:val="nil"/>
              <w:left w:val="nil"/>
              <w:bottom w:val="nil"/>
              <w:right w:val="nil"/>
            </w:tcBorders>
            <w:shd w:val="clear" w:color="auto" w:fill="auto"/>
            <w:noWrap/>
            <w:vAlign w:val="bottom"/>
            <w:hideMark/>
          </w:tcPr>
          <w:p w14:paraId="6507065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382.1</w:t>
            </w:r>
          </w:p>
        </w:tc>
        <w:tc>
          <w:tcPr>
            <w:tcW w:w="960" w:type="dxa"/>
            <w:tcBorders>
              <w:top w:val="nil"/>
              <w:left w:val="nil"/>
              <w:bottom w:val="nil"/>
              <w:right w:val="nil"/>
            </w:tcBorders>
            <w:shd w:val="clear" w:color="auto" w:fill="auto"/>
            <w:noWrap/>
            <w:vAlign w:val="bottom"/>
            <w:hideMark/>
          </w:tcPr>
          <w:p w14:paraId="598A857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251</w:t>
            </w:r>
          </w:p>
        </w:tc>
        <w:tc>
          <w:tcPr>
            <w:tcW w:w="1261" w:type="dxa"/>
            <w:tcBorders>
              <w:top w:val="nil"/>
              <w:left w:val="nil"/>
              <w:bottom w:val="nil"/>
              <w:right w:val="nil"/>
            </w:tcBorders>
            <w:shd w:val="clear" w:color="auto" w:fill="auto"/>
            <w:noWrap/>
            <w:vAlign w:val="bottom"/>
            <w:hideMark/>
          </w:tcPr>
          <w:p w14:paraId="322F85A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195.8</w:t>
            </w:r>
          </w:p>
        </w:tc>
        <w:tc>
          <w:tcPr>
            <w:tcW w:w="960" w:type="dxa"/>
            <w:tcBorders>
              <w:top w:val="nil"/>
              <w:left w:val="nil"/>
              <w:bottom w:val="nil"/>
              <w:right w:val="nil"/>
            </w:tcBorders>
            <w:shd w:val="clear" w:color="auto" w:fill="auto"/>
            <w:noWrap/>
            <w:vAlign w:val="bottom"/>
            <w:hideMark/>
          </w:tcPr>
          <w:p w14:paraId="6427BD9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129</w:t>
            </w:r>
          </w:p>
        </w:tc>
      </w:tr>
      <w:tr w:rsidR="00EE4837" w:rsidRPr="007239A6" w14:paraId="76A774B4" w14:textId="77777777" w:rsidTr="00181ACD">
        <w:trPr>
          <w:trHeight w:val="288"/>
        </w:trPr>
        <w:tc>
          <w:tcPr>
            <w:tcW w:w="1586" w:type="dxa"/>
            <w:tcBorders>
              <w:top w:val="nil"/>
              <w:left w:val="nil"/>
              <w:bottom w:val="nil"/>
              <w:right w:val="nil"/>
            </w:tcBorders>
            <w:shd w:val="clear" w:color="auto" w:fill="auto"/>
            <w:noWrap/>
            <w:vAlign w:val="bottom"/>
            <w:hideMark/>
          </w:tcPr>
          <w:p w14:paraId="687EE57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Columbia</w:t>
            </w:r>
          </w:p>
        </w:tc>
        <w:tc>
          <w:tcPr>
            <w:tcW w:w="1261" w:type="dxa"/>
            <w:tcBorders>
              <w:top w:val="nil"/>
              <w:left w:val="nil"/>
              <w:bottom w:val="nil"/>
              <w:right w:val="nil"/>
            </w:tcBorders>
            <w:shd w:val="clear" w:color="auto" w:fill="auto"/>
            <w:noWrap/>
            <w:vAlign w:val="bottom"/>
            <w:hideMark/>
          </w:tcPr>
          <w:p w14:paraId="67369E4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1,475.9</w:t>
            </w:r>
          </w:p>
        </w:tc>
        <w:tc>
          <w:tcPr>
            <w:tcW w:w="960" w:type="dxa"/>
            <w:tcBorders>
              <w:top w:val="nil"/>
              <w:left w:val="nil"/>
              <w:bottom w:val="nil"/>
              <w:right w:val="nil"/>
            </w:tcBorders>
            <w:shd w:val="clear" w:color="auto" w:fill="auto"/>
            <w:noWrap/>
            <w:vAlign w:val="bottom"/>
            <w:hideMark/>
          </w:tcPr>
          <w:p w14:paraId="35643BD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270</w:t>
            </w:r>
          </w:p>
        </w:tc>
        <w:tc>
          <w:tcPr>
            <w:tcW w:w="1261" w:type="dxa"/>
            <w:tcBorders>
              <w:top w:val="nil"/>
              <w:left w:val="nil"/>
              <w:bottom w:val="nil"/>
              <w:right w:val="nil"/>
            </w:tcBorders>
            <w:shd w:val="clear" w:color="auto" w:fill="auto"/>
            <w:noWrap/>
            <w:vAlign w:val="bottom"/>
            <w:hideMark/>
          </w:tcPr>
          <w:p w14:paraId="6158FD6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1,495.9</w:t>
            </w:r>
          </w:p>
        </w:tc>
        <w:tc>
          <w:tcPr>
            <w:tcW w:w="960" w:type="dxa"/>
            <w:tcBorders>
              <w:top w:val="nil"/>
              <w:left w:val="nil"/>
              <w:bottom w:val="nil"/>
              <w:right w:val="nil"/>
            </w:tcBorders>
            <w:shd w:val="clear" w:color="auto" w:fill="auto"/>
            <w:noWrap/>
            <w:vAlign w:val="bottom"/>
            <w:hideMark/>
          </w:tcPr>
          <w:p w14:paraId="2DFE1EC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273</w:t>
            </w:r>
          </w:p>
        </w:tc>
        <w:tc>
          <w:tcPr>
            <w:tcW w:w="1261" w:type="dxa"/>
            <w:tcBorders>
              <w:top w:val="nil"/>
              <w:left w:val="nil"/>
              <w:bottom w:val="nil"/>
              <w:right w:val="nil"/>
            </w:tcBorders>
            <w:shd w:val="clear" w:color="auto" w:fill="auto"/>
            <w:noWrap/>
            <w:vAlign w:val="bottom"/>
            <w:hideMark/>
          </w:tcPr>
          <w:p w14:paraId="08EF814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399.9</w:t>
            </w:r>
          </w:p>
        </w:tc>
        <w:tc>
          <w:tcPr>
            <w:tcW w:w="960" w:type="dxa"/>
            <w:tcBorders>
              <w:top w:val="nil"/>
              <w:left w:val="nil"/>
              <w:bottom w:val="nil"/>
              <w:right w:val="nil"/>
            </w:tcBorders>
            <w:shd w:val="clear" w:color="auto" w:fill="auto"/>
            <w:noWrap/>
            <w:vAlign w:val="bottom"/>
            <w:hideMark/>
          </w:tcPr>
          <w:p w14:paraId="673F311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73</w:t>
            </w:r>
          </w:p>
        </w:tc>
        <w:tc>
          <w:tcPr>
            <w:tcW w:w="1261" w:type="dxa"/>
            <w:tcBorders>
              <w:top w:val="nil"/>
              <w:left w:val="nil"/>
              <w:bottom w:val="nil"/>
              <w:right w:val="nil"/>
            </w:tcBorders>
            <w:shd w:val="clear" w:color="auto" w:fill="auto"/>
            <w:noWrap/>
            <w:vAlign w:val="bottom"/>
            <w:hideMark/>
          </w:tcPr>
          <w:p w14:paraId="7E4C522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1,758.0</w:t>
            </w:r>
          </w:p>
        </w:tc>
        <w:tc>
          <w:tcPr>
            <w:tcW w:w="960" w:type="dxa"/>
            <w:tcBorders>
              <w:top w:val="nil"/>
              <w:left w:val="nil"/>
              <w:bottom w:val="nil"/>
              <w:right w:val="nil"/>
            </w:tcBorders>
            <w:shd w:val="clear" w:color="auto" w:fill="auto"/>
            <w:noWrap/>
            <w:vAlign w:val="bottom"/>
            <w:hideMark/>
          </w:tcPr>
          <w:p w14:paraId="50F928A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321</w:t>
            </w:r>
          </w:p>
        </w:tc>
        <w:tc>
          <w:tcPr>
            <w:tcW w:w="1261" w:type="dxa"/>
            <w:tcBorders>
              <w:top w:val="nil"/>
              <w:left w:val="nil"/>
              <w:bottom w:val="nil"/>
              <w:right w:val="nil"/>
            </w:tcBorders>
            <w:shd w:val="clear" w:color="auto" w:fill="auto"/>
            <w:noWrap/>
            <w:vAlign w:val="bottom"/>
            <w:hideMark/>
          </w:tcPr>
          <w:p w14:paraId="0199008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1,062.3</w:t>
            </w:r>
          </w:p>
        </w:tc>
        <w:tc>
          <w:tcPr>
            <w:tcW w:w="960" w:type="dxa"/>
            <w:tcBorders>
              <w:top w:val="nil"/>
              <w:left w:val="nil"/>
              <w:bottom w:val="nil"/>
              <w:right w:val="nil"/>
            </w:tcBorders>
            <w:shd w:val="clear" w:color="auto" w:fill="auto"/>
            <w:noWrap/>
            <w:vAlign w:val="bottom"/>
            <w:hideMark/>
          </w:tcPr>
          <w:p w14:paraId="65B5486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194</w:t>
            </w:r>
          </w:p>
        </w:tc>
      </w:tr>
      <w:tr w:rsidR="00EE4837" w:rsidRPr="007239A6" w14:paraId="1D0562E6" w14:textId="77777777" w:rsidTr="00181ACD">
        <w:trPr>
          <w:trHeight w:val="288"/>
        </w:trPr>
        <w:tc>
          <w:tcPr>
            <w:tcW w:w="1586" w:type="dxa"/>
            <w:tcBorders>
              <w:top w:val="nil"/>
              <w:left w:val="nil"/>
              <w:bottom w:val="nil"/>
              <w:right w:val="nil"/>
            </w:tcBorders>
            <w:shd w:val="clear" w:color="auto" w:fill="auto"/>
            <w:noWrap/>
            <w:vAlign w:val="bottom"/>
            <w:hideMark/>
          </w:tcPr>
          <w:p w14:paraId="1135082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Cornwall</w:t>
            </w:r>
          </w:p>
        </w:tc>
        <w:tc>
          <w:tcPr>
            <w:tcW w:w="1261" w:type="dxa"/>
            <w:tcBorders>
              <w:top w:val="nil"/>
              <w:left w:val="nil"/>
              <w:bottom w:val="nil"/>
              <w:right w:val="nil"/>
            </w:tcBorders>
            <w:shd w:val="clear" w:color="auto" w:fill="auto"/>
            <w:noWrap/>
            <w:vAlign w:val="bottom"/>
            <w:hideMark/>
          </w:tcPr>
          <w:p w14:paraId="3A8706F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483.0</w:t>
            </w:r>
          </w:p>
        </w:tc>
        <w:tc>
          <w:tcPr>
            <w:tcW w:w="960" w:type="dxa"/>
            <w:tcBorders>
              <w:top w:val="nil"/>
              <w:left w:val="nil"/>
              <w:bottom w:val="nil"/>
              <w:right w:val="nil"/>
            </w:tcBorders>
            <w:shd w:val="clear" w:color="auto" w:fill="auto"/>
            <w:noWrap/>
            <w:vAlign w:val="bottom"/>
            <w:hideMark/>
          </w:tcPr>
          <w:p w14:paraId="6922945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318</w:t>
            </w:r>
          </w:p>
        </w:tc>
        <w:tc>
          <w:tcPr>
            <w:tcW w:w="1261" w:type="dxa"/>
            <w:tcBorders>
              <w:top w:val="nil"/>
              <w:left w:val="nil"/>
              <w:bottom w:val="nil"/>
              <w:right w:val="nil"/>
            </w:tcBorders>
            <w:shd w:val="clear" w:color="auto" w:fill="auto"/>
            <w:noWrap/>
            <w:vAlign w:val="bottom"/>
            <w:hideMark/>
          </w:tcPr>
          <w:p w14:paraId="6EA25F7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457.6</w:t>
            </w:r>
          </w:p>
        </w:tc>
        <w:tc>
          <w:tcPr>
            <w:tcW w:w="960" w:type="dxa"/>
            <w:tcBorders>
              <w:top w:val="nil"/>
              <w:left w:val="nil"/>
              <w:bottom w:val="nil"/>
              <w:right w:val="nil"/>
            </w:tcBorders>
            <w:shd w:val="clear" w:color="auto" w:fill="auto"/>
            <w:noWrap/>
            <w:vAlign w:val="bottom"/>
            <w:hideMark/>
          </w:tcPr>
          <w:p w14:paraId="6635547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301</w:t>
            </w:r>
          </w:p>
        </w:tc>
        <w:tc>
          <w:tcPr>
            <w:tcW w:w="1261" w:type="dxa"/>
            <w:tcBorders>
              <w:top w:val="nil"/>
              <w:left w:val="nil"/>
              <w:bottom w:val="nil"/>
              <w:right w:val="nil"/>
            </w:tcBorders>
            <w:shd w:val="clear" w:color="auto" w:fill="auto"/>
            <w:noWrap/>
            <w:vAlign w:val="bottom"/>
            <w:hideMark/>
          </w:tcPr>
          <w:p w14:paraId="26F6130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154.9</w:t>
            </w:r>
          </w:p>
        </w:tc>
        <w:tc>
          <w:tcPr>
            <w:tcW w:w="960" w:type="dxa"/>
            <w:tcBorders>
              <w:top w:val="nil"/>
              <w:left w:val="nil"/>
              <w:bottom w:val="nil"/>
              <w:right w:val="nil"/>
            </w:tcBorders>
            <w:shd w:val="clear" w:color="auto" w:fill="auto"/>
            <w:noWrap/>
            <w:vAlign w:val="bottom"/>
            <w:hideMark/>
          </w:tcPr>
          <w:p w14:paraId="4943C29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102</w:t>
            </w:r>
          </w:p>
        </w:tc>
        <w:tc>
          <w:tcPr>
            <w:tcW w:w="1261" w:type="dxa"/>
            <w:tcBorders>
              <w:top w:val="nil"/>
              <w:left w:val="nil"/>
              <w:bottom w:val="nil"/>
              <w:right w:val="nil"/>
            </w:tcBorders>
            <w:shd w:val="clear" w:color="auto" w:fill="auto"/>
            <w:noWrap/>
            <w:vAlign w:val="bottom"/>
            <w:hideMark/>
          </w:tcPr>
          <w:p w14:paraId="478BE6C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280.5</w:t>
            </w:r>
          </w:p>
        </w:tc>
        <w:tc>
          <w:tcPr>
            <w:tcW w:w="960" w:type="dxa"/>
            <w:tcBorders>
              <w:top w:val="nil"/>
              <w:left w:val="nil"/>
              <w:bottom w:val="nil"/>
              <w:right w:val="nil"/>
            </w:tcBorders>
            <w:shd w:val="clear" w:color="auto" w:fill="auto"/>
            <w:noWrap/>
            <w:vAlign w:val="bottom"/>
            <w:hideMark/>
          </w:tcPr>
          <w:p w14:paraId="5D22342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185</w:t>
            </w:r>
          </w:p>
        </w:tc>
        <w:tc>
          <w:tcPr>
            <w:tcW w:w="1261" w:type="dxa"/>
            <w:tcBorders>
              <w:top w:val="nil"/>
              <w:left w:val="nil"/>
              <w:bottom w:val="nil"/>
              <w:right w:val="nil"/>
            </w:tcBorders>
            <w:shd w:val="clear" w:color="auto" w:fill="auto"/>
            <w:noWrap/>
            <w:vAlign w:val="bottom"/>
            <w:hideMark/>
          </w:tcPr>
          <w:p w14:paraId="04382C7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211.3</w:t>
            </w:r>
          </w:p>
        </w:tc>
        <w:tc>
          <w:tcPr>
            <w:tcW w:w="960" w:type="dxa"/>
            <w:tcBorders>
              <w:top w:val="nil"/>
              <w:left w:val="nil"/>
              <w:bottom w:val="nil"/>
              <w:right w:val="nil"/>
            </w:tcBorders>
            <w:shd w:val="clear" w:color="auto" w:fill="auto"/>
            <w:noWrap/>
            <w:vAlign w:val="bottom"/>
            <w:hideMark/>
          </w:tcPr>
          <w:p w14:paraId="7A0E98B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139</w:t>
            </w:r>
          </w:p>
        </w:tc>
      </w:tr>
      <w:tr w:rsidR="00EE4837" w:rsidRPr="007239A6" w14:paraId="228115A3" w14:textId="77777777" w:rsidTr="00181ACD">
        <w:trPr>
          <w:trHeight w:val="288"/>
        </w:trPr>
        <w:tc>
          <w:tcPr>
            <w:tcW w:w="1586" w:type="dxa"/>
            <w:tcBorders>
              <w:top w:val="nil"/>
              <w:left w:val="nil"/>
              <w:bottom w:val="nil"/>
              <w:right w:val="nil"/>
            </w:tcBorders>
            <w:shd w:val="clear" w:color="auto" w:fill="auto"/>
            <w:noWrap/>
            <w:vAlign w:val="bottom"/>
            <w:hideMark/>
          </w:tcPr>
          <w:p w14:paraId="72AFD0D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Coventry</w:t>
            </w:r>
          </w:p>
        </w:tc>
        <w:tc>
          <w:tcPr>
            <w:tcW w:w="1261" w:type="dxa"/>
            <w:tcBorders>
              <w:top w:val="nil"/>
              <w:left w:val="nil"/>
              <w:bottom w:val="nil"/>
              <w:right w:val="nil"/>
            </w:tcBorders>
            <w:shd w:val="clear" w:color="auto" w:fill="auto"/>
            <w:noWrap/>
            <w:vAlign w:val="bottom"/>
            <w:hideMark/>
          </w:tcPr>
          <w:p w14:paraId="5DECC12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3,192.6</w:t>
            </w:r>
          </w:p>
        </w:tc>
        <w:tc>
          <w:tcPr>
            <w:tcW w:w="960" w:type="dxa"/>
            <w:tcBorders>
              <w:top w:val="nil"/>
              <w:left w:val="nil"/>
              <w:bottom w:val="nil"/>
              <w:right w:val="nil"/>
            </w:tcBorders>
            <w:shd w:val="clear" w:color="auto" w:fill="auto"/>
            <w:noWrap/>
            <w:vAlign w:val="bottom"/>
            <w:hideMark/>
          </w:tcPr>
          <w:p w14:paraId="5EBA82E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257</w:t>
            </w:r>
          </w:p>
        </w:tc>
        <w:tc>
          <w:tcPr>
            <w:tcW w:w="1261" w:type="dxa"/>
            <w:tcBorders>
              <w:top w:val="nil"/>
              <w:left w:val="nil"/>
              <w:bottom w:val="nil"/>
              <w:right w:val="nil"/>
            </w:tcBorders>
            <w:shd w:val="clear" w:color="auto" w:fill="auto"/>
            <w:noWrap/>
            <w:vAlign w:val="bottom"/>
            <w:hideMark/>
          </w:tcPr>
          <w:p w14:paraId="343BD4C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3,218.1</w:t>
            </w:r>
          </w:p>
        </w:tc>
        <w:tc>
          <w:tcPr>
            <w:tcW w:w="960" w:type="dxa"/>
            <w:tcBorders>
              <w:top w:val="nil"/>
              <w:left w:val="nil"/>
              <w:bottom w:val="nil"/>
              <w:right w:val="nil"/>
            </w:tcBorders>
            <w:shd w:val="clear" w:color="auto" w:fill="auto"/>
            <w:noWrap/>
            <w:vAlign w:val="bottom"/>
            <w:hideMark/>
          </w:tcPr>
          <w:p w14:paraId="765F4E8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259</w:t>
            </w:r>
          </w:p>
        </w:tc>
        <w:tc>
          <w:tcPr>
            <w:tcW w:w="1261" w:type="dxa"/>
            <w:tcBorders>
              <w:top w:val="nil"/>
              <w:left w:val="nil"/>
              <w:bottom w:val="nil"/>
              <w:right w:val="nil"/>
            </w:tcBorders>
            <w:shd w:val="clear" w:color="auto" w:fill="auto"/>
            <w:noWrap/>
            <w:vAlign w:val="bottom"/>
            <w:hideMark/>
          </w:tcPr>
          <w:p w14:paraId="415488A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556.2</w:t>
            </w:r>
          </w:p>
        </w:tc>
        <w:tc>
          <w:tcPr>
            <w:tcW w:w="960" w:type="dxa"/>
            <w:tcBorders>
              <w:top w:val="nil"/>
              <w:left w:val="nil"/>
              <w:bottom w:val="nil"/>
              <w:right w:val="nil"/>
            </w:tcBorders>
            <w:shd w:val="clear" w:color="auto" w:fill="auto"/>
            <w:noWrap/>
            <w:vAlign w:val="bottom"/>
            <w:hideMark/>
          </w:tcPr>
          <w:p w14:paraId="630A5E6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w:t>
            </w:r>
          </w:p>
        </w:tc>
        <w:tc>
          <w:tcPr>
            <w:tcW w:w="1261" w:type="dxa"/>
            <w:tcBorders>
              <w:top w:val="nil"/>
              <w:left w:val="nil"/>
              <w:bottom w:val="nil"/>
              <w:right w:val="nil"/>
            </w:tcBorders>
            <w:shd w:val="clear" w:color="auto" w:fill="auto"/>
            <w:noWrap/>
            <w:vAlign w:val="bottom"/>
            <w:hideMark/>
          </w:tcPr>
          <w:p w14:paraId="1FD588E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4,144.5</w:t>
            </w:r>
          </w:p>
        </w:tc>
        <w:tc>
          <w:tcPr>
            <w:tcW w:w="960" w:type="dxa"/>
            <w:tcBorders>
              <w:top w:val="nil"/>
              <w:left w:val="nil"/>
              <w:bottom w:val="nil"/>
              <w:right w:val="nil"/>
            </w:tcBorders>
            <w:shd w:val="clear" w:color="auto" w:fill="auto"/>
            <w:noWrap/>
            <w:vAlign w:val="bottom"/>
            <w:hideMark/>
          </w:tcPr>
          <w:p w14:paraId="5DF2428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333</w:t>
            </w:r>
          </w:p>
        </w:tc>
        <w:tc>
          <w:tcPr>
            <w:tcW w:w="1261" w:type="dxa"/>
            <w:tcBorders>
              <w:top w:val="nil"/>
              <w:left w:val="nil"/>
              <w:bottom w:val="nil"/>
              <w:right w:val="nil"/>
            </w:tcBorders>
            <w:shd w:val="clear" w:color="auto" w:fill="auto"/>
            <w:noWrap/>
            <w:vAlign w:val="bottom"/>
            <w:hideMark/>
          </w:tcPr>
          <w:p w14:paraId="31EE7CB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2,244.0</w:t>
            </w:r>
          </w:p>
        </w:tc>
        <w:tc>
          <w:tcPr>
            <w:tcW w:w="960" w:type="dxa"/>
            <w:tcBorders>
              <w:top w:val="nil"/>
              <w:left w:val="nil"/>
              <w:bottom w:val="nil"/>
              <w:right w:val="nil"/>
            </w:tcBorders>
            <w:shd w:val="clear" w:color="auto" w:fill="auto"/>
            <w:noWrap/>
            <w:vAlign w:val="bottom"/>
            <w:hideMark/>
          </w:tcPr>
          <w:p w14:paraId="2532A21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180</w:t>
            </w:r>
          </w:p>
        </w:tc>
      </w:tr>
      <w:tr w:rsidR="00EE4837" w:rsidRPr="007239A6" w14:paraId="062E37A3" w14:textId="77777777" w:rsidTr="00181ACD">
        <w:trPr>
          <w:trHeight w:val="288"/>
        </w:trPr>
        <w:tc>
          <w:tcPr>
            <w:tcW w:w="1586" w:type="dxa"/>
            <w:tcBorders>
              <w:top w:val="nil"/>
              <w:left w:val="nil"/>
              <w:bottom w:val="nil"/>
              <w:right w:val="nil"/>
            </w:tcBorders>
            <w:shd w:val="clear" w:color="auto" w:fill="auto"/>
            <w:noWrap/>
            <w:vAlign w:val="bottom"/>
            <w:hideMark/>
          </w:tcPr>
          <w:p w14:paraId="4D27DA6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Cromwell</w:t>
            </w:r>
          </w:p>
        </w:tc>
        <w:tc>
          <w:tcPr>
            <w:tcW w:w="1261" w:type="dxa"/>
            <w:tcBorders>
              <w:top w:val="nil"/>
              <w:left w:val="nil"/>
              <w:bottom w:val="nil"/>
              <w:right w:val="nil"/>
            </w:tcBorders>
            <w:shd w:val="clear" w:color="auto" w:fill="auto"/>
            <w:noWrap/>
            <w:vAlign w:val="bottom"/>
            <w:hideMark/>
          </w:tcPr>
          <w:p w14:paraId="0CF30A4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4,265.1</w:t>
            </w:r>
          </w:p>
        </w:tc>
        <w:tc>
          <w:tcPr>
            <w:tcW w:w="960" w:type="dxa"/>
            <w:tcBorders>
              <w:top w:val="nil"/>
              <w:left w:val="nil"/>
              <w:bottom w:val="nil"/>
              <w:right w:val="nil"/>
            </w:tcBorders>
            <w:shd w:val="clear" w:color="auto" w:fill="auto"/>
            <w:noWrap/>
            <w:vAlign w:val="bottom"/>
            <w:hideMark/>
          </w:tcPr>
          <w:p w14:paraId="62DECDC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303</w:t>
            </w:r>
          </w:p>
        </w:tc>
        <w:tc>
          <w:tcPr>
            <w:tcW w:w="1261" w:type="dxa"/>
            <w:tcBorders>
              <w:top w:val="nil"/>
              <w:left w:val="nil"/>
              <w:bottom w:val="nil"/>
              <w:right w:val="nil"/>
            </w:tcBorders>
            <w:shd w:val="clear" w:color="auto" w:fill="auto"/>
            <w:noWrap/>
            <w:vAlign w:val="bottom"/>
            <w:hideMark/>
          </w:tcPr>
          <w:p w14:paraId="1888AEF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4,565.4</w:t>
            </w:r>
          </w:p>
        </w:tc>
        <w:tc>
          <w:tcPr>
            <w:tcW w:w="960" w:type="dxa"/>
            <w:tcBorders>
              <w:top w:val="nil"/>
              <w:left w:val="nil"/>
              <w:bottom w:val="nil"/>
              <w:right w:val="nil"/>
            </w:tcBorders>
            <w:shd w:val="clear" w:color="auto" w:fill="auto"/>
            <w:noWrap/>
            <w:vAlign w:val="bottom"/>
            <w:hideMark/>
          </w:tcPr>
          <w:p w14:paraId="4EAD46F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324</w:t>
            </w:r>
          </w:p>
        </w:tc>
        <w:tc>
          <w:tcPr>
            <w:tcW w:w="1261" w:type="dxa"/>
            <w:tcBorders>
              <w:top w:val="nil"/>
              <w:left w:val="nil"/>
              <w:bottom w:val="nil"/>
              <w:right w:val="nil"/>
            </w:tcBorders>
            <w:shd w:val="clear" w:color="auto" w:fill="auto"/>
            <w:noWrap/>
            <w:vAlign w:val="bottom"/>
            <w:hideMark/>
          </w:tcPr>
          <w:p w14:paraId="688880F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3,115.7</w:t>
            </w:r>
          </w:p>
        </w:tc>
        <w:tc>
          <w:tcPr>
            <w:tcW w:w="960" w:type="dxa"/>
            <w:tcBorders>
              <w:top w:val="nil"/>
              <w:left w:val="nil"/>
              <w:bottom w:val="nil"/>
              <w:right w:val="nil"/>
            </w:tcBorders>
            <w:shd w:val="clear" w:color="auto" w:fill="auto"/>
            <w:noWrap/>
            <w:vAlign w:val="bottom"/>
            <w:hideMark/>
          </w:tcPr>
          <w:p w14:paraId="57C9758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221</w:t>
            </w:r>
          </w:p>
        </w:tc>
        <w:tc>
          <w:tcPr>
            <w:tcW w:w="1261" w:type="dxa"/>
            <w:tcBorders>
              <w:top w:val="nil"/>
              <w:left w:val="nil"/>
              <w:bottom w:val="nil"/>
              <w:right w:val="nil"/>
            </w:tcBorders>
            <w:shd w:val="clear" w:color="auto" w:fill="auto"/>
            <w:noWrap/>
            <w:vAlign w:val="bottom"/>
            <w:hideMark/>
          </w:tcPr>
          <w:p w14:paraId="66AD988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5,427.3</w:t>
            </w:r>
          </w:p>
        </w:tc>
        <w:tc>
          <w:tcPr>
            <w:tcW w:w="960" w:type="dxa"/>
            <w:tcBorders>
              <w:top w:val="nil"/>
              <w:left w:val="nil"/>
              <w:bottom w:val="nil"/>
              <w:right w:val="nil"/>
            </w:tcBorders>
            <w:shd w:val="clear" w:color="auto" w:fill="auto"/>
            <w:noWrap/>
            <w:vAlign w:val="bottom"/>
            <w:hideMark/>
          </w:tcPr>
          <w:p w14:paraId="2CC2260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386</w:t>
            </w:r>
          </w:p>
        </w:tc>
        <w:tc>
          <w:tcPr>
            <w:tcW w:w="1261" w:type="dxa"/>
            <w:tcBorders>
              <w:top w:val="nil"/>
              <w:left w:val="nil"/>
              <w:bottom w:val="nil"/>
              <w:right w:val="nil"/>
            </w:tcBorders>
            <w:shd w:val="clear" w:color="auto" w:fill="auto"/>
            <w:noWrap/>
            <w:vAlign w:val="bottom"/>
            <w:hideMark/>
          </w:tcPr>
          <w:p w14:paraId="2F3994F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4,207.7</w:t>
            </w:r>
          </w:p>
        </w:tc>
        <w:tc>
          <w:tcPr>
            <w:tcW w:w="960" w:type="dxa"/>
            <w:tcBorders>
              <w:top w:val="nil"/>
              <w:left w:val="nil"/>
              <w:bottom w:val="nil"/>
              <w:right w:val="nil"/>
            </w:tcBorders>
            <w:shd w:val="clear" w:color="auto" w:fill="auto"/>
            <w:noWrap/>
            <w:vAlign w:val="bottom"/>
            <w:hideMark/>
          </w:tcPr>
          <w:p w14:paraId="4F157B7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299</w:t>
            </w:r>
          </w:p>
        </w:tc>
      </w:tr>
      <w:tr w:rsidR="00EE4837" w:rsidRPr="007239A6" w14:paraId="06B9A6F0" w14:textId="77777777" w:rsidTr="00181ACD">
        <w:trPr>
          <w:trHeight w:val="288"/>
        </w:trPr>
        <w:tc>
          <w:tcPr>
            <w:tcW w:w="1586" w:type="dxa"/>
            <w:tcBorders>
              <w:top w:val="nil"/>
              <w:left w:val="nil"/>
              <w:bottom w:val="nil"/>
              <w:right w:val="nil"/>
            </w:tcBorders>
            <w:shd w:val="clear" w:color="auto" w:fill="auto"/>
            <w:noWrap/>
            <w:vAlign w:val="bottom"/>
            <w:hideMark/>
          </w:tcPr>
          <w:p w14:paraId="36190C8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Danbury</w:t>
            </w:r>
          </w:p>
        </w:tc>
        <w:tc>
          <w:tcPr>
            <w:tcW w:w="1261" w:type="dxa"/>
            <w:tcBorders>
              <w:top w:val="nil"/>
              <w:left w:val="nil"/>
              <w:bottom w:val="nil"/>
              <w:right w:val="nil"/>
            </w:tcBorders>
            <w:shd w:val="clear" w:color="auto" w:fill="auto"/>
            <w:noWrap/>
            <w:vAlign w:val="bottom"/>
            <w:hideMark/>
          </w:tcPr>
          <w:p w14:paraId="7A03811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15,597.3</w:t>
            </w:r>
          </w:p>
        </w:tc>
        <w:tc>
          <w:tcPr>
            <w:tcW w:w="960" w:type="dxa"/>
            <w:tcBorders>
              <w:top w:val="nil"/>
              <w:left w:val="nil"/>
              <w:bottom w:val="nil"/>
              <w:right w:val="nil"/>
            </w:tcBorders>
            <w:shd w:val="clear" w:color="auto" w:fill="auto"/>
            <w:noWrap/>
            <w:vAlign w:val="bottom"/>
            <w:hideMark/>
          </w:tcPr>
          <w:p w14:paraId="737C69E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190</w:t>
            </w:r>
          </w:p>
        </w:tc>
        <w:tc>
          <w:tcPr>
            <w:tcW w:w="1261" w:type="dxa"/>
            <w:tcBorders>
              <w:top w:val="nil"/>
              <w:left w:val="nil"/>
              <w:bottom w:val="nil"/>
              <w:right w:val="nil"/>
            </w:tcBorders>
            <w:shd w:val="clear" w:color="auto" w:fill="auto"/>
            <w:noWrap/>
            <w:vAlign w:val="bottom"/>
            <w:hideMark/>
          </w:tcPr>
          <w:p w14:paraId="06F8C52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11,778.8</w:t>
            </w:r>
          </w:p>
        </w:tc>
        <w:tc>
          <w:tcPr>
            <w:tcW w:w="960" w:type="dxa"/>
            <w:tcBorders>
              <w:top w:val="nil"/>
              <w:left w:val="nil"/>
              <w:bottom w:val="nil"/>
              <w:right w:val="nil"/>
            </w:tcBorders>
            <w:shd w:val="clear" w:color="auto" w:fill="auto"/>
            <w:noWrap/>
            <w:vAlign w:val="bottom"/>
            <w:hideMark/>
          </w:tcPr>
          <w:p w14:paraId="10B1109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144</w:t>
            </w:r>
          </w:p>
        </w:tc>
        <w:tc>
          <w:tcPr>
            <w:tcW w:w="1261" w:type="dxa"/>
            <w:tcBorders>
              <w:top w:val="nil"/>
              <w:left w:val="nil"/>
              <w:bottom w:val="nil"/>
              <w:right w:val="nil"/>
            </w:tcBorders>
            <w:shd w:val="clear" w:color="auto" w:fill="auto"/>
            <w:noWrap/>
            <w:vAlign w:val="bottom"/>
            <w:hideMark/>
          </w:tcPr>
          <w:p w14:paraId="73D712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29,026.3</w:t>
            </w:r>
          </w:p>
        </w:tc>
        <w:tc>
          <w:tcPr>
            <w:tcW w:w="960" w:type="dxa"/>
            <w:tcBorders>
              <w:top w:val="nil"/>
              <w:left w:val="nil"/>
              <w:bottom w:val="nil"/>
              <w:right w:val="nil"/>
            </w:tcBorders>
            <w:shd w:val="clear" w:color="auto" w:fill="auto"/>
            <w:noWrap/>
            <w:vAlign w:val="bottom"/>
            <w:hideMark/>
          </w:tcPr>
          <w:p w14:paraId="1CEEA76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354</w:t>
            </w:r>
          </w:p>
        </w:tc>
        <w:tc>
          <w:tcPr>
            <w:tcW w:w="1261" w:type="dxa"/>
            <w:tcBorders>
              <w:top w:val="nil"/>
              <w:left w:val="nil"/>
              <w:bottom w:val="nil"/>
              <w:right w:val="nil"/>
            </w:tcBorders>
            <w:shd w:val="clear" w:color="auto" w:fill="auto"/>
            <w:noWrap/>
            <w:vAlign w:val="bottom"/>
            <w:hideMark/>
          </w:tcPr>
          <w:p w14:paraId="0A99C71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17,774.2</w:t>
            </w:r>
          </w:p>
        </w:tc>
        <w:tc>
          <w:tcPr>
            <w:tcW w:w="960" w:type="dxa"/>
            <w:tcBorders>
              <w:top w:val="nil"/>
              <w:left w:val="nil"/>
              <w:bottom w:val="nil"/>
              <w:right w:val="nil"/>
            </w:tcBorders>
            <w:shd w:val="clear" w:color="auto" w:fill="auto"/>
            <w:noWrap/>
            <w:vAlign w:val="bottom"/>
            <w:hideMark/>
          </w:tcPr>
          <w:p w14:paraId="48782DB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217</w:t>
            </w:r>
          </w:p>
        </w:tc>
        <w:tc>
          <w:tcPr>
            <w:tcW w:w="1261" w:type="dxa"/>
            <w:tcBorders>
              <w:top w:val="nil"/>
              <w:left w:val="nil"/>
              <w:bottom w:val="nil"/>
              <w:right w:val="nil"/>
            </w:tcBorders>
            <w:shd w:val="clear" w:color="auto" w:fill="auto"/>
            <w:noWrap/>
            <w:vAlign w:val="bottom"/>
            <w:hideMark/>
          </w:tcPr>
          <w:p w14:paraId="457F070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23,805.5</w:t>
            </w:r>
          </w:p>
        </w:tc>
        <w:tc>
          <w:tcPr>
            <w:tcW w:w="960" w:type="dxa"/>
            <w:tcBorders>
              <w:top w:val="nil"/>
              <w:left w:val="nil"/>
              <w:bottom w:val="nil"/>
              <w:right w:val="nil"/>
            </w:tcBorders>
            <w:shd w:val="clear" w:color="auto" w:fill="auto"/>
            <w:noWrap/>
            <w:vAlign w:val="bottom"/>
            <w:hideMark/>
          </w:tcPr>
          <w:p w14:paraId="353D2B7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290</w:t>
            </w:r>
          </w:p>
        </w:tc>
      </w:tr>
      <w:tr w:rsidR="00EE4837" w:rsidRPr="007239A6" w14:paraId="67A89086" w14:textId="77777777" w:rsidTr="00181ACD">
        <w:trPr>
          <w:trHeight w:val="288"/>
        </w:trPr>
        <w:tc>
          <w:tcPr>
            <w:tcW w:w="1586" w:type="dxa"/>
            <w:tcBorders>
              <w:top w:val="nil"/>
              <w:left w:val="nil"/>
              <w:bottom w:val="nil"/>
              <w:right w:val="nil"/>
            </w:tcBorders>
            <w:shd w:val="clear" w:color="auto" w:fill="auto"/>
            <w:noWrap/>
            <w:vAlign w:val="bottom"/>
            <w:hideMark/>
          </w:tcPr>
          <w:p w14:paraId="1B4600D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Darien</w:t>
            </w:r>
          </w:p>
        </w:tc>
        <w:tc>
          <w:tcPr>
            <w:tcW w:w="1261" w:type="dxa"/>
            <w:tcBorders>
              <w:top w:val="nil"/>
              <w:left w:val="nil"/>
              <w:bottom w:val="nil"/>
              <w:right w:val="nil"/>
            </w:tcBorders>
            <w:shd w:val="clear" w:color="auto" w:fill="auto"/>
            <w:noWrap/>
            <w:vAlign w:val="bottom"/>
            <w:hideMark/>
          </w:tcPr>
          <w:p w14:paraId="679AB55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32,728.6</w:t>
            </w:r>
          </w:p>
        </w:tc>
        <w:tc>
          <w:tcPr>
            <w:tcW w:w="960" w:type="dxa"/>
            <w:tcBorders>
              <w:top w:val="nil"/>
              <w:left w:val="nil"/>
              <w:bottom w:val="nil"/>
              <w:right w:val="nil"/>
            </w:tcBorders>
            <w:shd w:val="clear" w:color="auto" w:fill="auto"/>
            <w:noWrap/>
            <w:vAlign w:val="bottom"/>
            <w:hideMark/>
          </w:tcPr>
          <w:p w14:paraId="352B626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1564</w:t>
            </w:r>
          </w:p>
        </w:tc>
        <w:tc>
          <w:tcPr>
            <w:tcW w:w="1261" w:type="dxa"/>
            <w:tcBorders>
              <w:top w:val="nil"/>
              <w:left w:val="nil"/>
              <w:bottom w:val="nil"/>
              <w:right w:val="nil"/>
            </w:tcBorders>
            <w:shd w:val="clear" w:color="auto" w:fill="auto"/>
            <w:noWrap/>
            <w:vAlign w:val="bottom"/>
            <w:hideMark/>
          </w:tcPr>
          <w:p w14:paraId="5C6C0D0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29,429.7</w:t>
            </w:r>
          </w:p>
        </w:tc>
        <w:tc>
          <w:tcPr>
            <w:tcW w:w="960" w:type="dxa"/>
            <w:tcBorders>
              <w:top w:val="nil"/>
              <w:left w:val="nil"/>
              <w:bottom w:val="nil"/>
              <w:right w:val="nil"/>
            </w:tcBorders>
            <w:shd w:val="clear" w:color="auto" w:fill="auto"/>
            <w:noWrap/>
            <w:vAlign w:val="bottom"/>
            <w:hideMark/>
          </w:tcPr>
          <w:p w14:paraId="383C6AB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1406</w:t>
            </w:r>
          </w:p>
        </w:tc>
        <w:tc>
          <w:tcPr>
            <w:tcW w:w="1261" w:type="dxa"/>
            <w:tcBorders>
              <w:top w:val="nil"/>
              <w:left w:val="nil"/>
              <w:bottom w:val="nil"/>
              <w:right w:val="nil"/>
            </w:tcBorders>
            <w:shd w:val="clear" w:color="auto" w:fill="auto"/>
            <w:noWrap/>
            <w:vAlign w:val="bottom"/>
            <w:hideMark/>
          </w:tcPr>
          <w:p w14:paraId="00D67F3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5,743.9</w:t>
            </w:r>
          </w:p>
        </w:tc>
        <w:tc>
          <w:tcPr>
            <w:tcW w:w="960" w:type="dxa"/>
            <w:tcBorders>
              <w:top w:val="nil"/>
              <w:left w:val="nil"/>
              <w:bottom w:val="nil"/>
              <w:right w:val="nil"/>
            </w:tcBorders>
            <w:shd w:val="clear" w:color="auto" w:fill="auto"/>
            <w:noWrap/>
            <w:vAlign w:val="bottom"/>
            <w:hideMark/>
          </w:tcPr>
          <w:p w14:paraId="3FDA41A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274</w:t>
            </w:r>
          </w:p>
        </w:tc>
        <w:tc>
          <w:tcPr>
            <w:tcW w:w="1261" w:type="dxa"/>
            <w:tcBorders>
              <w:top w:val="nil"/>
              <w:left w:val="nil"/>
              <w:bottom w:val="nil"/>
              <w:right w:val="nil"/>
            </w:tcBorders>
            <w:shd w:val="clear" w:color="auto" w:fill="auto"/>
            <w:noWrap/>
            <w:vAlign w:val="bottom"/>
            <w:hideMark/>
          </w:tcPr>
          <w:p w14:paraId="3316A9F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12,039.6</w:t>
            </w:r>
          </w:p>
        </w:tc>
        <w:tc>
          <w:tcPr>
            <w:tcW w:w="960" w:type="dxa"/>
            <w:tcBorders>
              <w:top w:val="nil"/>
              <w:left w:val="nil"/>
              <w:bottom w:val="nil"/>
              <w:right w:val="nil"/>
            </w:tcBorders>
            <w:shd w:val="clear" w:color="auto" w:fill="auto"/>
            <w:noWrap/>
            <w:vAlign w:val="bottom"/>
            <w:hideMark/>
          </w:tcPr>
          <w:p w14:paraId="07837AC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575</w:t>
            </w:r>
          </w:p>
        </w:tc>
        <w:tc>
          <w:tcPr>
            <w:tcW w:w="1261" w:type="dxa"/>
            <w:tcBorders>
              <w:top w:val="nil"/>
              <w:left w:val="nil"/>
              <w:bottom w:val="nil"/>
              <w:right w:val="nil"/>
            </w:tcBorders>
            <w:shd w:val="clear" w:color="auto" w:fill="auto"/>
            <w:noWrap/>
            <w:vAlign w:val="bottom"/>
            <w:hideMark/>
          </w:tcPr>
          <w:p w14:paraId="5A098BB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8,698.1</w:t>
            </w:r>
          </w:p>
        </w:tc>
        <w:tc>
          <w:tcPr>
            <w:tcW w:w="960" w:type="dxa"/>
            <w:tcBorders>
              <w:top w:val="nil"/>
              <w:left w:val="nil"/>
              <w:bottom w:val="nil"/>
              <w:right w:val="nil"/>
            </w:tcBorders>
            <w:shd w:val="clear" w:color="auto" w:fill="auto"/>
            <w:noWrap/>
            <w:vAlign w:val="bottom"/>
            <w:hideMark/>
          </w:tcPr>
          <w:p w14:paraId="3B41D58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416</w:t>
            </w:r>
          </w:p>
        </w:tc>
      </w:tr>
      <w:tr w:rsidR="00EE4837" w:rsidRPr="007239A6" w14:paraId="04F89D1F" w14:textId="77777777" w:rsidTr="00181ACD">
        <w:trPr>
          <w:trHeight w:val="288"/>
        </w:trPr>
        <w:tc>
          <w:tcPr>
            <w:tcW w:w="1586" w:type="dxa"/>
            <w:tcBorders>
              <w:top w:val="nil"/>
              <w:left w:val="nil"/>
              <w:bottom w:val="nil"/>
              <w:right w:val="nil"/>
            </w:tcBorders>
            <w:shd w:val="clear" w:color="auto" w:fill="auto"/>
            <w:noWrap/>
            <w:vAlign w:val="bottom"/>
            <w:hideMark/>
          </w:tcPr>
          <w:p w14:paraId="48BD5CA4"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Deep River</w:t>
            </w:r>
          </w:p>
        </w:tc>
        <w:tc>
          <w:tcPr>
            <w:tcW w:w="1261" w:type="dxa"/>
            <w:tcBorders>
              <w:top w:val="nil"/>
              <w:left w:val="nil"/>
              <w:bottom w:val="nil"/>
              <w:right w:val="nil"/>
            </w:tcBorders>
            <w:shd w:val="clear" w:color="auto" w:fill="auto"/>
            <w:noWrap/>
            <w:vAlign w:val="bottom"/>
            <w:hideMark/>
          </w:tcPr>
          <w:p w14:paraId="2397D20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1,317.6</w:t>
            </w:r>
          </w:p>
        </w:tc>
        <w:tc>
          <w:tcPr>
            <w:tcW w:w="960" w:type="dxa"/>
            <w:tcBorders>
              <w:top w:val="nil"/>
              <w:left w:val="nil"/>
              <w:bottom w:val="nil"/>
              <w:right w:val="nil"/>
            </w:tcBorders>
            <w:shd w:val="clear" w:color="auto" w:fill="auto"/>
            <w:noWrap/>
            <w:vAlign w:val="bottom"/>
            <w:hideMark/>
          </w:tcPr>
          <w:p w14:paraId="12601C5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286</w:t>
            </w:r>
          </w:p>
        </w:tc>
        <w:tc>
          <w:tcPr>
            <w:tcW w:w="1261" w:type="dxa"/>
            <w:tcBorders>
              <w:top w:val="nil"/>
              <w:left w:val="nil"/>
              <w:bottom w:val="nil"/>
              <w:right w:val="nil"/>
            </w:tcBorders>
            <w:shd w:val="clear" w:color="auto" w:fill="auto"/>
            <w:noWrap/>
            <w:vAlign w:val="bottom"/>
            <w:hideMark/>
          </w:tcPr>
          <w:p w14:paraId="0C2C4DB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1,389.1</w:t>
            </w:r>
          </w:p>
        </w:tc>
        <w:tc>
          <w:tcPr>
            <w:tcW w:w="960" w:type="dxa"/>
            <w:tcBorders>
              <w:top w:val="nil"/>
              <w:left w:val="nil"/>
              <w:bottom w:val="nil"/>
              <w:right w:val="nil"/>
            </w:tcBorders>
            <w:shd w:val="clear" w:color="auto" w:fill="auto"/>
            <w:noWrap/>
            <w:vAlign w:val="bottom"/>
            <w:hideMark/>
          </w:tcPr>
          <w:p w14:paraId="1AAE0E9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301</w:t>
            </w:r>
          </w:p>
        </w:tc>
        <w:tc>
          <w:tcPr>
            <w:tcW w:w="1261" w:type="dxa"/>
            <w:tcBorders>
              <w:top w:val="nil"/>
              <w:left w:val="nil"/>
              <w:bottom w:val="nil"/>
              <w:right w:val="nil"/>
            </w:tcBorders>
            <w:shd w:val="clear" w:color="auto" w:fill="auto"/>
            <w:noWrap/>
            <w:vAlign w:val="bottom"/>
            <w:hideMark/>
          </w:tcPr>
          <w:p w14:paraId="227392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748.3</w:t>
            </w:r>
          </w:p>
        </w:tc>
        <w:tc>
          <w:tcPr>
            <w:tcW w:w="960" w:type="dxa"/>
            <w:tcBorders>
              <w:top w:val="nil"/>
              <w:left w:val="nil"/>
              <w:bottom w:val="nil"/>
              <w:right w:val="nil"/>
            </w:tcBorders>
            <w:shd w:val="clear" w:color="auto" w:fill="auto"/>
            <w:noWrap/>
            <w:vAlign w:val="bottom"/>
            <w:hideMark/>
          </w:tcPr>
          <w:p w14:paraId="46C8F15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162</w:t>
            </w:r>
          </w:p>
        </w:tc>
        <w:tc>
          <w:tcPr>
            <w:tcW w:w="1261" w:type="dxa"/>
            <w:tcBorders>
              <w:top w:val="nil"/>
              <w:left w:val="nil"/>
              <w:bottom w:val="nil"/>
              <w:right w:val="nil"/>
            </w:tcBorders>
            <w:shd w:val="clear" w:color="auto" w:fill="auto"/>
            <w:noWrap/>
            <w:vAlign w:val="bottom"/>
            <w:hideMark/>
          </w:tcPr>
          <w:p w14:paraId="25DEE46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1,669.0</w:t>
            </w:r>
          </w:p>
        </w:tc>
        <w:tc>
          <w:tcPr>
            <w:tcW w:w="960" w:type="dxa"/>
            <w:tcBorders>
              <w:top w:val="nil"/>
              <w:left w:val="nil"/>
              <w:bottom w:val="nil"/>
              <w:right w:val="nil"/>
            </w:tcBorders>
            <w:shd w:val="clear" w:color="auto" w:fill="auto"/>
            <w:noWrap/>
            <w:vAlign w:val="bottom"/>
            <w:hideMark/>
          </w:tcPr>
          <w:p w14:paraId="72ED28C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362</w:t>
            </w:r>
          </w:p>
        </w:tc>
        <w:tc>
          <w:tcPr>
            <w:tcW w:w="1261" w:type="dxa"/>
            <w:tcBorders>
              <w:top w:val="nil"/>
              <w:left w:val="nil"/>
              <w:bottom w:val="nil"/>
              <w:right w:val="nil"/>
            </w:tcBorders>
            <w:shd w:val="clear" w:color="auto" w:fill="auto"/>
            <w:noWrap/>
            <w:vAlign w:val="bottom"/>
            <w:hideMark/>
          </w:tcPr>
          <w:p w14:paraId="0F42EAB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1,159.0</w:t>
            </w:r>
          </w:p>
        </w:tc>
        <w:tc>
          <w:tcPr>
            <w:tcW w:w="960" w:type="dxa"/>
            <w:tcBorders>
              <w:top w:val="nil"/>
              <w:left w:val="nil"/>
              <w:bottom w:val="nil"/>
              <w:right w:val="nil"/>
            </w:tcBorders>
            <w:shd w:val="clear" w:color="auto" w:fill="auto"/>
            <w:noWrap/>
            <w:vAlign w:val="bottom"/>
            <w:hideMark/>
          </w:tcPr>
          <w:p w14:paraId="1533F2D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251</w:t>
            </w:r>
          </w:p>
        </w:tc>
      </w:tr>
      <w:tr w:rsidR="00EE4837" w:rsidRPr="007239A6" w14:paraId="663BB6CF" w14:textId="77777777" w:rsidTr="00181ACD">
        <w:trPr>
          <w:trHeight w:val="288"/>
        </w:trPr>
        <w:tc>
          <w:tcPr>
            <w:tcW w:w="1586" w:type="dxa"/>
            <w:tcBorders>
              <w:top w:val="nil"/>
              <w:left w:val="nil"/>
              <w:bottom w:val="nil"/>
              <w:right w:val="nil"/>
            </w:tcBorders>
            <w:shd w:val="clear" w:color="auto" w:fill="auto"/>
            <w:noWrap/>
            <w:vAlign w:val="bottom"/>
            <w:hideMark/>
          </w:tcPr>
          <w:p w14:paraId="50B04E68"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Derby</w:t>
            </w:r>
          </w:p>
        </w:tc>
        <w:tc>
          <w:tcPr>
            <w:tcW w:w="1261" w:type="dxa"/>
            <w:tcBorders>
              <w:top w:val="nil"/>
              <w:left w:val="nil"/>
              <w:bottom w:val="nil"/>
              <w:right w:val="nil"/>
            </w:tcBorders>
            <w:shd w:val="clear" w:color="auto" w:fill="auto"/>
            <w:noWrap/>
            <w:vAlign w:val="bottom"/>
            <w:hideMark/>
          </w:tcPr>
          <w:p w14:paraId="16BCC2B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2,232.9</w:t>
            </w:r>
          </w:p>
        </w:tc>
        <w:tc>
          <w:tcPr>
            <w:tcW w:w="960" w:type="dxa"/>
            <w:tcBorders>
              <w:top w:val="nil"/>
              <w:left w:val="nil"/>
              <w:bottom w:val="nil"/>
              <w:right w:val="nil"/>
            </w:tcBorders>
            <w:shd w:val="clear" w:color="auto" w:fill="auto"/>
            <w:noWrap/>
            <w:vAlign w:val="bottom"/>
            <w:hideMark/>
          </w:tcPr>
          <w:p w14:paraId="62861B7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174</w:t>
            </w:r>
          </w:p>
        </w:tc>
        <w:tc>
          <w:tcPr>
            <w:tcW w:w="1261" w:type="dxa"/>
            <w:tcBorders>
              <w:top w:val="nil"/>
              <w:left w:val="nil"/>
              <w:bottom w:val="nil"/>
              <w:right w:val="nil"/>
            </w:tcBorders>
            <w:shd w:val="clear" w:color="auto" w:fill="auto"/>
            <w:noWrap/>
            <w:vAlign w:val="bottom"/>
            <w:hideMark/>
          </w:tcPr>
          <w:p w14:paraId="4DD8F7F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1,919.3</w:t>
            </w:r>
          </w:p>
        </w:tc>
        <w:tc>
          <w:tcPr>
            <w:tcW w:w="960" w:type="dxa"/>
            <w:tcBorders>
              <w:top w:val="nil"/>
              <w:left w:val="nil"/>
              <w:bottom w:val="nil"/>
              <w:right w:val="nil"/>
            </w:tcBorders>
            <w:shd w:val="clear" w:color="auto" w:fill="auto"/>
            <w:noWrap/>
            <w:vAlign w:val="bottom"/>
            <w:hideMark/>
          </w:tcPr>
          <w:p w14:paraId="17AE17C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149</w:t>
            </w:r>
          </w:p>
        </w:tc>
        <w:tc>
          <w:tcPr>
            <w:tcW w:w="1261" w:type="dxa"/>
            <w:tcBorders>
              <w:top w:val="nil"/>
              <w:left w:val="nil"/>
              <w:bottom w:val="nil"/>
              <w:right w:val="nil"/>
            </w:tcBorders>
            <w:shd w:val="clear" w:color="auto" w:fill="auto"/>
            <w:noWrap/>
            <w:vAlign w:val="bottom"/>
            <w:hideMark/>
          </w:tcPr>
          <w:p w14:paraId="0CD3CF1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1,867.2</w:t>
            </w:r>
          </w:p>
        </w:tc>
        <w:tc>
          <w:tcPr>
            <w:tcW w:w="960" w:type="dxa"/>
            <w:tcBorders>
              <w:top w:val="nil"/>
              <w:left w:val="nil"/>
              <w:bottom w:val="nil"/>
              <w:right w:val="nil"/>
            </w:tcBorders>
            <w:shd w:val="clear" w:color="auto" w:fill="auto"/>
            <w:noWrap/>
            <w:vAlign w:val="bottom"/>
            <w:hideMark/>
          </w:tcPr>
          <w:p w14:paraId="34BD7BD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145</w:t>
            </w:r>
          </w:p>
        </w:tc>
        <w:tc>
          <w:tcPr>
            <w:tcW w:w="1261" w:type="dxa"/>
            <w:tcBorders>
              <w:top w:val="nil"/>
              <w:left w:val="nil"/>
              <w:bottom w:val="nil"/>
              <w:right w:val="nil"/>
            </w:tcBorders>
            <w:shd w:val="clear" w:color="auto" w:fill="auto"/>
            <w:noWrap/>
            <w:vAlign w:val="bottom"/>
            <w:hideMark/>
          </w:tcPr>
          <w:p w14:paraId="64453EB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2,992.3</w:t>
            </w:r>
          </w:p>
        </w:tc>
        <w:tc>
          <w:tcPr>
            <w:tcW w:w="960" w:type="dxa"/>
            <w:tcBorders>
              <w:top w:val="nil"/>
              <w:left w:val="nil"/>
              <w:bottom w:val="nil"/>
              <w:right w:val="nil"/>
            </w:tcBorders>
            <w:shd w:val="clear" w:color="auto" w:fill="auto"/>
            <w:noWrap/>
            <w:vAlign w:val="bottom"/>
            <w:hideMark/>
          </w:tcPr>
          <w:p w14:paraId="4F851C7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233</w:t>
            </w:r>
          </w:p>
        </w:tc>
        <w:tc>
          <w:tcPr>
            <w:tcW w:w="1261" w:type="dxa"/>
            <w:tcBorders>
              <w:top w:val="nil"/>
              <w:left w:val="nil"/>
              <w:bottom w:val="nil"/>
              <w:right w:val="nil"/>
            </w:tcBorders>
            <w:shd w:val="clear" w:color="auto" w:fill="auto"/>
            <w:noWrap/>
            <w:vAlign w:val="bottom"/>
            <w:hideMark/>
          </w:tcPr>
          <w:p w14:paraId="40A1334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2,411.4</w:t>
            </w:r>
          </w:p>
        </w:tc>
        <w:tc>
          <w:tcPr>
            <w:tcW w:w="960" w:type="dxa"/>
            <w:tcBorders>
              <w:top w:val="nil"/>
              <w:left w:val="nil"/>
              <w:bottom w:val="nil"/>
              <w:right w:val="nil"/>
            </w:tcBorders>
            <w:shd w:val="clear" w:color="auto" w:fill="auto"/>
            <w:noWrap/>
            <w:vAlign w:val="bottom"/>
            <w:hideMark/>
          </w:tcPr>
          <w:p w14:paraId="033A14C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188</w:t>
            </w:r>
          </w:p>
        </w:tc>
      </w:tr>
      <w:tr w:rsidR="00EE4837" w:rsidRPr="007239A6" w14:paraId="6A9854BE" w14:textId="77777777" w:rsidTr="00181ACD">
        <w:trPr>
          <w:trHeight w:val="288"/>
        </w:trPr>
        <w:tc>
          <w:tcPr>
            <w:tcW w:w="1586" w:type="dxa"/>
            <w:tcBorders>
              <w:top w:val="nil"/>
              <w:left w:val="nil"/>
              <w:bottom w:val="nil"/>
              <w:right w:val="nil"/>
            </w:tcBorders>
            <w:shd w:val="clear" w:color="auto" w:fill="auto"/>
            <w:noWrap/>
            <w:vAlign w:val="bottom"/>
            <w:hideMark/>
          </w:tcPr>
          <w:p w14:paraId="1BE11CF6"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Durham</w:t>
            </w:r>
          </w:p>
        </w:tc>
        <w:tc>
          <w:tcPr>
            <w:tcW w:w="1261" w:type="dxa"/>
            <w:tcBorders>
              <w:top w:val="nil"/>
              <w:left w:val="nil"/>
              <w:bottom w:val="nil"/>
              <w:right w:val="nil"/>
            </w:tcBorders>
            <w:shd w:val="clear" w:color="auto" w:fill="auto"/>
            <w:noWrap/>
            <w:vAlign w:val="bottom"/>
            <w:hideMark/>
          </w:tcPr>
          <w:p w14:paraId="2620DA3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2,741.8</w:t>
            </w:r>
          </w:p>
        </w:tc>
        <w:tc>
          <w:tcPr>
            <w:tcW w:w="960" w:type="dxa"/>
            <w:tcBorders>
              <w:top w:val="nil"/>
              <w:left w:val="nil"/>
              <w:bottom w:val="nil"/>
              <w:right w:val="nil"/>
            </w:tcBorders>
            <w:shd w:val="clear" w:color="auto" w:fill="auto"/>
            <w:noWrap/>
            <w:vAlign w:val="bottom"/>
            <w:hideMark/>
          </w:tcPr>
          <w:p w14:paraId="5560497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372</w:t>
            </w:r>
          </w:p>
        </w:tc>
        <w:tc>
          <w:tcPr>
            <w:tcW w:w="1261" w:type="dxa"/>
            <w:tcBorders>
              <w:top w:val="nil"/>
              <w:left w:val="nil"/>
              <w:bottom w:val="nil"/>
              <w:right w:val="nil"/>
            </w:tcBorders>
            <w:shd w:val="clear" w:color="auto" w:fill="auto"/>
            <w:noWrap/>
            <w:vAlign w:val="bottom"/>
            <w:hideMark/>
          </w:tcPr>
          <w:p w14:paraId="69EE6F9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3,205.4</w:t>
            </w:r>
          </w:p>
        </w:tc>
        <w:tc>
          <w:tcPr>
            <w:tcW w:w="960" w:type="dxa"/>
            <w:tcBorders>
              <w:top w:val="nil"/>
              <w:left w:val="nil"/>
              <w:bottom w:val="nil"/>
              <w:right w:val="nil"/>
            </w:tcBorders>
            <w:shd w:val="clear" w:color="auto" w:fill="auto"/>
            <w:noWrap/>
            <w:vAlign w:val="bottom"/>
            <w:hideMark/>
          </w:tcPr>
          <w:p w14:paraId="7B3C7B4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434</w:t>
            </w:r>
          </w:p>
        </w:tc>
        <w:tc>
          <w:tcPr>
            <w:tcW w:w="1261" w:type="dxa"/>
            <w:tcBorders>
              <w:top w:val="nil"/>
              <w:left w:val="nil"/>
              <w:bottom w:val="nil"/>
              <w:right w:val="nil"/>
            </w:tcBorders>
            <w:shd w:val="clear" w:color="auto" w:fill="auto"/>
            <w:noWrap/>
            <w:vAlign w:val="bottom"/>
            <w:hideMark/>
          </w:tcPr>
          <w:p w14:paraId="5A532BB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1,075.2</w:t>
            </w:r>
          </w:p>
        </w:tc>
        <w:tc>
          <w:tcPr>
            <w:tcW w:w="960" w:type="dxa"/>
            <w:tcBorders>
              <w:top w:val="nil"/>
              <w:left w:val="nil"/>
              <w:bottom w:val="nil"/>
              <w:right w:val="nil"/>
            </w:tcBorders>
            <w:shd w:val="clear" w:color="auto" w:fill="auto"/>
            <w:noWrap/>
            <w:vAlign w:val="bottom"/>
            <w:hideMark/>
          </w:tcPr>
          <w:p w14:paraId="43BFDC6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146</w:t>
            </w:r>
          </w:p>
        </w:tc>
        <w:tc>
          <w:tcPr>
            <w:tcW w:w="1261" w:type="dxa"/>
            <w:tcBorders>
              <w:top w:val="nil"/>
              <w:left w:val="nil"/>
              <w:bottom w:val="nil"/>
              <w:right w:val="nil"/>
            </w:tcBorders>
            <w:shd w:val="clear" w:color="auto" w:fill="auto"/>
            <w:noWrap/>
            <w:vAlign w:val="bottom"/>
            <w:hideMark/>
          </w:tcPr>
          <w:p w14:paraId="327615C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3,050.9</w:t>
            </w:r>
          </w:p>
        </w:tc>
        <w:tc>
          <w:tcPr>
            <w:tcW w:w="960" w:type="dxa"/>
            <w:tcBorders>
              <w:top w:val="nil"/>
              <w:left w:val="nil"/>
              <w:bottom w:val="nil"/>
              <w:right w:val="nil"/>
            </w:tcBorders>
            <w:shd w:val="clear" w:color="auto" w:fill="auto"/>
            <w:noWrap/>
            <w:vAlign w:val="bottom"/>
            <w:hideMark/>
          </w:tcPr>
          <w:p w14:paraId="772D86D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413</w:t>
            </w:r>
          </w:p>
        </w:tc>
        <w:tc>
          <w:tcPr>
            <w:tcW w:w="1261" w:type="dxa"/>
            <w:tcBorders>
              <w:top w:val="nil"/>
              <w:left w:val="nil"/>
              <w:bottom w:val="nil"/>
              <w:right w:val="nil"/>
            </w:tcBorders>
            <w:shd w:val="clear" w:color="auto" w:fill="auto"/>
            <w:noWrap/>
            <w:vAlign w:val="bottom"/>
            <w:hideMark/>
          </w:tcPr>
          <w:p w14:paraId="289BF93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2,004.1</w:t>
            </w:r>
          </w:p>
        </w:tc>
        <w:tc>
          <w:tcPr>
            <w:tcW w:w="960" w:type="dxa"/>
            <w:tcBorders>
              <w:top w:val="nil"/>
              <w:left w:val="nil"/>
              <w:bottom w:val="nil"/>
              <w:right w:val="nil"/>
            </w:tcBorders>
            <w:shd w:val="clear" w:color="auto" w:fill="auto"/>
            <w:noWrap/>
            <w:vAlign w:val="bottom"/>
            <w:hideMark/>
          </w:tcPr>
          <w:p w14:paraId="02B4BBE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272</w:t>
            </w:r>
          </w:p>
        </w:tc>
      </w:tr>
      <w:tr w:rsidR="00EE4837" w:rsidRPr="007239A6" w14:paraId="3AD35DDA" w14:textId="77777777" w:rsidTr="00181ACD">
        <w:trPr>
          <w:trHeight w:val="288"/>
        </w:trPr>
        <w:tc>
          <w:tcPr>
            <w:tcW w:w="1586" w:type="dxa"/>
            <w:tcBorders>
              <w:top w:val="nil"/>
              <w:left w:val="nil"/>
              <w:bottom w:val="nil"/>
              <w:right w:val="nil"/>
            </w:tcBorders>
            <w:shd w:val="clear" w:color="auto" w:fill="auto"/>
            <w:noWrap/>
            <w:vAlign w:val="bottom"/>
            <w:hideMark/>
          </w:tcPr>
          <w:p w14:paraId="70F7EB18"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East Granby</w:t>
            </w:r>
          </w:p>
        </w:tc>
        <w:tc>
          <w:tcPr>
            <w:tcW w:w="1261" w:type="dxa"/>
            <w:tcBorders>
              <w:top w:val="nil"/>
              <w:left w:val="nil"/>
              <w:bottom w:val="nil"/>
              <w:right w:val="nil"/>
            </w:tcBorders>
            <w:shd w:val="clear" w:color="auto" w:fill="auto"/>
            <w:noWrap/>
            <w:vAlign w:val="bottom"/>
            <w:hideMark/>
          </w:tcPr>
          <w:p w14:paraId="7202E20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1,619.1</w:t>
            </w:r>
          </w:p>
        </w:tc>
        <w:tc>
          <w:tcPr>
            <w:tcW w:w="960" w:type="dxa"/>
            <w:tcBorders>
              <w:top w:val="nil"/>
              <w:left w:val="nil"/>
              <w:bottom w:val="nil"/>
              <w:right w:val="nil"/>
            </w:tcBorders>
            <w:shd w:val="clear" w:color="auto" w:fill="auto"/>
            <w:noWrap/>
            <w:vAlign w:val="bottom"/>
            <w:hideMark/>
          </w:tcPr>
          <w:p w14:paraId="73A6903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322</w:t>
            </w:r>
          </w:p>
        </w:tc>
        <w:tc>
          <w:tcPr>
            <w:tcW w:w="1261" w:type="dxa"/>
            <w:tcBorders>
              <w:top w:val="nil"/>
              <w:left w:val="nil"/>
              <w:bottom w:val="nil"/>
              <w:right w:val="nil"/>
            </w:tcBorders>
            <w:shd w:val="clear" w:color="auto" w:fill="auto"/>
            <w:noWrap/>
            <w:vAlign w:val="bottom"/>
            <w:hideMark/>
          </w:tcPr>
          <w:p w14:paraId="57F8890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1,694.0</w:t>
            </w:r>
          </w:p>
        </w:tc>
        <w:tc>
          <w:tcPr>
            <w:tcW w:w="960" w:type="dxa"/>
            <w:tcBorders>
              <w:top w:val="nil"/>
              <w:left w:val="nil"/>
              <w:bottom w:val="nil"/>
              <w:right w:val="nil"/>
            </w:tcBorders>
            <w:shd w:val="clear" w:color="auto" w:fill="auto"/>
            <w:noWrap/>
            <w:vAlign w:val="bottom"/>
            <w:hideMark/>
          </w:tcPr>
          <w:p w14:paraId="74AE41D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336</w:t>
            </w:r>
          </w:p>
        </w:tc>
        <w:tc>
          <w:tcPr>
            <w:tcW w:w="1261" w:type="dxa"/>
            <w:tcBorders>
              <w:top w:val="nil"/>
              <w:left w:val="nil"/>
              <w:bottom w:val="nil"/>
              <w:right w:val="nil"/>
            </w:tcBorders>
            <w:shd w:val="clear" w:color="auto" w:fill="auto"/>
            <w:noWrap/>
            <w:vAlign w:val="bottom"/>
            <w:hideMark/>
          </w:tcPr>
          <w:p w14:paraId="5C209C9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2,305.8</w:t>
            </w:r>
          </w:p>
        </w:tc>
        <w:tc>
          <w:tcPr>
            <w:tcW w:w="960" w:type="dxa"/>
            <w:tcBorders>
              <w:top w:val="nil"/>
              <w:left w:val="nil"/>
              <w:bottom w:val="nil"/>
              <w:right w:val="nil"/>
            </w:tcBorders>
            <w:shd w:val="clear" w:color="auto" w:fill="auto"/>
            <w:noWrap/>
            <w:vAlign w:val="bottom"/>
            <w:hideMark/>
          </w:tcPr>
          <w:p w14:paraId="6A240B6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458</w:t>
            </w:r>
          </w:p>
        </w:tc>
        <w:tc>
          <w:tcPr>
            <w:tcW w:w="1261" w:type="dxa"/>
            <w:tcBorders>
              <w:top w:val="nil"/>
              <w:left w:val="nil"/>
              <w:bottom w:val="nil"/>
              <w:right w:val="nil"/>
            </w:tcBorders>
            <w:shd w:val="clear" w:color="auto" w:fill="auto"/>
            <w:noWrap/>
            <w:vAlign w:val="bottom"/>
            <w:hideMark/>
          </w:tcPr>
          <w:p w14:paraId="03D6FB6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2,000.1</w:t>
            </w:r>
          </w:p>
        </w:tc>
        <w:tc>
          <w:tcPr>
            <w:tcW w:w="960" w:type="dxa"/>
            <w:tcBorders>
              <w:top w:val="nil"/>
              <w:left w:val="nil"/>
              <w:bottom w:val="nil"/>
              <w:right w:val="nil"/>
            </w:tcBorders>
            <w:shd w:val="clear" w:color="auto" w:fill="auto"/>
            <w:noWrap/>
            <w:vAlign w:val="bottom"/>
            <w:hideMark/>
          </w:tcPr>
          <w:p w14:paraId="6977C86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397</w:t>
            </w:r>
          </w:p>
        </w:tc>
        <w:tc>
          <w:tcPr>
            <w:tcW w:w="1261" w:type="dxa"/>
            <w:tcBorders>
              <w:top w:val="nil"/>
              <w:left w:val="nil"/>
              <w:bottom w:val="nil"/>
              <w:right w:val="nil"/>
            </w:tcBorders>
            <w:shd w:val="clear" w:color="auto" w:fill="auto"/>
            <w:noWrap/>
            <w:vAlign w:val="bottom"/>
            <w:hideMark/>
          </w:tcPr>
          <w:p w14:paraId="3351034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2,163.1</w:t>
            </w:r>
          </w:p>
        </w:tc>
        <w:tc>
          <w:tcPr>
            <w:tcW w:w="960" w:type="dxa"/>
            <w:tcBorders>
              <w:top w:val="nil"/>
              <w:left w:val="nil"/>
              <w:bottom w:val="nil"/>
              <w:right w:val="nil"/>
            </w:tcBorders>
            <w:shd w:val="clear" w:color="auto" w:fill="auto"/>
            <w:noWrap/>
            <w:vAlign w:val="bottom"/>
            <w:hideMark/>
          </w:tcPr>
          <w:p w14:paraId="45F749B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430</w:t>
            </w:r>
          </w:p>
        </w:tc>
      </w:tr>
      <w:tr w:rsidR="00EE4837" w:rsidRPr="007239A6" w14:paraId="174327FC" w14:textId="77777777" w:rsidTr="00181ACD">
        <w:trPr>
          <w:trHeight w:val="288"/>
        </w:trPr>
        <w:tc>
          <w:tcPr>
            <w:tcW w:w="1586" w:type="dxa"/>
            <w:tcBorders>
              <w:top w:val="nil"/>
              <w:left w:val="nil"/>
              <w:bottom w:val="nil"/>
              <w:right w:val="nil"/>
            </w:tcBorders>
            <w:shd w:val="clear" w:color="auto" w:fill="auto"/>
            <w:noWrap/>
            <w:vAlign w:val="bottom"/>
            <w:hideMark/>
          </w:tcPr>
          <w:p w14:paraId="59C43768"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East Haddam</w:t>
            </w:r>
          </w:p>
        </w:tc>
        <w:tc>
          <w:tcPr>
            <w:tcW w:w="1261" w:type="dxa"/>
            <w:tcBorders>
              <w:top w:val="nil"/>
              <w:left w:val="nil"/>
              <w:bottom w:val="nil"/>
              <w:right w:val="nil"/>
            </w:tcBorders>
            <w:shd w:val="clear" w:color="auto" w:fill="auto"/>
            <w:noWrap/>
            <w:vAlign w:val="bottom"/>
            <w:hideMark/>
          </w:tcPr>
          <w:p w14:paraId="578E67F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2,237.1</w:t>
            </w:r>
          </w:p>
        </w:tc>
        <w:tc>
          <w:tcPr>
            <w:tcW w:w="960" w:type="dxa"/>
            <w:tcBorders>
              <w:top w:val="nil"/>
              <w:left w:val="nil"/>
              <w:bottom w:val="nil"/>
              <w:right w:val="nil"/>
            </w:tcBorders>
            <w:shd w:val="clear" w:color="auto" w:fill="auto"/>
            <w:noWrap/>
            <w:vAlign w:val="bottom"/>
            <w:hideMark/>
          </w:tcPr>
          <w:p w14:paraId="0D388BF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245</w:t>
            </w:r>
          </w:p>
        </w:tc>
        <w:tc>
          <w:tcPr>
            <w:tcW w:w="1261" w:type="dxa"/>
            <w:tcBorders>
              <w:top w:val="nil"/>
              <w:left w:val="nil"/>
              <w:bottom w:val="nil"/>
              <w:right w:val="nil"/>
            </w:tcBorders>
            <w:shd w:val="clear" w:color="auto" w:fill="auto"/>
            <w:noWrap/>
            <w:vAlign w:val="bottom"/>
            <w:hideMark/>
          </w:tcPr>
          <w:p w14:paraId="4D5E2C8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2,296.4</w:t>
            </w:r>
          </w:p>
        </w:tc>
        <w:tc>
          <w:tcPr>
            <w:tcW w:w="960" w:type="dxa"/>
            <w:tcBorders>
              <w:top w:val="nil"/>
              <w:left w:val="nil"/>
              <w:bottom w:val="nil"/>
              <w:right w:val="nil"/>
            </w:tcBorders>
            <w:shd w:val="clear" w:color="auto" w:fill="auto"/>
            <w:noWrap/>
            <w:vAlign w:val="bottom"/>
            <w:hideMark/>
          </w:tcPr>
          <w:p w14:paraId="30DF919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251</w:t>
            </w:r>
          </w:p>
        </w:tc>
        <w:tc>
          <w:tcPr>
            <w:tcW w:w="1261" w:type="dxa"/>
            <w:tcBorders>
              <w:top w:val="nil"/>
              <w:left w:val="nil"/>
              <w:bottom w:val="nil"/>
              <w:right w:val="nil"/>
            </w:tcBorders>
            <w:shd w:val="clear" w:color="auto" w:fill="auto"/>
            <w:noWrap/>
            <w:vAlign w:val="bottom"/>
            <w:hideMark/>
          </w:tcPr>
          <w:p w14:paraId="0BE1E19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581.2</w:t>
            </w:r>
          </w:p>
        </w:tc>
        <w:tc>
          <w:tcPr>
            <w:tcW w:w="960" w:type="dxa"/>
            <w:tcBorders>
              <w:top w:val="nil"/>
              <w:left w:val="nil"/>
              <w:bottom w:val="nil"/>
              <w:right w:val="nil"/>
            </w:tcBorders>
            <w:shd w:val="clear" w:color="auto" w:fill="auto"/>
            <w:noWrap/>
            <w:vAlign w:val="bottom"/>
            <w:hideMark/>
          </w:tcPr>
          <w:p w14:paraId="7398487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64</w:t>
            </w:r>
          </w:p>
        </w:tc>
        <w:tc>
          <w:tcPr>
            <w:tcW w:w="1261" w:type="dxa"/>
            <w:tcBorders>
              <w:top w:val="nil"/>
              <w:left w:val="nil"/>
              <w:bottom w:val="nil"/>
              <w:right w:val="nil"/>
            </w:tcBorders>
            <w:shd w:val="clear" w:color="auto" w:fill="auto"/>
            <w:noWrap/>
            <w:vAlign w:val="bottom"/>
            <w:hideMark/>
          </w:tcPr>
          <w:p w14:paraId="34215C5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2,813.4</w:t>
            </w:r>
          </w:p>
        </w:tc>
        <w:tc>
          <w:tcPr>
            <w:tcW w:w="960" w:type="dxa"/>
            <w:tcBorders>
              <w:top w:val="nil"/>
              <w:left w:val="nil"/>
              <w:bottom w:val="nil"/>
              <w:right w:val="nil"/>
            </w:tcBorders>
            <w:shd w:val="clear" w:color="auto" w:fill="auto"/>
            <w:noWrap/>
            <w:vAlign w:val="bottom"/>
            <w:hideMark/>
          </w:tcPr>
          <w:p w14:paraId="7EE1594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308</w:t>
            </w:r>
          </w:p>
        </w:tc>
        <w:tc>
          <w:tcPr>
            <w:tcW w:w="1261" w:type="dxa"/>
            <w:tcBorders>
              <w:top w:val="nil"/>
              <w:left w:val="nil"/>
              <w:bottom w:val="nil"/>
              <w:right w:val="nil"/>
            </w:tcBorders>
            <w:shd w:val="clear" w:color="auto" w:fill="auto"/>
            <w:noWrap/>
            <w:vAlign w:val="bottom"/>
            <w:hideMark/>
          </w:tcPr>
          <w:p w14:paraId="262B4F3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1,657.1</w:t>
            </w:r>
          </w:p>
        </w:tc>
        <w:tc>
          <w:tcPr>
            <w:tcW w:w="960" w:type="dxa"/>
            <w:tcBorders>
              <w:top w:val="nil"/>
              <w:left w:val="nil"/>
              <w:bottom w:val="nil"/>
              <w:right w:val="nil"/>
            </w:tcBorders>
            <w:shd w:val="clear" w:color="auto" w:fill="auto"/>
            <w:noWrap/>
            <w:vAlign w:val="bottom"/>
            <w:hideMark/>
          </w:tcPr>
          <w:p w14:paraId="668BAB9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181</w:t>
            </w:r>
          </w:p>
        </w:tc>
      </w:tr>
      <w:tr w:rsidR="00EE4837" w:rsidRPr="007239A6" w14:paraId="5ED4F77F" w14:textId="77777777" w:rsidTr="00181ACD">
        <w:trPr>
          <w:trHeight w:val="288"/>
        </w:trPr>
        <w:tc>
          <w:tcPr>
            <w:tcW w:w="1586" w:type="dxa"/>
            <w:tcBorders>
              <w:top w:val="nil"/>
              <w:left w:val="nil"/>
              <w:bottom w:val="nil"/>
              <w:right w:val="nil"/>
            </w:tcBorders>
            <w:shd w:val="clear" w:color="auto" w:fill="auto"/>
            <w:noWrap/>
            <w:vAlign w:val="bottom"/>
            <w:hideMark/>
          </w:tcPr>
          <w:p w14:paraId="0661BDC0"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East Hampton</w:t>
            </w:r>
          </w:p>
        </w:tc>
        <w:tc>
          <w:tcPr>
            <w:tcW w:w="1261" w:type="dxa"/>
            <w:tcBorders>
              <w:top w:val="nil"/>
              <w:left w:val="nil"/>
              <w:bottom w:val="nil"/>
              <w:right w:val="nil"/>
            </w:tcBorders>
            <w:shd w:val="clear" w:color="auto" w:fill="auto"/>
            <w:noWrap/>
            <w:vAlign w:val="bottom"/>
            <w:hideMark/>
          </w:tcPr>
          <w:p w14:paraId="6EB9220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3,644.2</w:t>
            </w:r>
          </w:p>
        </w:tc>
        <w:tc>
          <w:tcPr>
            <w:tcW w:w="960" w:type="dxa"/>
            <w:tcBorders>
              <w:top w:val="nil"/>
              <w:left w:val="nil"/>
              <w:bottom w:val="nil"/>
              <w:right w:val="nil"/>
            </w:tcBorders>
            <w:shd w:val="clear" w:color="auto" w:fill="auto"/>
            <w:noWrap/>
            <w:vAlign w:val="bottom"/>
            <w:hideMark/>
          </w:tcPr>
          <w:p w14:paraId="4F5A3D2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281</w:t>
            </w:r>
          </w:p>
        </w:tc>
        <w:tc>
          <w:tcPr>
            <w:tcW w:w="1261" w:type="dxa"/>
            <w:tcBorders>
              <w:top w:val="nil"/>
              <w:left w:val="nil"/>
              <w:bottom w:val="nil"/>
              <w:right w:val="nil"/>
            </w:tcBorders>
            <w:shd w:val="clear" w:color="auto" w:fill="auto"/>
            <w:noWrap/>
            <w:vAlign w:val="bottom"/>
            <w:hideMark/>
          </w:tcPr>
          <w:p w14:paraId="53E800D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3,806.3</w:t>
            </w:r>
          </w:p>
        </w:tc>
        <w:tc>
          <w:tcPr>
            <w:tcW w:w="960" w:type="dxa"/>
            <w:tcBorders>
              <w:top w:val="nil"/>
              <w:left w:val="nil"/>
              <w:bottom w:val="nil"/>
              <w:right w:val="nil"/>
            </w:tcBorders>
            <w:shd w:val="clear" w:color="auto" w:fill="auto"/>
            <w:noWrap/>
            <w:vAlign w:val="bottom"/>
            <w:hideMark/>
          </w:tcPr>
          <w:p w14:paraId="0674260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294</w:t>
            </w:r>
          </w:p>
        </w:tc>
        <w:tc>
          <w:tcPr>
            <w:tcW w:w="1261" w:type="dxa"/>
            <w:tcBorders>
              <w:top w:val="nil"/>
              <w:left w:val="nil"/>
              <w:bottom w:val="nil"/>
              <w:right w:val="nil"/>
            </w:tcBorders>
            <w:shd w:val="clear" w:color="auto" w:fill="auto"/>
            <w:noWrap/>
            <w:vAlign w:val="bottom"/>
            <w:hideMark/>
          </w:tcPr>
          <w:p w14:paraId="30E279D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801.2</w:t>
            </w:r>
          </w:p>
        </w:tc>
        <w:tc>
          <w:tcPr>
            <w:tcW w:w="960" w:type="dxa"/>
            <w:tcBorders>
              <w:top w:val="nil"/>
              <w:left w:val="nil"/>
              <w:bottom w:val="nil"/>
              <w:right w:val="nil"/>
            </w:tcBorders>
            <w:shd w:val="clear" w:color="auto" w:fill="auto"/>
            <w:noWrap/>
            <w:vAlign w:val="bottom"/>
            <w:hideMark/>
          </w:tcPr>
          <w:p w14:paraId="7B68C42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62</w:t>
            </w:r>
          </w:p>
        </w:tc>
        <w:tc>
          <w:tcPr>
            <w:tcW w:w="1261" w:type="dxa"/>
            <w:tcBorders>
              <w:top w:val="nil"/>
              <w:left w:val="nil"/>
              <w:bottom w:val="nil"/>
              <w:right w:val="nil"/>
            </w:tcBorders>
            <w:shd w:val="clear" w:color="auto" w:fill="auto"/>
            <w:noWrap/>
            <w:vAlign w:val="bottom"/>
            <w:hideMark/>
          </w:tcPr>
          <w:p w14:paraId="7D3B16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4,628.5</w:t>
            </w:r>
          </w:p>
        </w:tc>
        <w:tc>
          <w:tcPr>
            <w:tcW w:w="960" w:type="dxa"/>
            <w:tcBorders>
              <w:top w:val="nil"/>
              <w:left w:val="nil"/>
              <w:bottom w:val="nil"/>
              <w:right w:val="nil"/>
            </w:tcBorders>
            <w:shd w:val="clear" w:color="auto" w:fill="auto"/>
            <w:noWrap/>
            <w:vAlign w:val="bottom"/>
            <w:hideMark/>
          </w:tcPr>
          <w:p w14:paraId="5EE71E6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357</w:t>
            </w:r>
          </w:p>
        </w:tc>
        <w:tc>
          <w:tcPr>
            <w:tcW w:w="1261" w:type="dxa"/>
            <w:tcBorders>
              <w:top w:val="nil"/>
              <w:left w:val="nil"/>
              <w:bottom w:val="nil"/>
              <w:right w:val="nil"/>
            </w:tcBorders>
            <w:shd w:val="clear" w:color="auto" w:fill="auto"/>
            <w:noWrap/>
            <w:vAlign w:val="bottom"/>
            <w:hideMark/>
          </w:tcPr>
          <w:p w14:paraId="6385299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2,622.2</w:t>
            </w:r>
          </w:p>
        </w:tc>
        <w:tc>
          <w:tcPr>
            <w:tcW w:w="960" w:type="dxa"/>
            <w:tcBorders>
              <w:top w:val="nil"/>
              <w:left w:val="nil"/>
              <w:bottom w:val="nil"/>
              <w:right w:val="nil"/>
            </w:tcBorders>
            <w:shd w:val="clear" w:color="auto" w:fill="auto"/>
            <w:noWrap/>
            <w:vAlign w:val="bottom"/>
            <w:hideMark/>
          </w:tcPr>
          <w:p w14:paraId="069A0C4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203</w:t>
            </w:r>
          </w:p>
        </w:tc>
      </w:tr>
      <w:tr w:rsidR="00EE4837" w:rsidRPr="007239A6" w14:paraId="1C25E375" w14:textId="77777777" w:rsidTr="00181ACD">
        <w:trPr>
          <w:trHeight w:val="288"/>
        </w:trPr>
        <w:tc>
          <w:tcPr>
            <w:tcW w:w="1586" w:type="dxa"/>
            <w:tcBorders>
              <w:top w:val="nil"/>
              <w:left w:val="nil"/>
              <w:bottom w:val="nil"/>
              <w:right w:val="nil"/>
            </w:tcBorders>
            <w:shd w:val="clear" w:color="auto" w:fill="auto"/>
            <w:noWrap/>
            <w:vAlign w:val="bottom"/>
            <w:hideMark/>
          </w:tcPr>
          <w:p w14:paraId="2B27B3D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East Hartford</w:t>
            </w:r>
          </w:p>
        </w:tc>
        <w:tc>
          <w:tcPr>
            <w:tcW w:w="1261" w:type="dxa"/>
            <w:tcBorders>
              <w:top w:val="nil"/>
              <w:left w:val="nil"/>
              <w:bottom w:val="nil"/>
              <w:right w:val="nil"/>
            </w:tcBorders>
            <w:shd w:val="clear" w:color="auto" w:fill="auto"/>
            <w:noWrap/>
            <w:vAlign w:val="bottom"/>
            <w:hideMark/>
          </w:tcPr>
          <w:p w14:paraId="2D2AAD0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7,694.4</w:t>
            </w:r>
          </w:p>
        </w:tc>
        <w:tc>
          <w:tcPr>
            <w:tcW w:w="960" w:type="dxa"/>
            <w:tcBorders>
              <w:top w:val="nil"/>
              <w:left w:val="nil"/>
              <w:bottom w:val="nil"/>
              <w:right w:val="nil"/>
            </w:tcBorders>
            <w:shd w:val="clear" w:color="auto" w:fill="auto"/>
            <w:noWrap/>
            <w:vAlign w:val="bottom"/>
            <w:hideMark/>
          </w:tcPr>
          <w:p w14:paraId="593D87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150</w:t>
            </w:r>
          </w:p>
        </w:tc>
        <w:tc>
          <w:tcPr>
            <w:tcW w:w="1261" w:type="dxa"/>
            <w:tcBorders>
              <w:top w:val="nil"/>
              <w:left w:val="nil"/>
              <w:bottom w:val="nil"/>
              <w:right w:val="nil"/>
            </w:tcBorders>
            <w:shd w:val="clear" w:color="auto" w:fill="auto"/>
            <w:noWrap/>
            <w:vAlign w:val="bottom"/>
            <w:hideMark/>
          </w:tcPr>
          <w:p w14:paraId="28902A5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5,743.7</w:t>
            </w:r>
          </w:p>
        </w:tc>
        <w:tc>
          <w:tcPr>
            <w:tcW w:w="960" w:type="dxa"/>
            <w:tcBorders>
              <w:top w:val="nil"/>
              <w:left w:val="nil"/>
              <w:bottom w:val="nil"/>
              <w:right w:val="nil"/>
            </w:tcBorders>
            <w:shd w:val="clear" w:color="auto" w:fill="auto"/>
            <w:noWrap/>
            <w:vAlign w:val="bottom"/>
            <w:hideMark/>
          </w:tcPr>
          <w:p w14:paraId="3DB4A45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112</w:t>
            </w:r>
          </w:p>
        </w:tc>
        <w:tc>
          <w:tcPr>
            <w:tcW w:w="1261" w:type="dxa"/>
            <w:tcBorders>
              <w:top w:val="nil"/>
              <w:left w:val="nil"/>
              <w:bottom w:val="nil"/>
              <w:right w:val="nil"/>
            </w:tcBorders>
            <w:shd w:val="clear" w:color="auto" w:fill="auto"/>
            <w:noWrap/>
            <w:vAlign w:val="bottom"/>
            <w:hideMark/>
          </w:tcPr>
          <w:p w14:paraId="561196E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21,529.1</w:t>
            </w:r>
          </w:p>
        </w:tc>
        <w:tc>
          <w:tcPr>
            <w:tcW w:w="960" w:type="dxa"/>
            <w:tcBorders>
              <w:top w:val="nil"/>
              <w:left w:val="nil"/>
              <w:bottom w:val="nil"/>
              <w:right w:val="nil"/>
            </w:tcBorders>
            <w:shd w:val="clear" w:color="auto" w:fill="auto"/>
            <w:noWrap/>
            <w:vAlign w:val="bottom"/>
            <w:hideMark/>
          </w:tcPr>
          <w:p w14:paraId="7BD76BC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420</w:t>
            </w:r>
          </w:p>
        </w:tc>
        <w:tc>
          <w:tcPr>
            <w:tcW w:w="1261" w:type="dxa"/>
            <w:tcBorders>
              <w:top w:val="nil"/>
              <w:left w:val="nil"/>
              <w:bottom w:val="nil"/>
              <w:right w:val="nil"/>
            </w:tcBorders>
            <w:shd w:val="clear" w:color="auto" w:fill="auto"/>
            <w:noWrap/>
            <w:vAlign w:val="bottom"/>
            <w:hideMark/>
          </w:tcPr>
          <w:p w14:paraId="124E397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10,224.5</w:t>
            </w:r>
          </w:p>
        </w:tc>
        <w:tc>
          <w:tcPr>
            <w:tcW w:w="960" w:type="dxa"/>
            <w:tcBorders>
              <w:top w:val="nil"/>
              <w:left w:val="nil"/>
              <w:bottom w:val="nil"/>
              <w:right w:val="nil"/>
            </w:tcBorders>
            <w:shd w:val="clear" w:color="auto" w:fill="auto"/>
            <w:noWrap/>
            <w:vAlign w:val="bottom"/>
            <w:hideMark/>
          </w:tcPr>
          <w:p w14:paraId="5DFF361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200</w:t>
            </w:r>
          </w:p>
        </w:tc>
        <w:tc>
          <w:tcPr>
            <w:tcW w:w="1261" w:type="dxa"/>
            <w:tcBorders>
              <w:top w:val="nil"/>
              <w:left w:val="nil"/>
              <w:bottom w:val="nil"/>
              <w:right w:val="nil"/>
            </w:tcBorders>
            <w:shd w:val="clear" w:color="auto" w:fill="auto"/>
            <w:noWrap/>
            <w:vAlign w:val="bottom"/>
            <w:hideMark/>
          </w:tcPr>
          <w:p w14:paraId="22C9E79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16,079.9</w:t>
            </w:r>
          </w:p>
        </w:tc>
        <w:tc>
          <w:tcPr>
            <w:tcW w:w="960" w:type="dxa"/>
            <w:tcBorders>
              <w:top w:val="nil"/>
              <w:left w:val="nil"/>
              <w:bottom w:val="nil"/>
              <w:right w:val="nil"/>
            </w:tcBorders>
            <w:shd w:val="clear" w:color="auto" w:fill="auto"/>
            <w:noWrap/>
            <w:vAlign w:val="bottom"/>
            <w:hideMark/>
          </w:tcPr>
          <w:p w14:paraId="36C7702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314</w:t>
            </w:r>
          </w:p>
        </w:tc>
      </w:tr>
      <w:tr w:rsidR="00EE4837" w:rsidRPr="007239A6" w14:paraId="64D6D9D6" w14:textId="77777777" w:rsidTr="00181ACD">
        <w:trPr>
          <w:trHeight w:val="288"/>
        </w:trPr>
        <w:tc>
          <w:tcPr>
            <w:tcW w:w="1586" w:type="dxa"/>
            <w:tcBorders>
              <w:top w:val="nil"/>
              <w:left w:val="nil"/>
              <w:bottom w:val="nil"/>
              <w:right w:val="nil"/>
            </w:tcBorders>
            <w:shd w:val="clear" w:color="auto" w:fill="auto"/>
            <w:noWrap/>
            <w:vAlign w:val="bottom"/>
            <w:hideMark/>
          </w:tcPr>
          <w:p w14:paraId="7493B2D4"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East Haven</w:t>
            </w:r>
          </w:p>
        </w:tc>
        <w:tc>
          <w:tcPr>
            <w:tcW w:w="1261" w:type="dxa"/>
            <w:tcBorders>
              <w:top w:val="nil"/>
              <w:left w:val="nil"/>
              <w:bottom w:val="nil"/>
              <w:right w:val="nil"/>
            </w:tcBorders>
            <w:shd w:val="clear" w:color="auto" w:fill="auto"/>
            <w:noWrap/>
            <w:vAlign w:val="bottom"/>
            <w:hideMark/>
          </w:tcPr>
          <w:p w14:paraId="6140591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5,603.8</w:t>
            </w:r>
          </w:p>
        </w:tc>
        <w:tc>
          <w:tcPr>
            <w:tcW w:w="960" w:type="dxa"/>
            <w:tcBorders>
              <w:top w:val="nil"/>
              <w:left w:val="nil"/>
              <w:bottom w:val="nil"/>
              <w:right w:val="nil"/>
            </w:tcBorders>
            <w:shd w:val="clear" w:color="auto" w:fill="auto"/>
            <w:noWrap/>
            <w:vAlign w:val="bottom"/>
            <w:hideMark/>
          </w:tcPr>
          <w:p w14:paraId="7CA78F2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192</w:t>
            </w:r>
          </w:p>
        </w:tc>
        <w:tc>
          <w:tcPr>
            <w:tcW w:w="1261" w:type="dxa"/>
            <w:tcBorders>
              <w:top w:val="nil"/>
              <w:left w:val="nil"/>
              <w:bottom w:val="nil"/>
              <w:right w:val="nil"/>
            </w:tcBorders>
            <w:shd w:val="clear" w:color="auto" w:fill="auto"/>
            <w:noWrap/>
            <w:vAlign w:val="bottom"/>
            <w:hideMark/>
          </w:tcPr>
          <w:p w14:paraId="432C321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4,925.0</w:t>
            </w:r>
          </w:p>
        </w:tc>
        <w:tc>
          <w:tcPr>
            <w:tcW w:w="960" w:type="dxa"/>
            <w:tcBorders>
              <w:top w:val="nil"/>
              <w:left w:val="nil"/>
              <w:bottom w:val="nil"/>
              <w:right w:val="nil"/>
            </w:tcBorders>
            <w:shd w:val="clear" w:color="auto" w:fill="auto"/>
            <w:noWrap/>
            <w:vAlign w:val="bottom"/>
            <w:hideMark/>
          </w:tcPr>
          <w:p w14:paraId="118ABC0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169</w:t>
            </w:r>
          </w:p>
        </w:tc>
        <w:tc>
          <w:tcPr>
            <w:tcW w:w="1261" w:type="dxa"/>
            <w:tcBorders>
              <w:top w:val="nil"/>
              <w:left w:val="nil"/>
              <w:bottom w:val="nil"/>
              <w:right w:val="nil"/>
            </w:tcBorders>
            <w:shd w:val="clear" w:color="auto" w:fill="auto"/>
            <w:noWrap/>
            <w:vAlign w:val="bottom"/>
            <w:hideMark/>
          </w:tcPr>
          <w:p w14:paraId="125C354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2,644.6</w:t>
            </w:r>
          </w:p>
        </w:tc>
        <w:tc>
          <w:tcPr>
            <w:tcW w:w="960" w:type="dxa"/>
            <w:tcBorders>
              <w:top w:val="nil"/>
              <w:left w:val="nil"/>
              <w:bottom w:val="nil"/>
              <w:right w:val="nil"/>
            </w:tcBorders>
            <w:shd w:val="clear" w:color="auto" w:fill="auto"/>
            <w:noWrap/>
            <w:vAlign w:val="bottom"/>
            <w:hideMark/>
          </w:tcPr>
          <w:p w14:paraId="7675C63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91</w:t>
            </w:r>
          </w:p>
        </w:tc>
        <w:tc>
          <w:tcPr>
            <w:tcW w:w="1261" w:type="dxa"/>
            <w:tcBorders>
              <w:top w:val="nil"/>
              <w:left w:val="nil"/>
              <w:bottom w:val="nil"/>
              <w:right w:val="nil"/>
            </w:tcBorders>
            <w:shd w:val="clear" w:color="auto" w:fill="auto"/>
            <w:noWrap/>
            <w:vAlign w:val="bottom"/>
            <w:hideMark/>
          </w:tcPr>
          <w:p w14:paraId="1F42978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6,587.0</w:t>
            </w:r>
          </w:p>
        </w:tc>
        <w:tc>
          <w:tcPr>
            <w:tcW w:w="960" w:type="dxa"/>
            <w:tcBorders>
              <w:top w:val="nil"/>
              <w:left w:val="nil"/>
              <w:bottom w:val="nil"/>
              <w:right w:val="nil"/>
            </w:tcBorders>
            <w:shd w:val="clear" w:color="auto" w:fill="auto"/>
            <w:noWrap/>
            <w:vAlign w:val="bottom"/>
            <w:hideMark/>
          </w:tcPr>
          <w:p w14:paraId="58BCFF6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226</w:t>
            </w:r>
          </w:p>
        </w:tc>
        <w:tc>
          <w:tcPr>
            <w:tcW w:w="1261" w:type="dxa"/>
            <w:tcBorders>
              <w:top w:val="nil"/>
              <w:left w:val="nil"/>
              <w:bottom w:val="nil"/>
              <w:right w:val="nil"/>
            </w:tcBorders>
            <w:shd w:val="clear" w:color="auto" w:fill="auto"/>
            <w:noWrap/>
            <w:vAlign w:val="bottom"/>
            <w:hideMark/>
          </w:tcPr>
          <w:p w14:paraId="659FAE1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4,535.8</w:t>
            </w:r>
          </w:p>
        </w:tc>
        <w:tc>
          <w:tcPr>
            <w:tcW w:w="960" w:type="dxa"/>
            <w:tcBorders>
              <w:top w:val="nil"/>
              <w:left w:val="nil"/>
              <w:bottom w:val="nil"/>
              <w:right w:val="nil"/>
            </w:tcBorders>
            <w:shd w:val="clear" w:color="auto" w:fill="auto"/>
            <w:noWrap/>
            <w:vAlign w:val="bottom"/>
            <w:hideMark/>
          </w:tcPr>
          <w:p w14:paraId="39E6C31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w:t>
            </w:r>
          </w:p>
        </w:tc>
      </w:tr>
      <w:tr w:rsidR="00EE4837" w:rsidRPr="007239A6" w14:paraId="62667F8E" w14:textId="77777777" w:rsidTr="00181ACD">
        <w:trPr>
          <w:trHeight w:val="288"/>
        </w:trPr>
        <w:tc>
          <w:tcPr>
            <w:tcW w:w="1586" w:type="dxa"/>
            <w:tcBorders>
              <w:top w:val="nil"/>
              <w:left w:val="nil"/>
              <w:bottom w:val="nil"/>
              <w:right w:val="nil"/>
            </w:tcBorders>
            <w:shd w:val="clear" w:color="auto" w:fill="auto"/>
            <w:noWrap/>
            <w:vAlign w:val="bottom"/>
            <w:hideMark/>
          </w:tcPr>
          <w:p w14:paraId="216FE573"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East Lyme</w:t>
            </w:r>
          </w:p>
        </w:tc>
        <w:tc>
          <w:tcPr>
            <w:tcW w:w="1261" w:type="dxa"/>
            <w:tcBorders>
              <w:top w:val="nil"/>
              <w:left w:val="nil"/>
              <w:bottom w:val="nil"/>
              <w:right w:val="nil"/>
            </w:tcBorders>
            <w:shd w:val="clear" w:color="auto" w:fill="auto"/>
            <w:noWrap/>
            <w:vAlign w:val="bottom"/>
            <w:hideMark/>
          </w:tcPr>
          <w:p w14:paraId="5CC2262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5,231.2</w:t>
            </w:r>
          </w:p>
        </w:tc>
        <w:tc>
          <w:tcPr>
            <w:tcW w:w="960" w:type="dxa"/>
            <w:tcBorders>
              <w:top w:val="nil"/>
              <w:left w:val="nil"/>
              <w:bottom w:val="nil"/>
              <w:right w:val="nil"/>
            </w:tcBorders>
            <w:shd w:val="clear" w:color="auto" w:fill="auto"/>
            <w:noWrap/>
            <w:vAlign w:val="bottom"/>
            <w:hideMark/>
          </w:tcPr>
          <w:p w14:paraId="1F3F451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274</w:t>
            </w:r>
          </w:p>
        </w:tc>
        <w:tc>
          <w:tcPr>
            <w:tcW w:w="1261" w:type="dxa"/>
            <w:tcBorders>
              <w:top w:val="nil"/>
              <w:left w:val="nil"/>
              <w:bottom w:val="nil"/>
              <w:right w:val="nil"/>
            </w:tcBorders>
            <w:shd w:val="clear" w:color="auto" w:fill="auto"/>
            <w:noWrap/>
            <w:vAlign w:val="bottom"/>
            <w:hideMark/>
          </w:tcPr>
          <w:p w14:paraId="59498A4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5,518.4</w:t>
            </w:r>
          </w:p>
        </w:tc>
        <w:tc>
          <w:tcPr>
            <w:tcW w:w="960" w:type="dxa"/>
            <w:tcBorders>
              <w:top w:val="nil"/>
              <w:left w:val="nil"/>
              <w:bottom w:val="nil"/>
              <w:right w:val="nil"/>
            </w:tcBorders>
            <w:shd w:val="clear" w:color="auto" w:fill="auto"/>
            <w:noWrap/>
            <w:vAlign w:val="bottom"/>
            <w:hideMark/>
          </w:tcPr>
          <w:p w14:paraId="754A64E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289</w:t>
            </w:r>
          </w:p>
        </w:tc>
        <w:tc>
          <w:tcPr>
            <w:tcW w:w="1261" w:type="dxa"/>
            <w:tcBorders>
              <w:top w:val="nil"/>
              <w:left w:val="nil"/>
              <w:bottom w:val="nil"/>
              <w:right w:val="nil"/>
            </w:tcBorders>
            <w:shd w:val="clear" w:color="auto" w:fill="auto"/>
            <w:noWrap/>
            <w:vAlign w:val="bottom"/>
            <w:hideMark/>
          </w:tcPr>
          <w:p w14:paraId="420D40E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2,454.6</w:t>
            </w:r>
          </w:p>
        </w:tc>
        <w:tc>
          <w:tcPr>
            <w:tcW w:w="960" w:type="dxa"/>
            <w:tcBorders>
              <w:top w:val="nil"/>
              <w:left w:val="nil"/>
              <w:bottom w:val="nil"/>
              <w:right w:val="nil"/>
            </w:tcBorders>
            <w:shd w:val="clear" w:color="auto" w:fill="auto"/>
            <w:noWrap/>
            <w:vAlign w:val="bottom"/>
            <w:hideMark/>
          </w:tcPr>
          <w:p w14:paraId="118032F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128</w:t>
            </w:r>
          </w:p>
        </w:tc>
        <w:tc>
          <w:tcPr>
            <w:tcW w:w="1261" w:type="dxa"/>
            <w:tcBorders>
              <w:top w:val="nil"/>
              <w:left w:val="nil"/>
              <w:bottom w:val="nil"/>
              <w:right w:val="nil"/>
            </w:tcBorders>
            <w:shd w:val="clear" w:color="auto" w:fill="auto"/>
            <w:noWrap/>
            <w:vAlign w:val="bottom"/>
            <w:hideMark/>
          </w:tcPr>
          <w:p w14:paraId="7E2F0A8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6,212.5</w:t>
            </w:r>
          </w:p>
        </w:tc>
        <w:tc>
          <w:tcPr>
            <w:tcW w:w="960" w:type="dxa"/>
            <w:tcBorders>
              <w:top w:val="nil"/>
              <w:left w:val="nil"/>
              <w:bottom w:val="nil"/>
              <w:right w:val="nil"/>
            </w:tcBorders>
            <w:shd w:val="clear" w:color="auto" w:fill="auto"/>
            <w:noWrap/>
            <w:vAlign w:val="bottom"/>
            <w:hideMark/>
          </w:tcPr>
          <w:p w14:paraId="6DB4127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325</w:t>
            </w:r>
          </w:p>
        </w:tc>
        <w:tc>
          <w:tcPr>
            <w:tcW w:w="1261" w:type="dxa"/>
            <w:tcBorders>
              <w:top w:val="nil"/>
              <w:left w:val="nil"/>
              <w:bottom w:val="nil"/>
              <w:right w:val="nil"/>
            </w:tcBorders>
            <w:shd w:val="clear" w:color="auto" w:fill="auto"/>
            <w:noWrap/>
            <w:vAlign w:val="bottom"/>
            <w:hideMark/>
          </w:tcPr>
          <w:p w14:paraId="30346F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4,233.8</w:t>
            </w:r>
          </w:p>
        </w:tc>
        <w:tc>
          <w:tcPr>
            <w:tcW w:w="960" w:type="dxa"/>
            <w:tcBorders>
              <w:top w:val="nil"/>
              <w:left w:val="nil"/>
              <w:bottom w:val="nil"/>
              <w:right w:val="nil"/>
            </w:tcBorders>
            <w:shd w:val="clear" w:color="auto" w:fill="auto"/>
            <w:noWrap/>
            <w:vAlign w:val="bottom"/>
            <w:hideMark/>
          </w:tcPr>
          <w:p w14:paraId="66B254A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221</w:t>
            </w:r>
          </w:p>
        </w:tc>
      </w:tr>
      <w:tr w:rsidR="00EE4837" w:rsidRPr="007239A6" w14:paraId="3C68BCB4" w14:textId="77777777" w:rsidTr="00181ACD">
        <w:trPr>
          <w:trHeight w:val="288"/>
        </w:trPr>
        <w:tc>
          <w:tcPr>
            <w:tcW w:w="1586" w:type="dxa"/>
            <w:tcBorders>
              <w:top w:val="nil"/>
              <w:left w:val="nil"/>
              <w:bottom w:val="nil"/>
              <w:right w:val="nil"/>
            </w:tcBorders>
            <w:shd w:val="clear" w:color="auto" w:fill="auto"/>
            <w:noWrap/>
            <w:vAlign w:val="bottom"/>
            <w:hideMark/>
          </w:tcPr>
          <w:p w14:paraId="11385237"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East Windsor</w:t>
            </w:r>
          </w:p>
        </w:tc>
        <w:tc>
          <w:tcPr>
            <w:tcW w:w="1261" w:type="dxa"/>
            <w:tcBorders>
              <w:top w:val="nil"/>
              <w:left w:val="nil"/>
              <w:bottom w:val="nil"/>
              <w:right w:val="nil"/>
            </w:tcBorders>
            <w:shd w:val="clear" w:color="auto" w:fill="auto"/>
            <w:noWrap/>
            <w:vAlign w:val="bottom"/>
            <w:hideMark/>
          </w:tcPr>
          <w:p w14:paraId="38B6C37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2,530.4</w:t>
            </w:r>
          </w:p>
        </w:tc>
        <w:tc>
          <w:tcPr>
            <w:tcW w:w="960" w:type="dxa"/>
            <w:tcBorders>
              <w:top w:val="nil"/>
              <w:left w:val="nil"/>
              <w:bottom w:val="nil"/>
              <w:right w:val="nil"/>
            </w:tcBorders>
            <w:shd w:val="clear" w:color="auto" w:fill="auto"/>
            <w:noWrap/>
            <w:vAlign w:val="bottom"/>
            <w:hideMark/>
          </w:tcPr>
          <w:p w14:paraId="5675DB5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224</w:t>
            </w:r>
          </w:p>
        </w:tc>
        <w:tc>
          <w:tcPr>
            <w:tcW w:w="1261" w:type="dxa"/>
            <w:tcBorders>
              <w:top w:val="nil"/>
              <w:left w:val="nil"/>
              <w:bottom w:val="nil"/>
              <w:right w:val="nil"/>
            </w:tcBorders>
            <w:shd w:val="clear" w:color="auto" w:fill="auto"/>
            <w:noWrap/>
            <w:vAlign w:val="bottom"/>
            <w:hideMark/>
          </w:tcPr>
          <w:p w14:paraId="026C5F0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2,235.3</w:t>
            </w:r>
          </w:p>
        </w:tc>
        <w:tc>
          <w:tcPr>
            <w:tcW w:w="960" w:type="dxa"/>
            <w:tcBorders>
              <w:top w:val="nil"/>
              <w:left w:val="nil"/>
              <w:bottom w:val="nil"/>
              <w:right w:val="nil"/>
            </w:tcBorders>
            <w:shd w:val="clear" w:color="auto" w:fill="auto"/>
            <w:noWrap/>
            <w:vAlign w:val="bottom"/>
            <w:hideMark/>
          </w:tcPr>
          <w:p w14:paraId="1286D29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198</w:t>
            </w:r>
          </w:p>
        </w:tc>
        <w:tc>
          <w:tcPr>
            <w:tcW w:w="1261" w:type="dxa"/>
            <w:tcBorders>
              <w:top w:val="nil"/>
              <w:left w:val="nil"/>
              <w:bottom w:val="nil"/>
              <w:right w:val="nil"/>
            </w:tcBorders>
            <w:shd w:val="clear" w:color="auto" w:fill="auto"/>
            <w:noWrap/>
            <w:vAlign w:val="bottom"/>
            <w:hideMark/>
          </w:tcPr>
          <w:p w14:paraId="594970B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3,059.0</w:t>
            </w:r>
          </w:p>
        </w:tc>
        <w:tc>
          <w:tcPr>
            <w:tcW w:w="960" w:type="dxa"/>
            <w:tcBorders>
              <w:top w:val="nil"/>
              <w:left w:val="nil"/>
              <w:bottom w:val="nil"/>
              <w:right w:val="nil"/>
            </w:tcBorders>
            <w:shd w:val="clear" w:color="auto" w:fill="auto"/>
            <w:noWrap/>
            <w:vAlign w:val="bottom"/>
            <w:hideMark/>
          </w:tcPr>
          <w:p w14:paraId="71757A4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271</w:t>
            </w:r>
          </w:p>
        </w:tc>
        <w:tc>
          <w:tcPr>
            <w:tcW w:w="1261" w:type="dxa"/>
            <w:tcBorders>
              <w:top w:val="nil"/>
              <w:left w:val="nil"/>
              <w:bottom w:val="nil"/>
              <w:right w:val="nil"/>
            </w:tcBorders>
            <w:shd w:val="clear" w:color="auto" w:fill="auto"/>
            <w:noWrap/>
            <w:vAlign w:val="bottom"/>
            <w:hideMark/>
          </w:tcPr>
          <w:p w14:paraId="42E22F7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3,216.0</w:t>
            </w:r>
          </w:p>
        </w:tc>
        <w:tc>
          <w:tcPr>
            <w:tcW w:w="960" w:type="dxa"/>
            <w:tcBorders>
              <w:top w:val="nil"/>
              <w:left w:val="nil"/>
              <w:bottom w:val="nil"/>
              <w:right w:val="nil"/>
            </w:tcBorders>
            <w:shd w:val="clear" w:color="auto" w:fill="auto"/>
            <w:noWrap/>
            <w:vAlign w:val="bottom"/>
            <w:hideMark/>
          </w:tcPr>
          <w:p w14:paraId="7A44EC4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285</w:t>
            </w:r>
          </w:p>
        </w:tc>
        <w:tc>
          <w:tcPr>
            <w:tcW w:w="1261" w:type="dxa"/>
            <w:tcBorders>
              <w:top w:val="nil"/>
              <w:left w:val="nil"/>
              <w:bottom w:val="nil"/>
              <w:right w:val="nil"/>
            </w:tcBorders>
            <w:shd w:val="clear" w:color="auto" w:fill="auto"/>
            <w:noWrap/>
            <w:vAlign w:val="bottom"/>
            <w:hideMark/>
          </w:tcPr>
          <w:p w14:paraId="41297B7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3,136.5</w:t>
            </w:r>
          </w:p>
        </w:tc>
        <w:tc>
          <w:tcPr>
            <w:tcW w:w="960" w:type="dxa"/>
            <w:tcBorders>
              <w:top w:val="nil"/>
              <w:left w:val="nil"/>
              <w:bottom w:val="nil"/>
              <w:right w:val="nil"/>
            </w:tcBorders>
            <w:shd w:val="clear" w:color="auto" w:fill="auto"/>
            <w:noWrap/>
            <w:vAlign w:val="bottom"/>
            <w:hideMark/>
          </w:tcPr>
          <w:p w14:paraId="6F737BF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278</w:t>
            </w:r>
          </w:p>
        </w:tc>
      </w:tr>
      <w:tr w:rsidR="00EE4837" w:rsidRPr="007239A6" w14:paraId="4DE3FD1D" w14:textId="77777777" w:rsidTr="00181ACD">
        <w:trPr>
          <w:trHeight w:val="288"/>
        </w:trPr>
        <w:tc>
          <w:tcPr>
            <w:tcW w:w="1586" w:type="dxa"/>
            <w:tcBorders>
              <w:top w:val="nil"/>
              <w:left w:val="nil"/>
              <w:bottom w:val="nil"/>
              <w:right w:val="nil"/>
            </w:tcBorders>
            <w:shd w:val="clear" w:color="auto" w:fill="auto"/>
            <w:noWrap/>
            <w:vAlign w:val="bottom"/>
            <w:hideMark/>
          </w:tcPr>
          <w:p w14:paraId="191C21E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Eastford</w:t>
            </w:r>
          </w:p>
        </w:tc>
        <w:tc>
          <w:tcPr>
            <w:tcW w:w="1261" w:type="dxa"/>
            <w:tcBorders>
              <w:top w:val="nil"/>
              <w:left w:val="nil"/>
              <w:bottom w:val="nil"/>
              <w:right w:val="nil"/>
            </w:tcBorders>
            <w:shd w:val="clear" w:color="auto" w:fill="auto"/>
            <w:noWrap/>
            <w:vAlign w:val="bottom"/>
            <w:hideMark/>
          </w:tcPr>
          <w:p w14:paraId="674E677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356.9</w:t>
            </w:r>
          </w:p>
        </w:tc>
        <w:tc>
          <w:tcPr>
            <w:tcW w:w="960" w:type="dxa"/>
            <w:tcBorders>
              <w:top w:val="nil"/>
              <w:left w:val="nil"/>
              <w:bottom w:val="nil"/>
              <w:right w:val="nil"/>
            </w:tcBorders>
            <w:shd w:val="clear" w:color="auto" w:fill="auto"/>
            <w:noWrap/>
            <w:vAlign w:val="bottom"/>
            <w:hideMark/>
          </w:tcPr>
          <w:p w14:paraId="45E3854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216</w:t>
            </w:r>
          </w:p>
        </w:tc>
        <w:tc>
          <w:tcPr>
            <w:tcW w:w="1261" w:type="dxa"/>
            <w:tcBorders>
              <w:top w:val="nil"/>
              <w:left w:val="nil"/>
              <w:bottom w:val="nil"/>
              <w:right w:val="nil"/>
            </w:tcBorders>
            <w:shd w:val="clear" w:color="auto" w:fill="auto"/>
            <w:noWrap/>
            <w:vAlign w:val="bottom"/>
            <w:hideMark/>
          </w:tcPr>
          <w:p w14:paraId="447C370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313.7</w:t>
            </w:r>
          </w:p>
        </w:tc>
        <w:tc>
          <w:tcPr>
            <w:tcW w:w="960" w:type="dxa"/>
            <w:tcBorders>
              <w:top w:val="nil"/>
              <w:left w:val="nil"/>
              <w:bottom w:val="nil"/>
              <w:right w:val="nil"/>
            </w:tcBorders>
            <w:shd w:val="clear" w:color="auto" w:fill="auto"/>
            <w:noWrap/>
            <w:vAlign w:val="bottom"/>
            <w:hideMark/>
          </w:tcPr>
          <w:p w14:paraId="6C58D42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190</w:t>
            </w:r>
          </w:p>
        </w:tc>
        <w:tc>
          <w:tcPr>
            <w:tcW w:w="1261" w:type="dxa"/>
            <w:tcBorders>
              <w:top w:val="nil"/>
              <w:left w:val="nil"/>
              <w:bottom w:val="nil"/>
              <w:right w:val="nil"/>
            </w:tcBorders>
            <w:shd w:val="clear" w:color="auto" w:fill="auto"/>
            <w:noWrap/>
            <w:vAlign w:val="bottom"/>
            <w:hideMark/>
          </w:tcPr>
          <w:p w14:paraId="26CF9B4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309.8</w:t>
            </w:r>
          </w:p>
        </w:tc>
        <w:tc>
          <w:tcPr>
            <w:tcW w:w="960" w:type="dxa"/>
            <w:tcBorders>
              <w:top w:val="nil"/>
              <w:left w:val="nil"/>
              <w:bottom w:val="nil"/>
              <w:right w:val="nil"/>
            </w:tcBorders>
            <w:shd w:val="clear" w:color="auto" w:fill="auto"/>
            <w:noWrap/>
            <w:vAlign w:val="bottom"/>
            <w:hideMark/>
          </w:tcPr>
          <w:p w14:paraId="05840AB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188</w:t>
            </w:r>
          </w:p>
        </w:tc>
        <w:tc>
          <w:tcPr>
            <w:tcW w:w="1261" w:type="dxa"/>
            <w:tcBorders>
              <w:top w:val="nil"/>
              <w:left w:val="nil"/>
              <w:bottom w:val="nil"/>
              <w:right w:val="nil"/>
            </w:tcBorders>
            <w:shd w:val="clear" w:color="auto" w:fill="auto"/>
            <w:noWrap/>
            <w:vAlign w:val="bottom"/>
            <w:hideMark/>
          </w:tcPr>
          <w:p w14:paraId="359C033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408.3</w:t>
            </w:r>
          </w:p>
        </w:tc>
        <w:tc>
          <w:tcPr>
            <w:tcW w:w="960" w:type="dxa"/>
            <w:tcBorders>
              <w:top w:val="nil"/>
              <w:left w:val="nil"/>
              <w:bottom w:val="nil"/>
              <w:right w:val="nil"/>
            </w:tcBorders>
            <w:shd w:val="clear" w:color="auto" w:fill="auto"/>
            <w:noWrap/>
            <w:vAlign w:val="bottom"/>
            <w:hideMark/>
          </w:tcPr>
          <w:p w14:paraId="3D34550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247</w:t>
            </w:r>
          </w:p>
        </w:tc>
        <w:tc>
          <w:tcPr>
            <w:tcW w:w="1261" w:type="dxa"/>
            <w:tcBorders>
              <w:top w:val="nil"/>
              <w:left w:val="nil"/>
              <w:bottom w:val="nil"/>
              <w:right w:val="nil"/>
            </w:tcBorders>
            <w:shd w:val="clear" w:color="auto" w:fill="auto"/>
            <w:noWrap/>
            <w:vAlign w:val="bottom"/>
            <w:hideMark/>
          </w:tcPr>
          <w:p w14:paraId="1BAEFE0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356.1</w:t>
            </w:r>
          </w:p>
        </w:tc>
        <w:tc>
          <w:tcPr>
            <w:tcW w:w="960" w:type="dxa"/>
            <w:tcBorders>
              <w:top w:val="nil"/>
              <w:left w:val="nil"/>
              <w:bottom w:val="nil"/>
              <w:right w:val="nil"/>
            </w:tcBorders>
            <w:shd w:val="clear" w:color="auto" w:fill="auto"/>
            <w:noWrap/>
            <w:vAlign w:val="bottom"/>
            <w:hideMark/>
          </w:tcPr>
          <w:p w14:paraId="23534DF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216</w:t>
            </w:r>
          </w:p>
        </w:tc>
      </w:tr>
      <w:tr w:rsidR="00EE4837" w:rsidRPr="007239A6" w14:paraId="4A2088D6" w14:textId="77777777" w:rsidTr="00181ACD">
        <w:trPr>
          <w:trHeight w:val="288"/>
        </w:trPr>
        <w:tc>
          <w:tcPr>
            <w:tcW w:w="1586" w:type="dxa"/>
            <w:tcBorders>
              <w:top w:val="nil"/>
              <w:left w:val="nil"/>
              <w:bottom w:val="nil"/>
              <w:right w:val="nil"/>
            </w:tcBorders>
            <w:shd w:val="clear" w:color="auto" w:fill="auto"/>
            <w:noWrap/>
            <w:vAlign w:val="bottom"/>
            <w:hideMark/>
          </w:tcPr>
          <w:p w14:paraId="3E72145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Easton</w:t>
            </w:r>
          </w:p>
        </w:tc>
        <w:tc>
          <w:tcPr>
            <w:tcW w:w="1261" w:type="dxa"/>
            <w:tcBorders>
              <w:top w:val="nil"/>
              <w:left w:val="nil"/>
              <w:bottom w:val="nil"/>
              <w:right w:val="nil"/>
            </w:tcBorders>
            <w:shd w:val="clear" w:color="auto" w:fill="auto"/>
            <w:noWrap/>
            <w:vAlign w:val="bottom"/>
            <w:hideMark/>
          </w:tcPr>
          <w:p w14:paraId="3982CFB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4,567.7</w:t>
            </w:r>
          </w:p>
        </w:tc>
        <w:tc>
          <w:tcPr>
            <w:tcW w:w="960" w:type="dxa"/>
            <w:tcBorders>
              <w:top w:val="nil"/>
              <w:left w:val="nil"/>
              <w:bottom w:val="nil"/>
              <w:right w:val="nil"/>
            </w:tcBorders>
            <w:shd w:val="clear" w:color="auto" w:fill="auto"/>
            <w:noWrap/>
            <w:vAlign w:val="bottom"/>
            <w:hideMark/>
          </w:tcPr>
          <w:p w14:paraId="6A6709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605</w:t>
            </w:r>
          </w:p>
        </w:tc>
        <w:tc>
          <w:tcPr>
            <w:tcW w:w="1261" w:type="dxa"/>
            <w:tcBorders>
              <w:top w:val="nil"/>
              <w:left w:val="nil"/>
              <w:bottom w:val="nil"/>
              <w:right w:val="nil"/>
            </w:tcBorders>
            <w:shd w:val="clear" w:color="auto" w:fill="auto"/>
            <w:noWrap/>
            <w:vAlign w:val="bottom"/>
            <w:hideMark/>
          </w:tcPr>
          <w:p w14:paraId="0DE5516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5,102.3</w:t>
            </w:r>
          </w:p>
        </w:tc>
        <w:tc>
          <w:tcPr>
            <w:tcW w:w="960" w:type="dxa"/>
            <w:tcBorders>
              <w:top w:val="nil"/>
              <w:left w:val="nil"/>
              <w:bottom w:val="nil"/>
              <w:right w:val="nil"/>
            </w:tcBorders>
            <w:shd w:val="clear" w:color="auto" w:fill="auto"/>
            <w:noWrap/>
            <w:vAlign w:val="bottom"/>
            <w:hideMark/>
          </w:tcPr>
          <w:p w14:paraId="3171336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676</w:t>
            </w:r>
          </w:p>
        </w:tc>
        <w:tc>
          <w:tcPr>
            <w:tcW w:w="1261" w:type="dxa"/>
            <w:tcBorders>
              <w:top w:val="nil"/>
              <w:left w:val="nil"/>
              <w:bottom w:val="nil"/>
              <w:right w:val="nil"/>
            </w:tcBorders>
            <w:shd w:val="clear" w:color="auto" w:fill="auto"/>
            <w:noWrap/>
            <w:vAlign w:val="bottom"/>
            <w:hideMark/>
          </w:tcPr>
          <w:p w14:paraId="5ECD3BA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515.6</w:t>
            </w:r>
          </w:p>
        </w:tc>
        <w:tc>
          <w:tcPr>
            <w:tcW w:w="960" w:type="dxa"/>
            <w:tcBorders>
              <w:top w:val="nil"/>
              <w:left w:val="nil"/>
              <w:bottom w:val="nil"/>
              <w:right w:val="nil"/>
            </w:tcBorders>
            <w:shd w:val="clear" w:color="auto" w:fill="auto"/>
            <w:noWrap/>
            <w:vAlign w:val="bottom"/>
            <w:hideMark/>
          </w:tcPr>
          <w:p w14:paraId="0277261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68</w:t>
            </w:r>
          </w:p>
        </w:tc>
        <w:tc>
          <w:tcPr>
            <w:tcW w:w="1261" w:type="dxa"/>
            <w:tcBorders>
              <w:top w:val="nil"/>
              <w:left w:val="nil"/>
              <w:bottom w:val="nil"/>
              <w:right w:val="nil"/>
            </w:tcBorders>
            <w:shd w:val="clear" w:color="auto" w:fill="auto"/>
            <w:noWrap/>
            <w:vAlign w:val="bottom"/>
            <w:hideMark/>
          </w:tcPr>
          <w:p w14:paraId="2FFD8D8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4,035.2</w:t>
            </w:r>
          </w:p>
        </w:tc>
        <w:tc>
          <w:tcPr>
            <w:tcW w:w="960" w:type="dxa"/>
            <w:tcBorders>
              <w:top w:val="nil"/>
              <w:left w:val="nil"/>
              <w:bottom w:val="nil"/>
              <w:right w:val="nil"/>
            </w:tcBorders>
            <w:shd w:val="clear" w:color="auto" w:fill="auto"/>
            <w:noWrap/>
            <w:vAlign w:val="bottom"/>
            <w:hideMark/>
          </w:tcPr>
          <w:p w14:paraId="2D2A9AC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534</w:t>
            </w:r>
          </w:p>
        </w:tc>
        <w:tc>
          <w:tcPr>
            <w:tcW w:w="1261" w:type="dxa"/>
            <w:tcBorders>
              <w:top w:val="nil"/>
              <w:left w:val="nil"/>
              <w:bottom w:val="nil"/>
              <w:right w:val="nil"/>
            </w:tcBorders>
            <w:shd w:val="clear" w:color="auto" w:fill="auto"/>
            <w:noWrap/>
            <w:vAlign w:val="bottom"/>
            <w:hideMark/>
          </w:tcPr>
          <w:p w14:paraId="5681B4D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2,165.6</w:t>
            </w:r>
          </w:p>
        </w:tc>
        <w:tc>
          <w:tcPr>
            <w:tcW w:w="960" w:type="dxa"/>
            <w:tcBorders>
              <w:top w:val="nil"/>
              <w:left w:val="nil"/>
              <w:bottom w:val="nil"/>
              <w:right w:val="nil"/>
            </w:tcBorders>
            <w:shd w:val="clear" w:color="auto" w:fill="auto"/>
            <w:noWrap/>
            <w:vAlign w:val="bottom"/>
            <w:hideMark/>
          </w:tcPr>
          <w:p w14:paraId="49046EE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287</w:t>
            </w:r>
          </w:p>
        </w:tc>
      </w:tr>
      <w:tr w:rsidR="00EE4837" w:rsidRPr="007239A6" w14:paraId="4246969F" w14:textId="77777777" w:rsidTr="00181ACD">
        <w:trPr>
          <w:trHeight w:val="288"/>
        </w:trPr>
        <w:tc>
          <w:tcPr>
            <w:tcW w:w="1586" w:type="dxa"/>
            <w:tcBorders>
              <w:top w:val="nil"/>
              <w:left w:val="nil"/>
              <w:bottom w:val="nil"/>
              <w:right w:val="nil"/>
            </w:tcBorders>
            <w:shd w:val="clear" w:color="auto" w:fill="auto"/>
            <w:noWrap/>
            <w:vAlign w:val="bottom"/>
            <w:hideMark/>
          </w:tcPr>
          <w:p w14:paraId="5D2E548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Ellington</w:t>
            </w:r>
          </w:p>
        </w:tc>
        <w:tc>
          <w:tcPr>
            <w:tcW w:w="1261" w:type="dxa"/>
            <w:tcBorders>
              <w:top w:val="nil"/>
              <w:left w:val="nil"/>
              <w:bottom w:val="nil"/>
              <w:right w:val="nil"/>
            </w:tcBorders>
            <w:shd w:val="clear" w:color="auto" w:fill="auto"/>
            <w:noWrap/>
            <w:vAlign w:val="bottom"/>
            <w:hideMark/>
          </w:tcPr>
          <w:p w14:paraId="556EAB1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4,602.8</w:t>
            </w:r>
          </w:p>
        </w:tc>
        <w:tc>
          <w:tcPr>
            <w:tcW w:w="960" w:type="dxa"/>
            <w:tcBorders>
              <w:top w:val="nil"/>
              <w:left w:val="nil"/>
              <w:bottom w:val="nil"/>
              <w:right w:val="nil"/>
            </w:tcBorders>
            <w:shd w:val="clear" w:color="auto" w:fill="auto"/>
            <w:noWrap/>
            <w:vAlign w:val="bottom"/>
            <w:hideMark/>
          </w:tcPr>
          <w:p w14:paraId="11A78E7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294</w:t>
            </w:r>
          </w:p>
        </w:tc>
        <w:tc>
          <w:tcPr>
            <w:tcW w:w="1261" w:type="dxa"/>
            <w:tcBorders>
              <w:top w:val="nil"/>
              <w:left w:val="nil"/>
              <w:bottom w:val="nil"/>
              <w:right w:val="nil"/>
            </w:tcBorders>
            <w:shd w:val="clear" w:color="auto" w:fill="auto"/>
            <w:noWrap/>
            <w:vAlign w:val="bottom"/>
            <w:hideMark/>
          </w:tcPr>
          <w:p w14:paraId="6410582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4,731.0</w:t>
            </w:r>
          </w:p>
        </w:tc>
        <w:tc>
          <w:tcPr>
            <w:tcW w:w="960" w:type="dxa"/>
            <w:tcBorders>
              <w:top w:val="nil"/>
              <w:left w:val="nil"/>
              <w:bottom w:val="nil"/>
              <w:right w:val="nil"/>
            </w:tcBorders>
            <w:shd w:val="clear" w:color="auto" w:fill="auto"/>
            <w:noWrap/>
            <w:vAlign w:val="bottom"/>
            <w:hideMark/>
          </w:tcPr>
          <w:p w14:paraId="62126E2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302</w:t>
            </w:r>
          </w:p>
        </w:tc>
        <w:tc>
          <w:tcPr>
            <w:tcW w:w="1261" w:type="dxa"/>
            <w:tcBorders>
              <w:top w:val="nil"/>
              <w:left w:val="nil"/>
              <w:bottom w:val="nil"/>
              <w:right w:val="nil"/>
            </w:tcBorders>
            <w:shd w:val="clear" w:color="auto" w:fill="auto"/>
            <w:noWrap/>
            <w:vAlign w:val="bottom"/>
            <w:hideMark/>
          </w:tcPr>
          <w:p w14:paraId="781827B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1,496.1</w:t>
            </w:r>
          </w:p>
        </w:tc>
        <w:tc>
          <w:tcPr>
            <w:tcW w:w="960" w:type="dxa"/>
            <w:tcBorders>
              <w:top w:val="nil"/>
              <w:left w:val="nil"/>
              <w:bottom w:val="nil"/>
              <w:right w:val="nil"/>
            </w:tcBorders>
            <w:shd w:val="clear" w:color="auto" w:fill="auto"/>
            <w:noWrap/>
            <w:vAlign w:val="bottom"/>
            <w:hideMark/>
          </w:tcPr>
          <w:p w14:paraId="51B903C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95</w:t>
            </w:r>
          </w:p>
        </w:tc>
        <w:tc>
          <w:tcPr>
            <w:tcW w:w="1261" w:type="dxa"/>
            <w:tcBorders>
              <w:top w:val="nil"/>
              <w:left w:val="nil"/>
              <w:bottom w:val="nil"/>
              <w:right w:val="nil"/>
            </w:tcBorders>
            <w:shd w:val="clear" w:color="auto" w:fill="auto"/>
            <w:noWrap/>
            <w:vAlign w:val="bottom"/>
            <w:hideMark/>
          </w:tcPr>
          <w:p w14:paraId="41D3CBC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6,114.8</w:t>
            </w:r>
          </w:p>
        </w:tc>
        <w:tc>
          <w:tcPr>
            <w:tcW w:w="960" w:type="dxa"/>
            <w:tcBorders>
              <w:top w:val="nil"/>
              <w:left w:val="nil"/>
              <w:bottom w:val="nil"/>
              <w:right w:val="nil"/>
            </w:tcBorders>
            <w:shd w:val="clear" w:color="auto" w:fill="auto"/>
            <w:noWrap/>
            <w:vAlign w:val="bottom"/>
            <w:hideMark/>
          </w:tcPr>
          <w:p w14:paraId="753D783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390</w:t>
            </w:r>
          </w:p>
        </w:tc>
        <w:tc>
          <w:tcPr>
            <w:tcW w:w="1261" w:type="dxa"/>
            <w:tcBorders>
              <w:top w:val="nil"/>
              <w:left w:val="nil"/>
              <w:bottom w:val="nil"/>
              <w:right w:val="nil"/>
            </w:tcBorders>
            <w:shd w:val="clear" w:color="auto" w:fill="auto"/>
            <w:noWrap/>
            <w:vAlign w:val="bottom"/>
            <w:hideMark/>
          </w:tcPr>
          <w:p w14:paraId="523AD26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3,734.9</w:t>
            </w:r>
          </w:p>
        </w:tc>
        <w:tc>
          <w:tcPr>
            <w:tcW w:w="960" w:type="dxa"/>
            <w:tcBorders>
              <w:top w:val="nil"/>
              <w:left w:val="nil"/>
              <w:bottom w:val="nil"/>
              <w:right w:val="nil"/>
            </w:tcBorders>
            <w:shd w:val="clear" w:color="auto" w:fill="auto"/>
            <w:noWrap/>
            <w:vAlign w:val="bottom"/>
            <w:hideMark/>
          </w:tcPr>
          <w:p w14:paraId="35A6278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238</w:t>
            </w:r>
          </w:p>
        </w:tc>
      </w:tr>
      <w:tr w:rsidR="00EE4837" w:rsidRPr="007239A6" w14:paraId="0E1D762D" w14:textId="77777777" w:rsidTr="00181ACD">
        <w:trPr>
          <w:trHeight w:val="288"/>
        </w:trPr>
        <w:tc>
          <w:tcPr>
            <w:tcW w:w="1586" w:type="dxa"/>
            <w:tcBorders>
              <w:top w:val="nil"/>
              <w:left w:val="nil"/>
              <w:bottom w:val="nil"/>
              <w:right w:val="nil"/>
            </w:tcBorders>
            <w:shd w:val="clear" w:color="auto" w:fill="auto"/>
            <w:noWrap/>
            <w:vAlign w:val="bottom"/>
            <w:hideMark/>
          </w:tcPr>
          <w:p w14:paraId="290D16E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Enfield</w:t>
            </w:r>
          </w:p>
        </w:tc>
        <w:tc>
          <w:tcPr>
            <w:tcW w:w="1261" w:type="dxa"/>
            <w:tcBorders>
              <w:top w:val="nil"/>
              <w:left w:val="nil"/>
              <w:bottom w:val="nil"/>
              <w:right w:val="nil"/>
            </w:tcBorders>
            <w:shd w:val="clear" w:color="auto" w:fill="auto"/>
            <w:noWrap/>
            <w:vAlign w:val="bottom"/>
            <w:hideMark/>
          </w:tcPr>
          <w:p w14:paraId="7635284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8,375.1</w:t>
            </w:r>
          </w:p>
        </w:tc>
        <w:tc>
          <w:tcPr>
            <w:tcW w:w="960" w:type="dxa"/>
            <w:tcBorders>
              <w:top w:val="nil"/>
              <w:left w:val="nil"/>
              <w:bottom w:val="nil"/>
              <w:right w:val="nil"/>
            </w:tcBorders>
            <w:shd w:val="clear" w:color="auto" w:fill="auto"/>
            <w:noWrap/>
            <w:vAlign w:val="bottom"/>
            <w:hideMark/>
          </w:tcPr>
          <w:p w14:paraId="705850F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187</w:t>
            </w:r>
          </w:p>
        </w:tc>
        <w:tc>
          <w:tcPr>
            <w:tcW w:w="1261" w:type="dxa"/>
            <w:tcBorders>
              <w:top w:val="nil"/>
              <w:left w:val="nil"/>
              <w:bottom w:val="nil"/>
              <w:right w:val="nil"/>
            </w:tcBorders>
            <w:shd w:val="clear" w:color="auto" w:fill="auto"/>
            <w:noWrap/>
            <w:vAlign w:val="bottom"/>
            <w:hideMark/>
          </w:tcPr>
          <w:p w14:paraId="0726EDB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6,722.6</w:t>
            </w:r>
          </w:p>
        </w:tc>
        <w:tc>
          <w:tcPr>
            <w:tcW w:w="960" w:type="dxa"/>
            <w:tcBorders>
              <w:top w:val="nil"/>
              <w:left w:val="nil"/>
              <w:bottom w:val="nil"/>
              <w:right w:val="nil"/>
            </w:tcBorders>
            <w:shd w:val="clear" w:color="auto" w:fill="auto"/>
            <w:noWrap/>
            <w:vAlign w:val="bottom"/>
            <w:hideMark/>
          </w:tcPr>
          <w:p w14:paraId="7B7A8B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150</w:t>
            </w:r>
          </w:p>
        </w:tc>
        <w:tc>
          <w:tcPr>
            <w:tcW w:w="1261" w:type="dxa"/>
            <w:tcBorders>
              <w:top w:val="nil"/>
              <w:left w:val="nil"/>
              <w:bottom w:val="nil"/>
              <w:right w:val="nil"/>
            </w:tcBorders>
            <w:shd w:val="clear" w:color="auto" w:fill="auto"/>
            <w:noWrap/>
            <w:vAlign w:val="bottom"/>
            <w:hideMark/>
          </w:tcPr>
          <w:p w14:paraId="2747922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10,558.4</w:t>
            </w:r>
          </w:p>
        </w:tc>
        <w:tc>
          <w:tcPr>
            <w:tcW w:w="960" w:type="dxa"/>
            <w:tcBorders>
              <w:top w:val="nil"/>
              <w:left w:val="nil"/>
              <w:bottom w:val="nil"/>
              <w:right w:val="nil"/>
            </w:tcBorders>
            <w:shd w:val="clear" w:color="auto" w:fill="auto"/>
            <w:noWrap/>
            <w:vAlign w:val="bottom"/>
            <w:hideMark/>
          </w:tcPr>
          <w:p w14:paraId="7FBEF9B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236</w:t>
            </w:r>
          </w:p>
        </w:tc>
        <w:tc>
          <w:tcPr>
            <w:tcW w:w="1261" w:type="dxa"/>
            <w:tcBorders>
              <w:top w:val="nil"/>
              <w:left w:val="nil"/>
              <w:bottom w:val="nil"/>
              <w:right w:val="nil"/>
            </w:tcBorders>
            <w:shd w:val="clear" w:color="auto" w:fill="auto"/>
            <w:noWrap/>
            <w:vAlign w:val="bottom"/>
            <w:hideMark/>
          </w:tcPr>
          <w:p w14:paraId="5C7FFFD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10,615.0</w:t>
            </w:r>
          </w:p>
        </w:tc>
        <w:tc>
          <w:tcPr>
            <w:tcW w:w="960" w:type="dxa"/>
            <w:tcBorders>
              <w:top w:val="nil"/>
              <w:left w:val="nil"/>
              <w:bottom w:val="nil"/>
              <w:right w:val="nil"/>
            </w:tcBorders>
            <w:shd w:val="clear" w:color="auto" w:fill="auto"/>
            <w:noWrap/>
            <w:vAlign w:val="bottom"/>
            <w:hideMark/>
          </w:tcPr>
          <w:p w14:paraId="35867A8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237</w:t>
            </w:r>
          </w:p>
        </w:tc>
        <w:tc>
          <w:tcPr>
            <w:tcW w:w="1261" w:type="dxa"/>
            <w:tcBorders>
              <w:top w:val="nil"/>
              <w:left w:val="nil"/>
              <w:bottom w:val="nil"/>
              <w:right w:val="nil"/>
            </w:tcBorders>
            <w:shd w:val="clear" w:color="auto" w:fill="auto"/>
            <w:noWrap/>
            <w:vAlign w:val="bottom"/>
            <w:hideMark/>
          </w:tcPr>
          <w:p w14:paraId="03165E7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10,593.4</w:t>
            </w:r>
          </w:p>
        </w:tc>
        <w:tc>
          <w:tcPr>
            <w:tcW w:w="960" w:type="dxa"/>
            <w:tcBorders>
              <w:top w:val="nil"/>
              <w:left w:val="nil"/>
              <w:bottom w:val="nil"/>
              <w:right w:val="nil"/>
            </w:tcBorders>
            <w:shd w:val="clear" w:color="auto" w:fill="auto"/>
            <w:noWrap/>
            <w:vAlign w:val="bottom"/>
            <w:hideMark/>
          </w:tcPr>
          <w:p w14:paraId="0C32A62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237</w:t>
            </w:r>
          </w:p>
        </w:tc>
      </w:tr>
      <w:tr w:rsidR="00EE4837" w:rsidRPr="007239A6" w14:paraId="4176271E" w14:textId="77777777" w:rsidTr="00181ACD">
        <w:trPr>
          <w:trHeight w:val="288"/>
        </w:trPr>
        <w:tc>
          <w:tcPr>
            <w:tcW w:w="1586" w:type="dxa"/>
            <w:tcBorders>
              <w:top w:val="nil"/>
              <w:left w:val="nil"/>
              <w:bottom w:val="nil"/>
              <w:right w:val="nil"/>
            </w:tcBorders>
            <w:shd w:val="clear" w:color="auto" w:fill="auto"/>
            <w:noWrap/>
            <w:vAlign w:val="bottom"/>
            <w:hideMark/>
          </w:tcPr>
          <w:p w14:paraId="1B4B4973"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Essex</w:t>
            </w:r>
          </w:p>
        </w:tc>
        <w:tc>
          <w:tcPr>
            <w:tcW w:w="1261" w:type="dxa"/>
            <w:tcBorders>
              <w:top w:val="nil"/>
              <w:left w:val="nil"/>
              <w:bottom w:val="nil"/>
              <w:right w:val="nil"/>
            </w:tcBorders>
            <w:shd w:val="clear" w:color="auto" w:fill="auto"/>
            <w:noWrap/>
            <w:vAlign w:val="bottom"/>
            <w:hideMark/>
          </w:tcPr>
          <w:p w14:paraId="324D725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2,974.9</w:t>
            </w:r>
          </w:p>
        </w:tc>
        <w:tc>
          <w:tcPr>
            <w:tcW w:w="960" w:type="dxa"/>
            <w:tcBorders>
              <w:top w:val="nil"/>
              <w:left w:val="nil"/>
              <w:bottom w:val="nil"/>
              <w:right w:val="nil"/>
            </w:tcBorders>
            <w:shd w:val="clear" w:color="auto" w:fill="auto"/>
            <w:noWrap/>
            <w:vAlign w:val="bottom"/>
            <w:hideMark/>
          </w:tcPr>
          <w:p w14:paraId="6028669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446</w:t>
            </w:r>
          </w:p>
        </w:tc>
        <w:tc>
          <w:tcPr>
            <w:tcW w:w="1261" w:type="dxa"/>
            <w:tcBorders>
              <w:top w:val="nil"/>
              <w:left w:val="nil"/>
              <w:bottom w:val="nil"/>
              <w:right w:val="nil"/>
            </w:tcBorders>
            <w:shd w:val="clear" w:color="auto" w:fill="auto"/>
            <w:noWrap/>
            <w:vAlign w:val="bottom"/>
            <w:hideMark/>
          </w:tcPr>
          <w:p w14:paraId="08F444B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3,470.2</w:t>
            </w:r>
          </w:p>
        </w:tc>
        <w:tc>
          <w:tcPr>
            <w:tcW w:w="960" w:type="dxa"/>
            <w:tcBorders>
              <w:top w:val="nil"/>
              <w:left w:val="nil"/>
              <w:bottom w:val="nil"/>
              <w:right w:val="nil"/>
            </w:tcBorders>
            <w:shd w:val="clear" w:color="auto" w:fill="auto"/>
            <w:noWrap/>
            <w:vAlign w:val="bottom"/>
            <w:hideMark/>
          </w:tcPr>
          <w:p w14:paraId="1DFC4BA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520</w:t>
            </w:r>
          </w:p>
        </w:tc>
        <w:tc>
          <w:tcPr>
            <w:tcW w:w="1261" w:type="dxa"/>
            <w:tcBorders>
              <w:top w:val="nil"/>
              <w:left w:val="nil"/>
              <w:bottom w:val="nil"/>
              <w:right w:val="nil"/>
            </w:tcBorders>
            <w:shd w:val="clear" w:color="auto" w:fill="auto"/>
            <w:noWrap/>
            <w:vAlign w:val="bottom"/>
            <w:hideMark/>
          </w:tcPr>
          <w:p w14:paraId="72EF7AE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2,328.7</w:t>
            </w:r>
          </w:p>
        </w:tc>
        <w:tc>
          <w:tcPr>
            <w:tcW w:w="960" w:type="dxa"/>
            <w:tcBorders>
              <w:top w:val="nil"/>
              <w:left w:val="nil"/>
              <w:bottom w:val="nil"/>
              <w:right w:val="nil"/>
            </w:tcBorders>
            <w:shd w:val="clear" w:color="auto" w:fill="auto"/>
            <w:noWrap/>
            <w:vAlign w:val="bottom"/>
            <w:hideMark/>
          </w:tcPr>
          <w:p w14:paraId="684B721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349</w:t>
            </w:r>
          </w:p>
        </w:tc>
        <w:tc>
          <w:tcPr>
            <w:tcW w:w="1261" w:type="dxa"/>
            <w:tcBorders>
              <w:top w:val="nil"/>
              <w:left w:val="nil"/>
              <w:bottom w:val="nil"/>
              <w:right w:val="nil"/>
            </w:tcBorders>
            <w:shd w:val="clear" w:color="auto" w:fill="auto"/>
            <w:noWrap/>
            <w:vAlign w:val="bottom"/>
            <w:hideMark/>
          </w:tcPr>
          <w:p w14:paraId="3165E6B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2,641.8</w:t>
            </w:r>
          </w:p>
        </w:tc>
        <w:tc>
          <w:tcPr>
            <w:tcW w:w="960" w:type="dxa"/>
            <w:tcBorders>
              <w:top w:val="nil"/>
              <w:left w:val="nil"/>
              <w:bottom w:val="nil"/>
              <w:right w:val="nil"/>
            </w:tcBorders>
            <w:shd w:val="clear" w:color="auto" w:fill="auto"/>
            <w:noWrap/>
            <w:vAlign w:val="bottom"/>
            <w:hideMark/>
          </w:tcPr>
          <w:p w14:paraId="2D50604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396</w:t>
            </w:r>
          </w:p>
        </w:tc>
        <w:tc>
          <w:tcPr>
            <w:tcW w:w="1261" w:type="dxa"/>
            <w:tcBorders>
              <w:top w:val="nil"/>
              <w:left w:val="nil"/>
              <w:bottom w:val="nil"/>
              <w:right w:val="nil"/>
            </w:tcBorders>
            <w:shd w:val="clear" w:color="auto" w:fill="auto"/>
            <w:noWrap/>
            <w:vAlign w:val="bottom"/>
            <w:hideMark/>
          </w:tcPr>
          <w:p w14:paraId="7F8987C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2,488.4</w:t>
            </w:r>
          </w:p>
        </w:tc>
        <w:tc>
          <w:tcPr>
            <w:tcW w:w="960" w:type="dxa"/>
            <w:tcBorders>
              <w:top w:val="nil"/>
              <w:left w:val="nil"/>
              <w:bottom w:val="nil"/>
              <w:right w:val="nil"/>
            </w:tcBorders>
            <w:shd w:val="clear" w:color="auto" w:fill="auto"/>
            <w:noWrap/>
            <w:vAlign w:val="bottom"/>
            <w:hideMark/>
          </w:tcPr>
          <w:p w14:paraId="5A2B129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373</w:t>
            </w:r>
          </w:p>
        </w:tc>
      </w:tr>
      <w:tr w:rsidR="00EE4837" w:rsidRPr="007239A6" w14:paraId="57BB3346" w14:textId="77777777" w:rsidTr="00181ACD">
        <w:trPr>
          <w:trHeight w:val="288"/>
        </w:trPr>
        <w:tc>
          <w:tcPr>
            <w:tcW w:w="1586" w:type="dxa"/>
            <w:tcBorders>
              <w:top w:val="nil"/>
              <w:left w:val="nil"/>
              <w:bottom w:val="nil"/>
              <w:right w:val="nil"/>
            </w:tcBorders>
            <w:shd w:val="clear" w:color="auto" w:fill="auto"/>
            <w:noWrap/>
            <w:vAlign w:val="bottom"/>
            <w:hideMark/>
          </w:tcPr>
          <w:p w14:paraId="6CC77D11"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Fairfield</w:t>
            </w:r>
          </w:p>
        </w:tc>
        <w:tc>
          <w:tcPr>
            <w:tcW w:w="1261" w:type="dxa"/>
            <w:tcBorders>
              <w:top w:val="nil"/>
              <w:left w:val="nil"/>
              <w:bottom w:val="nil"/>
              <w:right w:val="nil"/>
            </w:tcBorders>
            <w:shd w:val="clear" w:color="auto" w:fill="auto"/>
            <w:noWrap/>
            <w:vAlign w:val="bottom"/>
            <w:hideMark/>
          </w:tcPr>
          <w:p w14:paraId="3C15E6D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31,751.6</w:t>
            </w:r>
          </w:p>
        </w:tc>
        <w:tc>
          <w:tcPr>
            <w:tcW w:w="960" w:type="dxa"/>
            <w:tcBorders>
              <w:top w:val="nil"/>
              <w:left w:val="nil"/>
              <w:bottom w:val="nil"/>
              <w:right w:val="nil"/>
            </w:tcBorders>
            <w:shd w:val="clear" w:color="auto" w:fill="auto"/>
            <w:noWrap/>
            <w:vAlign w:val="bottom"/>
            <w:hideMark/>
          </w:tcPr>
          <w:p w14:paraId="2F45B51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528</w:t>
            </w:r>
          </w:p>
        </w:tc>
        <w:tc>
          <w:tcPr>
            <w:tcW w:w="1261" w:type="dxa"/>
            <w:tcBorders>
              <w:top w:val="nil"/>
              <w:left w:val="nil"/>
              <w:bottom w:val="nil"/>
              <w:right w:val="nil"/>
            </w:tcBorders>
            <w:shd w:val="clear" w:color="auto" w:fill="auto"/>
            <w:noWrap/>
            <w:vAlign w:val="bottom"/>
            <w:hideMark/>
          </w:tcPr>
          <w:p w14:paraId="2040741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33,015.5</w:t>
            </w:r>
          </w:p>
        </w:tc>
        <w:tc>
          <w:tcPr>
            <w:tcW w:w="960" w:type="dxa"/>
            <w:tcBorders>
              <w:top w:val="nil"/>
              <w:left w:val="nil"/>
              <w:bottom w:val="nil"/>
              <w:right w:val="nil"/>
            </w:tcBorders>
            <w:shd w:val="clear" w:color="auto" w:fill="auto"/>
            <w:noWrap/>
            <w:vAlign w:val="bottom"/>
            <w:hideMark/>
          </w:tcPr>
          <w:p w14:paraId="63B3710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549</w:t>
            </w:r>
          </w:p>
        </w:tc>
        <w:tc>
          <w:tcPr>
            <w:tcW w:w="1261" w:type="dxa"/>
            <w:tcBorders>
              <w:top w:val="nil"/>
              <w:left w:val="nil"/>
              <w:bottom w:val="nil"/>
              <w:right w:val="nil"/>
            </w:tcBorders>
            <w:shd w:val="clear" w:color="auto" w:fill="auto"/>
            <w:noWrap/>
            <w:vAlign w:val="bottom"/>
            <w:hideMark/>
          </w:tcPr>
          <w:p w14:paraId="7604C48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17,324.2</w:t>
            </w:r>
          </w:p>
        </w:tc>
        <w:tc>
          <w:tcPr>
            <w:tcW w:w="960" w:type="dxa"/>
            <w:tcBorders>
              <w:top w:val="nil"/>
              <w:left w:val="nil"/>
              <w:bottom w:val="nil"/>
              <w:right w:val="nil"/>
            </w:tcBorders>
            <w:shd w:val="clear" w:color="auto" w:fill="auto"/>
            <w:noWrap/>
            <w:vAlign w:val="bottom"/>
            <w:hideMark/>
          </w:tcPr>
          <w:p w14:paraId="2FF37F5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288</w:t>
            </w:r>
          </w:p>
        </w:tc>
        <w:tc>
          <w:tcPr>
            <w:tcW w:w="1261" w:type="dxa"/>
            <w:tcBorders>
              <w:top w:val="nil"/>
              <w:left w:val="nil"/>
              <w:bottom w:val="nil"/>
              <w:right w:val="nil"/>
            </w:tcBorders>
            <w:shd w:val="clear" w:color="auto" w:fill="auto"/>
            <w:noWrap/>
            <w:vAlign w:val="bottom"/>
            <w:hideMark/>
          </w:tcPr>
          <w:p w14:paraId="2B6873B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27,878.1</w:t>
            </w:r>
          </w:p>
        </w:tc>
        <w:tc>
          <w:tcPr>
            <w:tcW w:w="960" w:type="dxa"/>
            <w:tcBorders>
              <w:top w:val="nil"/>
              <w:left w:val="nil"/>
              <w:bottom w:val="nil"/>
              <w:right w:val="nil"/>
            </w:tcBorders>
            <w:shd w:val="clear" w:color="auto" w:fill="auto"/>
            <w:noWrap/>
            <w:vAlign w:val="bottom"/>
            <w:hideMark/>
          </w:tcPr>
          <w:p w14:paraId="612CD24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464</w:t>
            </w:r>
          </w:p>
        </w:tc>
        <w:tc>
          <w:tcPr>
            <w:tcW w:w="1261" w:type="dxa"/>
            <w:tcBorders>
              <w:top w:val="nil"/>
              <w:left w:val="nil"/>
              <w:bottom w:val="nil"/>
              <w:right w:val="nil"/>
            </w:tcBorders>
            <w:shd w:val="clear" w:color="auto" w:fill="auto"/>
            <w:noWrap/>
            <w:vAlign w:val="bottom"/>
            <w:hideMark/>
          </w:tcPr>
          <w:p w14:paraId="0F8CE07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22,253.9</w:t>
            </w:r>
          </w:p>
        </w:tc>
        <w:tc>
          <w:tcPr>
            <w:tcW w:w="960" w:type="dxa"/>
            <w:tcBorders>
              <w:top w:val="nil"/>
              <w:left w:val="nil"/>
              <w:bottom w:val="nil"/>
              <w:right w:val="nil"/>
            </w:tcBorders>
            <w:shd w:val="clear" w:color="auto" w:fill="auto"/>
            <w:noWrap/>
            <w:vAlign w:val="bottom"/>
            <w:hideMark/>
          </w:tcPr>
          <w:p w14:paraId="2A8BFE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370</w:t>
            </w:r>
          </w:p>
        </w:tc>
      </w:tr>
      <w:tr w:rsidR="00EE4837" w:rsidRPr="007239A6" w14:paraId="1A93DEC6" w14:textId="77777777" w:rsidTr="00181ACD">
        <w:trPr>
          <w:trHeight w:val="288"/>
        </w:trPr>
        <w:tc>
          <w:tcPr>
            <w:tcW w:w="1586" w:type="dxa"/>
            <w:tcBorders>
              <w:top w:val="nil"/>
              <w:left w:val="nil"/>
              <w:bottom w:val="nil"/>
              <w:right w:val="nil"/>
            </w:tcBorders>
            <w:shd w:val="clear" w:color="auto" w:fill="auto"/>
            <w:noWrap/>
            <w:vAlign w:val="bottom"/>
            <w:hideMark/>
          </w:tcPr>
          <w:p w14:paraId="43AAE9B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Farmington</w:t>
            </w:r>
          </w:p>
        </w:tc>
        <w:tc>
          <w:tcPr>
            <w:tcW w:w="1261" w:type="dxa"/>
            <w:tcBorders>
              <w:top w:val="nil"/>
              <w:left w:val="nil"/>
              <w:bottom w:val="nil"/>
              <w:right w:val="nil"/>
            </w:tcBorders>
            <w:shd w:val="clear" w:color="auto" w:fill="auto"/>
            <w:noWrap/>
            <w:vAlign w:val="bottom"/>
            <w:hideMark/>
          </w:tcPr>
          <w:p w14:paraId="0ED59AF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11,289.3</w:t>
            </w:r>
          </w:p>
        </w:tc>
        <w:tc>
          <w:tcPr>
            <w:tcW w:w="960" w:type="dxa"/>
            <w:tcBorders>
              <w:top w:val="nil"/>
              <w:left w:val="nil"/>
              <w:bottom w:val="nil"/>
              <w:right w:val="nil"/>
            </w:tcBorders>
            <w:shd w:val="clear" w:color="auto" w:fill="auto"/>
            <w:noWrap/>
            <w:vAlign w:val="bottom"/>
            <w:hideMark/>
          </w:tcPr>
          <w:p w14:paraId="33A64B5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444</w:t>
            </w:r>
          </w:p>
        </w:tc>
        <w:tc>
          <w:tcPr>
            <w:tcW w:w="1261" w:type="dxa"/>
            <w:tcBorders>
              <w:top w:val="nil"/>
              <w:left w:val="nil"/>
              <w:bottom w:val="nil"/>
              <w:right w:val="nil"/>
            </w:tcBorders>
            <w:shd w:val="clear" w:color="auto" w:fill="auto"/>
            <w:noWrap/>
            <w:vAlign w:val="bottom"/>
            <w:hideMark/>
          </w:tcPr>
          <w:p w14:paraId="0DA469F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13,720.4</w:t>
            </w:r>
          </w:p>
        </w:tc>
        <w:tc>
          <w:tcPr>
            <w:tcW w:w="960" w:type="dxa"/>
            <w:tcBorders>
              <w:top w:val="nil"/>
              <w:left w:val="nil"/>
              <w:bottom w:val="nil"/>
              <w:right w:val="nil"/>
            </w:tcBorders>
            <w:shd w:val="clear" w:color="auto" w:fill="auto"/>
            <w:noWrap/>
            <w:vAlign w:val="bottom"/>
            <w:hideMark/>
          </w:tcPr>
          <w:p w14:paraId="77823F7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540</w:t>
            </w:r>
          </w:p>
        </w:tc>
        <w:tc>
          <w:tcPr>
            <w:tcW w:w="1261" w:type="dxa"/>
            <w:tcBorders>
              <w:top w:val="nil"/>
              <w:left w:val="nil"/>
              <w:bottom w:val="nil"/>
              <w:right w:val="nil"/>
            </w:tcBorders>
            <w:shd w:val="clear" w:color="auto" w:fill="auto"/>
            <w:noWrap/>
            <w:vAlign w:val="bottom"/>
            <w:hideMark/>
          </w:tcPr>
          <w:p w14:paraId="5ACA639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22,165.3</w:t>
            </w:r>
          </w:p>
        </w:tc>
        <w:tc>
          <w:tcPr>
            <w:tcW w:w="960" w:type="dxa"/>
            <w:tcBorders>
              <w:top w:val="nil"/>
              <w:left w:val="nil"/>
              <w:bottom w:val="nil"/>
              <w:right w:val="nil"/>
            </w:tcBorders>
            <w:shd w:val="clear" w:color="auto" w:fill="auto"/>
            <w:noWrap/>
            <w:vAlign w:val="bottom"/>
            <w:hideMark/>
          </w:tcPr>
          <w:p w14:paraId="215AA4B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872</w:t>
            </w:r>
          </w:p>
        </w:tc>
        <w:tc>
          <w:tcPr>
            <w:tcW w:w="1261" w:type="dxa"/>
            <w:tcBorders>
              <w:top w:val="nil"/>
              <w:left w:val="nil"/>
              <w:bottom w:val="nil"/>
              <w:right w:val="nil"/>
            </w:tcBorders>
            <w:shd w:val="clear" w:color="auto" w:fill="auto"/>
            <w:noWrap/>
            <w:vAlign w:val="bottom"/>
            <w:hideMark/>
          </w:tcPr>
          <w:p w14:paraId="2D6CED2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13,920.0</w:t>
            </w:r>
          </w:p>
        </w:tc>
        <w:tc>
          <w:tcPr>
            <w:tcW w:w="960" w:type="dxa"/>
            <w:tcBorders>
              <w:top w:val="nil"/>
              <w:left w:val="nil"/>
              <w:bottom w:val="nil"/>
              <w:right w:val="nil"/>
            </w:tcBorders>
            <w:shd w:val="clear" w:color="auto" w:fill="auto"/>
            <w:noWrap/>
            <w:vAlign w:val="bottom"/>
            <w:hideMark/>
          </w:tcPr>
          <w:p w14:paraId="46D386C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547</w:t>
            </w:r>
          </w:p>
        </w:tc>
        <w:tc>
          <w:tcPr>
            <w:tcW w:w="1261" w:type="dxa"/>
            <w:tcBorders>
              <w:top w:val="nil"/>
              <w:left w:val="nil"/>
              <w:bottom w:val="nil"/>
              <w:right w:val="nil"/>
            </w:tcBorders>
            <w:shd w:val="clear" w:color="auto" w:fill="auto"/>
            <w:noWrap/>
            <w:vAlign w:val="bottom"/>
            <w:hideMark/>
          </w:tcPr>
          <w:p w14:paraId="3BE6594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18,521.6</w:t>
            </w:r>
          </w:p>
        </w:tc>
        <w:tc>
          <w:tcPr>
            <w:tcW w:w="960" w:type="dxa"/>
            <w:tcBorders>
              <w:top w:val="nil"/>
              <w:left w:val="nil"/>
              <w:bottom w:val="nil"/>
              <w:right w:val="nil"/>
            </w:tcBorders>
            <w:shd w:val="clear" w:color="auto" w:fill="auto"/>
            <w:noWrap/>
            <w:vAlign w:val="bottom"/>
            <w:hideMark/>
          </w:tcPr>
          <w:p w14:paraId="0EFCFD7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728</w:t>
            </w:r>
          </w:p>
        </w:tc>
      </w:tr>
      <w:tr w:rsidR="00EE4837" w:rsidRPr="007239A6" w14:paraId="218826FF" w14:textId="77777777" w:rsidTr="00181ACD">
        <w:trPr>
          <w:trHeight w:val="288"/>
        </w:trPr>
        <w:tc>
          <w:tcPr>
            <w:tcW w:w="1586" w:type="dxa"/>
            <w:tcBorders>
              <w:top w:val="nil"/>
              <w:left w:val="nil"/>
              <w:bottom w:val="nil"/>
              <w:right w:val="nil"/>
            </w:tcBorders>
            <w:shd w:val="clear" w:color="auto" w:fill="auto"/>
            <w:noWrap/>
            <w:vAlign w:val="bottom"/>
            <w:hideMark/>
          </w:tcPr>
          <w:p w14:paraId="35D61C09"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Franklin</w:t>
            </w:r>
          </w:p>
        </w:tc>
        <w:tc>
          <w:tcPr>
            <w:tcW w:w="1261" w:type="dxa"/>
            <w:tcBorders>
              <w:top w:val="nil"/>
              <w:left w:val="nil"/>
              <w:bottom w:val="nil"/>
              <w:right w:val="nil"/>
            </w:tcBorders>
            <w:shd w:val="clear" w:color="auto" w:fill="auto"/>
            <w:noWrap/>
            <w:vAlign w:val="bottom"/>
            <w:hideMark/>
          </w:tcPr>
          <w:p w14:paraId="71FE516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466.7</w:t>
            </w:r>
          </w:p>
        </w:tc>
        <w:tc>
          <w:tcPr>
            <w:tcW w:w="960" w:type="dxa"/>
            <w:tcBorders>
              <w:top w:val="nil"/>
              <w:left w:val="nil"/>
              <w:bottom w:val="nil"/>
              <w:right w:val="nil"/>
            </w:tcBorders>
            <w:shd w:val="clear" w:color="auto" w:fill="auto"/>
            <w:noWrap/>
            <w:vAlign w:val="bottom"/>
            <w:hideMark/>
          </w:tcPr>
          <w:p w14:paraId="44857E8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239</w:t>
            </w:r>
          </w:p>
        </w:tc>
        <w:tc>
          <w:tcPr>
            <w:tcW w:w="1261" w:type="dxa"/>
            <w:tcBorders>
              <w:top w:val="nil"/>
              <w:left w:val="nil"/>
              <w:bottom w:val="nil"/>
              <w:right w:val="nil"/>
            </w:tcBorders>
            <w:shd w:val="clear" w:color="auto" w:fill="auto"/>
            <w:noWrap/>
            <w:vAlign w:val="bottom"/>
            <w:hideMark/>
          </w:tcPr>
          <w:p w14:paraId="505333F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455.8</w:t>
            </w:r>
          </w:p>
        </w:tc>
        <w:tc>
          <w:tcPr>
            <w:tcW w:w="960" w:type="dxa"/>
            <w:tcBorders>
              <w:top w:val="nil"/>
              <w:left w:val="nil"/>
              <w:bottom w:val="nil"/>
              <w:right w:val="nil"/>
            </w:tcBorders>
            <w:shd w:val="clear" w:color="auto" w:fill="auto"/>
            <w:noWrap/>
            <w:vAlign w:val="bottom"/>
            <w:hideMark/>
          </w:tcPr>
          <w:p w14:paraId="22FC81E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234</w:t>
            </w:r>
          </w:p>
        </w:tc>
        <w:tc>
          <w:tcPr>
            <w:tcW w:w="1261" w:type="dxa"/>
            <w:tcBorders>
              <w:top w:val="nil"/>
              <w:left w:val="nil"/>
              <w:bottom w:val="nil"/>
              <w:right w:val="nil"/>
            </w:tcBorders>
            <w:shd w:val="clear" w:color="auto" w:fill="auto"/>
            <w:noWrap/>
            <w:vAlign w:val="bottom"/>
            <w:hideMark/>
          </w:tcPr>
          <w:p w14:paraId="4C10ADE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580.8</w:t>
            </w:r>
          </w:p>
        </w:tc>
        <w:tc>
          <w:tcPr>
            <w:tcW w:w="960" w:type="dxa"/>
            <w:tcBorders>
              <w:top w:val="nil"/>
              <w:left w:val="nil"/>
              <w:bottom w:val="nil"/>
              <w:right w:val="nil"/>
            </w:tcBorders>
            <w:shd w:val="clear" w:color="auto" w:fill="auto"/>
            <w:noWrap/>
            <w:vAlign w:val="bottom"/>
            <w:hideMark/>
          </w:tcPr>
          <w:p w14:paraId="36ED0E4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298</w:t>
            </w:r>
          </w:p>
        </w:tc>
        <w:tc>
          <w:tcPr>
            <w:tcW w:w="1261" w:type="dxa"/>
            <w:tcBorders>
              <w:top w:val="nil"/>
              <w:left w:val="nil"/>
              <w:bottom w:val="nil"/>
              <w:right w:val="nil"/>
            </w:tcBorders>
            <w:shd w:val="clear" w:color="auto" w:fill="auto"/>
            <w:noWrap/>
            <w:vAlign w:val="bottom"/>
            <w:hideMark/>
          </w:tcPr>
          <w:p w14:paraId="3F488D1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579.9</w:t>
            </w:r>
          </w:p>
        </w:tc>
        <w:tc>
          <w:tcPr>
            <w:tcW w:w="960" w:type="dxa"/>
            <w:tcBorders>
              <w:top w:val="nil"/>
              <w:left w:val="nil"/>
              <w:bottom w:val="nil"/>
              <w:right w:val="nil"/>
            </w:tcBorders>
            <w:shd w:val="clear" w:color="auto" w:fill="auto"/>
            <w:noWrap/>
            <w:vAlign w:val="bottom"/>
            <w:hideMark/>
          </w:tcPr>
          <w:p w14:paraId="5D5944A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297</w:t>
            </w:r>
          </w:p>
        </w:tc>
        <w:tc>
          <w:tcPr>
            <w:tcW w:w="1261" w:type="dxa"/>
            <w:tcBorders>
              <w:top w:val="nil"/>
              <w:left w:val="nil"/>
              <w:bottom w:val="nil"/>
              <w:right w:val="nil"/>
            </w:tcBorders>
            <w:shd w:val="clear" w:color="auto" w:fill="auto"/>
            <w:noWrap/>
            <w:vAlign w:val="bottom"/>
            <w:hideMark/>
          </w:tcPr>
          <w:p w14:paraId="44ACB02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582.5</w:t>
            </w:r>
          </w:p>
        </w:tc>
        <w:tc>
          <w:tcPr>
            <w:tcW w:w="960" w:type="dxa"/>
            <w:tcBorders>
              <w:top w:val="nil"/>
              <w:left w:val="nil"/>
              <w:bottom w:val="nil"/>
              <w:right w:val="nil"/>
            </w:tcBorders>
            <w:shd w:val="clear" w:color="auto" w:fill="auto"/>
            <w:noWrap/>
            <w:vAlign w:val="bottom"/>
            <w:hideMark/>
          </w:tcPr>
          <w:p w14:paraId="2FEFE74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299</w:t>
            </w:r>
          </w:p>
        </w:tc>
      </w:tr>
      <w:tr w:rsidR="00EE4837" w:rsidRPr="007239A6" w14:paraId="6E9D46D7" w14:textId="77777777" w:rsidTr="00181ACD">
        <w:trPr>
          <w:trHeight w:val="288"/>
        </w:trPr>
        <w:tc>
          <w:tcPr>
            <w:tcW w:w="1586" w:type="dxa"/>
            <w:tcBorders>
              <w:top w:val="nil"/>
              <w:left w:val="nil"/>
              <w:bottom w:val="nil"/>
              <w:right w:val="nil"/>
            </w:tcBorders>
            <w:shd w:val="clear" w:color="auto" w:fill="auto"/>
            <w:noWrap/>
            <w:vAlign w:val="bottom"/>
            <w:hideMark/>
          </w:tcPr>
          <w:p w14:paraId="7F4CD1CF"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Glastonbury</w:t>
            </w:r>
          </w:p>
        </w:tc>
        <w:tc>
          <w:tcPr>
            <w:tcW w:w="1261" w:type="dxa"/>
            <w:tcBorders>
              <w:top w:val="nil"/>
              <w:left w:val="nil"/>
              <w:bottom w:val="nil"/>
              <w:right w:val="nil"/>
            </w:tcBorders>
            <w:shd w:val="clear" w:color="auto" w:fill="auto"/>
            <w:noWrap/>
            <w:vAlign w:val="bottom"/>
            <w:hideMark/>
          </w:tcPr>
          <w:p w14:paraId="4119F5D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15,559.9</w:t>
            </w:r>
          </w:p>
        </w:tc>
        <w:tc>
          <w:tcPr>
            <w:tcW w:w="960" w:type="dxa"/>
            <w:tcBorders>
              <w:top w:val="nil"/>
              <w:left w:val="nil"/>
              <w:bottom w:val="nil"/>
              <w:right w:val="nil"/>
            </w:tcBorders>
            <w:shd w:val="clear" w:color="auto" w:fill="auto"/>
            <w:noWrap/>
            <w:vAlign w:val="bottom"/>
            <w:hideMark/>
          </w:tcPr>
          <w:p w14:paraId="1BF9653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450</w:t>
            </w:r>
          </w:p>
        </w:tc>
        <w:tc>
          <w:tcPr>
            <w:tcW w:w="1261" w:type="dxa"/>
            <w:tcBorders>
              <w:top w:val="nil"/>
              <w:left w:val="nil"/>
              <w:bottom w:val="nil"/>
              <w:right w:val="nil"/>
            </w:tcBorders>
            <w:shd w:val="clear" w:color="auto" w:fill="auto"/>
            <w:noWrap/>
            <w:vAlign w:val="bottom"/>
            <w:hideMark/>
          </w:tcPr>
          <w:p w14:paraId="49ACD19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18,768.0</w:t>
            </w:r>
          </w:p>
        </w:tc>
        <w:tc>
          <w:tcPr>
            <w:tcW w:w="960" w:type="dxa"/>
            <w:tcBorders>
              <w:top w:val="nil"/>
              <w:left w:val="nil"/>
              <w:bottom w:val="nil"/>
              <w:right w:val="nil"/>
            </w:tcBorders>
            <w:shd w:val="clear" w:color="auto" w:fill="auto"/>
            <w:noWrap/>
            <w:vAlign w:val="bottom"/>
            <w:hideMark/>
          </w:tcPr>
          <w:p w14:paraId="05F142D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543</w:t>
            </w:r>
          </w:p>
        </w:tc>
        <w:tc>
          <w:tcPr>
            <w:tcW w:w="1261" w:type="dxa"/>
            <w:tcBorders>
              <w:top w:val="nil"/>
              <w:left w:val="nil"/>
              <w:bottom w:val="nil"/>
              <w:right w:val="nil"/>
            </w:tcBorders>
            <w:shd w:val="clear" w:color="auto" w:fill="auto"/>
            <w:noWrap/>
            <w:vAlign w:val="bottom"/>
            <w:hideMark/>
          </w:tcPr>
          <w:p w14:paraId="139DA8F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10,278.9</w:t>
            </w:r>
          </w:p>
        </w:tc>
        <w:tc>
          <w:tcPr>
            <w:tcW w:w="960" w:type="dxa"/>
            <w:tcBorders>
              <w:top w:val="nil"/>
              <w:left w:val="nil"/>
              <w:bottom w:val="nil"/>
              <w:right w:val="nil"/>
            </w:tcBorders>
            <w:shd w:val="clear" w:color="auto" w:fill="auto"/>
            <w:noWrap/>
            <w:vAlign w:val="bottom"/>
            <w:hideMark/>
          </w:tcPr>
          <w:p w14:paraId="2267DF6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297</w:t>
            </w:r>
          </w:p>
        </w:tc>
        <w:tc>
          <w:tcPr>
            <w:tcW w:w="1261" w:type="dxa"/>
            <w:tcBorders>
              <w:top w:val="nil"/>
              <w:left w:val="nil"/>
              <w:bottom w:val="nil"/>
              <w:right w:val="nil"/>
            </w:tcBorders>
            <w:shd w:val="clear" w:color="auto" w:fill="auto"/>
            <w:noWrap/>
            <w:vAlign w:val="bottom"/>
            <w:hideMark/>
          </w:tcPr>
          <w:p w14:paraId="05F32E5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18,180.0</w:t>
            </w:r>
          </w:p>
        </w:tc>
        <w:tc>
          <w:tcPr>
            <w:tcW w:w="960" w:type="dxa"/>
            <w:tcBorders>
              <w:top w:val="nil"/>
              <w:left w:val="nil"/>
              <w:bottom w:val="nil"/>
              <w:right w:val="nil"/>
            </w:tcBorders>
            <w:shd w:val="clear" w:color="auto" w:fill="auto"/>
            <w:noWrap/>
            <w:vAlign w:val="bottom"/>
            <w:hideMark/>
          </w:tcPr>
          <w:p w14:paraId="5D44AB7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526</w:t>
            </w:r>
          </w:p>
        </w:tc>
        <w:tc>
          <w:tcPr>
            <w:tcW w:w="1261" w:type="dxa"/>
            <w:tcBorders>
              <w:top w:val="nil"/>
              <w:left w:val="nil"/>
              <w:bottom w:val="nil"/>
              <w:right w:val="nil"/>
            </w:tcBorders>
            <w:shd w:val="clear" w:color="auto" w:fill="auto"/>
            <w:noWrap/>
            <w:vAlign w:val="bottom"/>
            <w:hideMark/>
          </w:tcPr>
          <w:p w14:paraId="2E7316D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13,965.3</w:t>
            </w:r>
          </w:p>
        </w:tc>
        <w:tc>
          <w:tcPr>
            <w:tcW w:w="960" w:type="dxa"/>
            <w:tcBorders>
              <w:top w:val="nil"/>
              <w:left w:val="nil"/>
              <w:bottom w:val="nil"/>
              <w:right w:val="nil"/>
            </w:tcBorders>
            <w:shd w:val="clear" w:color="auto" w:fill="auto"/>
            <w:noWrap/>
            <w:vAlign w:val="bottom"/>
            <w:hideMark/>
          </w:tcPr>
          <w:p w14:paraId="103F7CA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404</w:t>
            </w:r>
          </w:p>
        </w:tc>
      </w:tr>
      <w:tr w:rsidR="00EE4837" w:rsidRPr="007239A6" w14:paraId="52136672" w14:textId="77777777" w:rsidTr="00181ACD">
        <w:trPr>
          <w:trHeight w:val="288"/>
        </w:trPr>
        <w:tc>
          <w:tcPr>
            <w:tcW w:w="1586" w:type="dxa"/>
            <w:tcBorders>
              <w:top w:val="nil"/>
              <w:left w:val="nil"/>
              <w:bottom w:val="nil"/>
              <w:right w:val="nil"/>
            </w:tcBorders>
            <w:shd w:val="clear" w:color="auto" w:fill="auto"/>
            <w:noWrap/>
            <w:vAlign w:val="bottom"/>
            <w:hideMark/>
          </w:tcPr>
          <w:p w14:paraId="22B386D7"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Goshen</w:t>
            </w:r>
          </w:p>
        </w:tc>
        <w:tc>
          <w:tcPr>
            <w:tcW w:w="1261" w:type="dxa"/>
            <w:tcBorders>
              <w:top w:val="nil"/>
              <w:left w:val="nil"/>
              <w:bottom w:val="nil"/>
              <w:right w:val="nil"/>
            </w:tcBorders>
            <w:shd w:val="clear" w:color="auto" w:fill="auto"/>
            <w:noWrap/>
            <w:vAlign w:val="bottom"/>
            <w:hideMark/>
          </w:tcPr>
          <w:p w14:paraId="5C48ACC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963.5</w:t>
            </w:r>
          </w:p>
        </w:tc>
        <w:tc>
          <w:tcPr>
            <w:tcW w:w="960" w:type="dxa"/>
            <w:tcBorders>
              <w:top w:val="nil"/>
              <w:left w:val="nil"/>
              <w:bottom w:val="nil"/>
              <w:right w:val="nil"/>
            </w:tcBorders>
            <w:shd w:val="clear" w:color="auto" w:fill="auto"/>
            <w:noWrap/>
            <w:vAlign w:val="bottom"/>
            <w:hideMark/>
          </w:tcPr>
          <w:p w14:paraId="6B1899B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326</w:t>
            </w:r>
          </w:p>
        </w:tc>
        <w:tc>
          <w:tcPr>
            <w:tcW w:w="1261" w:type="dxa"/>
            <w:tcBorders>
              <w:top w:val="nil"/>
              <w:left w:val="nil"/>
              <w:bottom w:val="nil"/>
              <w:right w:val="nil"/>
            </w:tcBorders>
            <w:shd w:val="clear" w:color="auto" w:fill="auto"/>
            <w:noWrap/>
            <w:vAlign w:val="bottom"/>
            <w:hideMark/>
          </w:tcPr>
          <w:p w14:paraId="29CD07E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1,019.7</w:t>
            </w:r>
          </w:p>
        </w:tc>
        <w:tc>
          <w:tcPr>
            <w:tcW w:w="960" w:type="dxa"/>
            <w:tcBorders>
              <w:top w:val="nil"/>
              <w:left w:val="nil"/>
              <w:bottom w:val="nil"/>
              <w:right w:val="nil"/>
            </w:tcBorders>
            <w:shd w:val="clear" w:color="auto" w:fill="auto"/>
            <w:noWrap/>
            <w:vAlign w:val="bottom"/>
            <w:hideMark/>
          </w:tcPr>
          <w:p w14:paraId="39B3D77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345</w:t>
            </w:r>
          </w:p>
        </w:tc>
        <w:tc>
          <w:tcPr>
            <w:tcW w:w="1261" w:type="dxa"/>
            <w:tcBorders>
              <w:top w:val="nil"/>
              <w:left w:val="nil"/>
              <w:bottom w:val="nil"/>
              <w:right w:val="nil"/>
            </w:tcBorders>
            <w:shd w:val="clear" w:color="auto" w:fill="auto"/>
            <w:noWrap/>
            <w:vAlign w:val="bottom"/>
            <w:hideMark/>
          </w:tcPr>
          <w:p w14:paraId="435EE2A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139.9</w:t>
            </w:r>
          </w:p>
        </w:tc>
        <w:tc>
          <w:tcPr>
            <w:tcW w:w="960" w:type="dxa"/>
            <w:tcBorders>
              <w:top w:val="nil"/>
              <w:left w:val="nil"/>
              <w:bottom w:val="nil"/>
              <w:right w:val="nil"/>
            </w:tcBorders>
            <w:shd w:val="clear" w:color="auto" w:fill="auto"/>
            <w:noWrap/>
            <w:vAlign w:val="bottom"/>
            <w:hideMark/>
          </w:tcPr>
          <w:p w14:paraId="2A2AE1E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w:t>
            </w:r>
          </w:p>
        </w:tc>
        <w:tc>
          <w:tcPr>
            <w:tcW w:w="1261" w:type="dxa"/>
            <w:tcBorders>
              <w:top w:val="nil"/>
              <w:left w:val="nil"/>
              <w:bottom w:val="nil"/>
              <w:right w:val="nil"/>
            </w:tcBorders>
            <w:shd w:val="clear" w:color="auto" w:fill="auto"/>
            <w:noWrap/>
            <w:vAlign w:val="bottom"/>
            <w:hideMark/>
          </w:tcPr>
          <w:p w14:paraId="4A288F8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1,061.3</w:t>
            </w:r>
          </w:p>
        </w:tc>
        <w:tc>
          <w:tcPr>
            <w:tcW w:w="960" w:type="dxa"/>
            <w:tcBorders>
              <w:top w:val="nil"/>
              <w:left w:val="nil"/>
              <w:bottom w:val="nil"/>
              <w:right w:val="nil"/>
            </w:tcBorders>
            <w:shd w:val="clear" w:color="auto" w:fill="auto"/>
            <w:noWrap/>
            <w:vAlign w:val="bottom"/>
            <w:hideMark/>
          </w:tcPr>
          <w:p w14:paraId="1117855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359</w:t>
            </w:r>
          </w:p>
        </w:tc>
        <w:tc>
          <w:tcPr>
            <w:tcW w:w="1261" w:type="dxa"/>
            <w:tcBorders>
              <w:top w:val="nil"/>
              <w:left w:val="nil"/>
              <w:bottom w:val="nil"/>
              <w:right w:val="nil"/>
            </w:tcBorders>
            <w:shd w:val="clear" w:color="auto" w:fill="auto"/>
            <w:noWrap/>
            <w:vAlign w:val="bottom"/>
            <w:hideMark/>
          </w:tcPr>
          <w:p w14:paraId="4E62224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569.6</w:t>
            </w:r>
          </w:p>
        </w:tc>
        <w:tc>
          <w:tcPr>
            <w:tcW w:w="960" w:type="dxa"/>
            <w:tcBorders>
              <w:top w:val="nil"/>
              <w:left w:val="nil"/>
              <w:bottom w:val="nil"/>
              <w:right w:val="nil"/>
            </w:tcBorders>
            <w:shd w:val="clear" w:color="auto" w:fill="auto"/>
            <w:noWrap/>
            <w:vAlign w:val="bottom"/>
            <w:hideMark/>
          </w:tcPr>
          <w:p w14:paraId="25CA044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193</w:t>
            </w:r>
          </w:p>
        </w:tc>
      </w:tr>
      <w:tr w:rsidR="00EE4837" w:rsidRPr="007239A6" w14:paraId="0B55F90A" w14:textId="77777777" w:rsidTr="00181ACD">
        <w:trPr>
          <w:trHeight w:val="288"/>
        </w:trPr>
        <w:tc>
          <w:tcPr>
            <w:tcW w:w="1586" w:type="dxa"/>
            <w:tcBorders>
              <w:top w:val="nil"/>
              <w:left w:val="nil"/>
              <w:bottom w:val="nil"/>
              <w:right w:val="nil"/>
            </w:tcBorders>
            <w:shd w:val="clear" w:color="auto" w:fill="auto"/>
            <w:noWrap/>
            <w:vAlign w:val="bottom"/>
            <w:hideMark/>
          </w:tcPr>
          <w:p w14:paraId="4D4DFBE7"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Granby</w:t>
            </w:r>
          </w:p>
        </w:tc>
        <w:tc>
          <w:tcPr>
            <w:tcW w:w="1261" w:type="dxa"/>
            <w:tcBorders>
              <w:top w:val="nil"/>
              <w:left w:val="nil"/>
              <w:bottom w:val="nil"/>
              <w:right w:val="nil"/>
            </w:tcBorders>
            <w:shd w:val="clear" w:color="auto" w:fill="auto"/>
            <w:noWrap/>
            <w:vAlign w:val="bottom"/>
            <w:hideMark/>
          </w:tcPr>
          <w:p w14:paraId="43C5BA9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3,938.3</w:t>
            </w:r>
          </w:p>
        </w:tc>
        <w:tc>
          <w:tcPr>
            <w:tcW w:w="960" w:type="dxa"/>
            <w:tcBorders>
              <w:top w:val="nil"/>
              <w:left w:val="nil"/>
              <w:bottom w:val="nil"/>
              <w:right w:val="nil"/>
            </w:tcBorders>
            <w:shd w:val="clear" w:color="auto" w:fill="auto"/>
            <w:noWrap/>
            <w:vAlign w:val="bottom"/>
            <w:hideMark/>
          </w:tcPr>
          <w:p w14:paraId="1394EFE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349</w:t>
            </w:r>
          </w:p>
        </w:tc>
        <w:tc>
          <w:tcPr>
            <w:tcW w:w="1261" w:type="dxa"/>
            <w:tcBorders>
              <w:top w:val="nil"/>
              <w:left w:val="nil"/>
              <w:bottom w:val="nil"/>
              <w:right w:val="nil"/>
            </w:tcBorders>
            <w:shd w:val="clear" w:color="auto" w:fill="auto"/>
            <w:noWrap/>
            <w:vAlign w:val="bottom"/>
            <w:hideMark/>
          </w:tcPr>
          <w:p w14:paraId="53C3523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4,284.8</w:t>
            </w:r>
          </w:p>
        </w:tc>
        <w:tc>
          <w:tcPr>
            <w:tcW w:w="960" w:type="dxa"/>
            <w:tcBorders>
              <w:top w:val="nil"/>
              <w:left w:val="nil"/>
              <w:bottom w:val="nil"/>
              <w:right w:val="nil"/>
            </w:tcBorders>
            <w:shd w:val="clear" w:color="auto" w:fill="auto"/>
            <w:noWrap/>
            <w:vAlign w:val="bottom"/>
            <w:hideMark/>
          </w:tcPr>
          <w:p w14:paraId="0736132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380</w:t>
            </w:r>
          </w:p>
        </w:tc>
        <w:tc>
          <w:tcPr>
            <w:tcW w:w="1261" w:type="dxa"/>
            <w:tcBorders>
              <w:top w:val="nil"/>
              <w:left w:val="nil"/>
              <w:bottom w:val="nil"/>
              <w:right w:val="nil"/>
            </w:tcBorders>
            <w:shd w:val="clear" w:color="auto" w:fill="auto"/>
            <w:noWrap/>
            <w:vAlign w:val="bottom"/>
            <w:hideMark/>
          </w:tcPr>
          <w:p w14:paraId="408871D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913.1</w:t>
            </w:r>
          </w:p>
        </w:tc>
        <w:tc>
          <w:tcPr>
            <w:tcW w:w="960" w:type="dxa"/>
            <w:tcBorders>
              <w:top w:val="nil"/>
              <w:left w:val="nil"/>
              <w:bottom w:val="nil"/>
              <w:right w:val="nil"/>
            </w:tcBorders>
            <w:shd w:val="clear" w:color="auto" w:fill="auto"/>
            <w:noWrap/>
            <w:vAlign w:val="bottom"/>
            <w:hideMark/>
          </w:tcPr>
          <w:p w14:paraId="4D8510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81</w:t>
            </w:r>
          </w:p>
        </w:tc>
        <w:tc>
          <w:tcPr>
            <w:tcW w:w="1261" w:type="dxa"/>
            <w:tcBorders>
              <w:top w:val="nil"/>
              <w:left w:val="nil"/>
              <w:bottom w:val="nil"/>
              <w:right w:val="nil"/>
            </w:tcBorders>
            <w:shd w:val="clear" w:color="auto" w:fill="auto"/>
            <w:noWrap/>
            <w:vAlign w:val="bottom"/>
            <w:hideMark/>
          </w:tcPr>
          <w:p w14:paraId="04E2DA2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4,768.5</w:t>
            </w:r>
          </w:p>
        </w:tc>
        <w:tc>
          <w:tcPr>
            <w:tcW w:w="960" w:type="dxa"/>
            <w:tcBorders>
              <w:top w:val="nil"/>
              <w:left w:val="nil"/>
              <w:bottom w:val="nil"/>
              <w:right w:val="nil"/>
            </w:tcBorders>
            <w:shd w:val="clear" w:color="auto" w:fill="auto"/>
            <w:noWrap/>
            <w:vAlign w:val="bottom"/>
            <w:hideMark/>
          </w:tcPr>
          <w:p w14:paraId="0DD6B9F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423</w:t>
            </w:r>
          </w:p>
        </w:tc>
        <w:tc>
          <w:tcPr>
            <w:tcW w:w="1261" w:type="dxa"/>
            <w:tcBorders>
              <w:top w:val="nil"/>
              <w:left w:val="nil"/>
              <w:bottom w:val="nil"/>
              <w:right w:val="nil"/>
            </w:tcBorders>
            <w:shd w:val="clear" w:color="auto" w:fill="auto"/>
            <w:noWrap/>
            <w:vAlign w:val="bottom"/>
            <w:hideMark/>
          </w:tcPr>
          <w:p w14:paraId="01A834D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2,713.9</w:t>
            </w:r>
          </w:p>
        </w:tc>
        <w:tc>
          <w:tcPr>
            <w:tcW w:w="960" w:type="dxa"/>
            <w:tcBorders>
              <w:top w:val="nil"/>
              <w:left w:val="nil"/>
              <w:bottom w:val="nil"/>
              <w:right w:val="nil"/>
            </w:tcBorders>
            <w:shd w:val="clear" w:color="auto" w:fill="auto"/>
            <w:noWrap/>
            <w:vAlign w:val="bottom"/>
            <w:hideMark/>
          </w:tcPr>
          <w:p w14:paraId="2D009B6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241</w:t>
            </w:r>
          </w:p>
        </w:tc>
      </w:tr>
      <w:tr w:rsidR="00EE4837" w:rsidRPr="007239A6" w14:paraId="17043BB2" w14:textId="77777777" w:rsidTr="00181ACD">
        <w:trPr>
          <w:trHeight w:val="288"/>
        </w:trPr>
        <w:tc>
          <w:tcPr>
            <w:tcW w:w="1586" w:type="dxa"/>
            <w:tcBorders>
              <w:top w:val="nil"/>
              <w:left w:val="nil"/>
              <w:bottom w:val="nil"/>
              <w:right w:val="nil"/>
            </w:tcBorders>
            <w:shd w:val="clear" w:color="auto" w:fill="auto"/>
            <w:noWrap/>
            <w:vAlign w:val="bottom"/>
            <w:hideMark/>
          </w:tcPr>
          <w:p w14:paraId="7C3FABF7"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Greenwich</w:t>
            </w:r>
          </w:p>
        </w:tc>
        <w:tc>
          <w:tcPr>
            <w:tcW w:w="1261" w:type="dxa"/>
            <w:tcBorders>
              <w:top w:val="nil"/>
              <w:left w:val="nil"/>
              <w:bottom w:val="nil"/>
              <w:right w:val="nil"/>
            </w:tcBorders>
            <w:shd w:val="clear" w:color="auto" w:fill="auto"/>
            <w:noWrap/>
            <w:vAlign w:val="bottom"/>
            <w:hideMark/>
          </w:tcPr>
          <w:p w14:paraId="31B5152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109,425.7</w:t>
            </w:r>
          </w:p>
        </w:tc>
        <w:tc>
          <w:tcPr>
            <w:tcW w:w="960" w:type="dxa"/>
            <w:tcBorders>
              <w:top w:val="nil"/>
              <w:left w:val="nil"/>
              <w:bottom w:val="nil"/>
              <w:right w:val="nil"/>
            </w:tcBorders>
            <w:shd w:val="clear" w:color="auto" w:fill="auto"/>
            <w:noWrap/>
            <w:vAlign w:val="bottom"/>
            <w:hideMark/>
          </w:tcPr>
          <w:p w14:paraId="0AFA844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1773</w:t>
            </w:r>
          </w:p>
        </w:tc>
        <w:tc>
          <w:tcPr>
            <w:tcW w:w="1261" w:type="dxa"/>
            <w:tcBorders>
              <w:top w:val="nil"/>
              <w:left w:val="nil"/>
              <w:bottom w:val="nil"/>
              <w:right w:val="nil"/>
            </w:tcBorders>
            <w:shd w:val="clear" w:color="auto" w:fill="auto"/>
            <w:noWrap/>
            <w:vAlign w:val="bottom"/>
            <w:hideMark/>
          </w:tcPr>
          <w:p w14:paraId="47B0F6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115,699.3</w:t>
            </w:r>
          </w:p>
        </w:tc>
        <w:tc>
          <w:tcPr>
            <w:tcW w:w="960" w:type="dxa"/>
            <w:tcBorders>
              <w:top w:val="nil"/>
              <w:left w:val="nil"/>
              <w:bottom w:val="nil"/>
              <w:right w:val="nil"/>
            </w:tcBorders>
            <w:shd w:val="clear" w:color="auto" w:fill="auto"/>
            <w:noWrap/>
            <w:vAlign w:val="bottom"/>
            <w:hideMark/>
          </w:tcPr>
          <w:p w14:paraId="6AEE5A0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1874</w:t>
            </w:r>
          </w:p>
        </w:tc>
        <w:tc>
          <w:tcPr>
            <w:tcW w:w="1261" w:type="dxa"/>
            <w:tcBorders>
              <w:top w:val="nil"/>
              <w:left w:val="nil"/>
              <w:bottom w:val="nil"/>
              <w:right w:val="nil"/>
            </w:tcBorders>
            <w:shd w:val="clear" w:color="auto" w:fill="auto"/>
            <w:noWrap/>
            <w:vAlign w:val="bottom"/>
            <w:hideMark/>
          </w:tcPr>
          <w:p w14:paraId="54FFC4B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50,009.1</w:t>
            </w:r>
          </w:p>
        </w:tc>
        <w:tc>
          <w:tcPr>
            <w:tcW w:w="960" w:type="dxa"/>
            <w:tcBorders>
              <w:top w:val="nil"/>
              <w:left w:val="nil"/>
              <w:bottom w:val="nil"/>
              <w:right w:val="nil"/>
            </w:tcBorders>
            <w:shd w:val="clear" w:color="auto" w:fill="auto"/>
            <w:noWrap/>
            <w:vAlign w:val="bottom"/>
            <w:hideMark/>
          </w:tcPr>
          <w:p w14:paraId="732A46C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810</w:t>
            </w:r>
          </w:p>
        </w:tc>
        <w:tc>
          <w:tcPr>
            <w:tcW w:w="1261" w:type="dxa"/>
            <w:tcBorders>
              <w:top w:val="nil"/>
              <w:left w:val="nil"/>
              <w:bottom w:val="nil"/>
              <w:right w:val="nil"/>
            </w:tcBorders>
            <w:shd w:val="clear" w:color="auto" w:fill="auto"/>
            <w:noWrap/>
            <w:vAlign w:val="bottom"/>
            <w:hideMark/>
          </w:tcPr>
          <w:p w14:paraId="37E9C67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35,434.5</w:t>
            </w:r>
          </w:p>
        </w:tc>
        <w:tc>
          <w:tcPr>
            <w:tcW w:w="960" w:type="dxa"/>
            <w:tcBorders>
              <w:top w:val="nil"/>
              <w:left w:val="nil"/>
              <w:bottom w:val="nil"/>
              <w:right w:val="nil"/>
            </w:tcBorders>
            <w:shd w:val="clear" w:color="auto" w:fill="auto"/>
            <w:noWrap/>
            <w:vAlign w:val="bottom"/>
            <w:hideMark/>
          </w:tcPr>
          <w:p w14:paraId="1E6E8CA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574</w:t>
            </w:r>
          </w:p>
        </w:tc>
        <w:tc>
          <w:tcPr>
            <w:tcW w:w="1261" w:type="dxa"/>
            <w:tcBorders>
              <w:top w:val="nil"/>
              <w:left w:val="nil"/>
              <w:bottom w:val="nil"/>
              <w:right w:val="nil"/>
            </w:tcBorders>
            <w:shd w:val="clear" w:color="auto" w:fill="auto"/>
            <w:noWrap/>
            <w:vAlign w:val="bottom"/>
            <w:hideMark/>
          </w:tcPr>
          <w:p w14:paraId="1215E37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43,592.9</w:t>
            </w:r>
          </w:p>
        </w:tc>
        <w:tc>
          <w:tcPr>
            <w:tcW w:w="960" w:type="dxa"/>
            <w:tcBorders>
              <w:top w:val="nil"/>
              <w:left w:val="nil"/>
              <w:bottom w:val="nil"/>
              <w:right w:val="nil"/>
            </w:tcBorders>
            <w:shd w:val="clear" w:color="auto" w:fill="auto"/>
            <w:noWrap/>
            <w:vAlign w:val="bottom"/>
            <w:hideMark/>
          </w:tcPr>
          <w:p w14:paraId="6CC32F8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706</w:t>
            </w:r>
          </w:p>
        </w:tc>
      </w:tr>
      <w:tr w:rsidR="00EE4837" w:rsidRPr="007239A6" w14:paraId="2CFDF4C1" w14:textId="77777777" w:rsidTr="00181ACD">
        <w:trPr>
          <w:trHeight w:val="288"/>
        </w:trPr>
        <w:tc>
          <w:tcPr>
            <w:tcW w:w="1586" w:type="dxa"/>
            <w:tcBorders>
              <w:top w:val="nil"/>
              <w:left w:val="nil"/>
              <w:bottom w:val="nil"/>
              <w:right w:val="nil"/>
            </w:tcBorders>
            <w:shd w:val="clear" w:color="auto" w:fill="auto"/>
            <w:noWrap/>
            <w:vAlign w:val="bottom"/>
            <w:hideMark/>
          </w:tcPr>
          <w:p w14:paraId="1872DEBA"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Griswold</w:t>
            </w:r>
          </w:p>
        </w:tc>
        <w:tc>
          <w:tcPr>
            <w:tcW w:w="1261" w:type="dxa"/>
            <w:tcBorders>
              <w:top w:val="nil"/>
              <w:left w:val="nil"/>
              <w:bottom w:val="nil"/>
              <w:right w:val="nil"/>
            </w:tcBorders>
            <w:shd w:val="clear" w:color="auto" w:fill="auto"/>
            <w:noWrap/>
            <w:vAlign w:val="bottom"/>
            <w:hideMark/>
          </w:tcPr>
          <w:p w14:paraId="09D74ED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2,177.3</w:t>
            </w:r>
          </w:p>
        </w:tc>
        <w:tc>
          <w:tcPr>
            <w:tcW w:w="960" w:type="dxa"/>
            <w:tcBorders>
              <w:top w:val="nil"/>
              <w:left w:val="nil"/>
              <w:bottom w:val="nil"/>
              <w:right w:val="nil"/>
            </w:tcBorders>
            <w:shd w:val="clear" w:color="auto" w:fill="auto"/>
            <w:noWrap/>
            <w:vAlign w:val="bottom"/>
            <w:hideMark/>
          </w:tcPr>
          <w:p w14:paraId="23F8CD6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182</w:t>
            </w:r>
          </w:p>
        </w:tc>
        <w:tc>
          <w:tcPr>
            <w:tcW w:w="1261" w:type="dxa"/>
            <w:tcBorders>
              <w:top w:val="nil"/>
              <w:left w:val="nil"/>
              <w:bottom w:val="nil"/>
              <w:right w:val="nil"/>
            </w:tcBorders>
            <w:shd w:val="clear" w:color="auto" w:fill="auto"/>
            <w:noWrap/>
            <w:vAlign w:val="bottom"/>
            <w:hideMark/>
          </w:tcPr>
          <w:p w14:paraId="1AEC917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1,772.5</w:t>
            </w:r>
          </w:p>
        </w:tc>
        <w:tc>
          <w:tcPr>
            <w:tcW w:w="960" w:type="dxa"/>
            <w:tcBorders>
              <w:top w:val="nil"/>
              <w:left w:val="nil"/>
              <w:bottom w:val="nil"/>
              <w:right w:val="nil"/>
            </w:tcBorders>
            <w:shd w:val="clear" w:color="auto" w:fill="auto"/>
            <w:noWrap/>
            <w:vAlign w:val="bottom"/>
            <w:hideMark/>
          </w:tcPr>
          <w:p w14:paraId="0095E3D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148</w:t>
            </w:r>
          </w:p>
        </w:tc>
        <w:tc>
          <w:tcPr>
            <w:tcW w:w="1261" w:type="dxa"/>
            <w:tcBorders>
              <w:top w:val="nil"/>
              <w:left w:val="nil"/>
              <w:bottom w:val="nil"/>
              <w:right w:val="nil"/>
            </w:tcBorders>
            <w:shd w:val="clear" w:color="auto" w:fill="auto"/>
            <w:noWrap/>
            <w:vAlign w:val="bottom"/>
            <w:hideMark/>
          </w:tcPr>
          <w:p w14:paraId="115285E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485.7</w:t>
            </w:r>
          </w:p>
        </w:tc>
        <w:tc>
          <w:tcPr>
            <w:tcW w:w="960" w:type="dxa"/>
            <w:tcBorders>
              <w:top w:val="nil"/>
              <w:left w:val="nil"/>
              <w:bottom w:val="nil"/>
              <w:right w:val="nil"/>
            </w:tcBorders>
            <w:shd w:val="clear" w:color="auto" w:fill="auto"/>
            <w:noWrap/>
            <w:vAlign w:val="bottom"/>
            <w:hideMark/>
          </w:tcPr>
          <w:p w14:paraId="25E6A2E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w:t>
            </w:r>
          </w:p>
        </w:tc>
        <w:tc>
          <w:tcPr>
            <w:tcW w:w="1261" w:type="dxa"/>
            <w:tcBorders>
              <w:top w:val="nil"/>
              <w:left w:val="nil"/>
              <w:bottom w:val="nil"/>
              <w:right w:val="nil"/>
            </w:tcBorders>
            <w:shd w:val="clear" w:color="auto" w:fill="auto"/>
            <w:noWrap/>
            <w:vAlign w:val="bottom"/>
            <w:hideMark/>
          </w:tcPr>
          <w:p w14:paraId="1C03D2D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2,651.9</w:t>
            </w:r>
          </w:p>
        </w:tc>
        <w:tc>
          <w:tcPr>
            <w:tcW w:w="960" w:type="dxa"/>
            <w:tcBorders>
              <w:top w:val="nil"/>
              <w:left w:val="nil"/>
              <w:bottom w:val="nil"/>
              <w:right w:val="nil"/>
            </w:tcBorders>
            <w:shd w:val="clear" w:color="auto" w:fill="auto"/>
            <w:noWrap/>
            <w:vAlign w:val="bottom"/>
            <w:hideMark/>
          </w:tcPr>
          <w:p w14:paraId="59BD5C2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222</w:t>
            </w:r>
          </w:p>
        </w:tc>
        <w:tc>
          <w:tcPr>
            <w:tcW w:w="1261" w:type="dxa"/>
            <w:tcBorders>
              <w:top w:val="nil"/>
              <w:left w:val="nil"/>
              <w:bottom w:val="nil"/>
              <w:right w:val="nil"/>
            </w:tcBorders>
            <w:shd w:val="clear" w:color="auto" w:fill="auto"/>
            <w:noWrap/>
            <w:vAlign w:val="bottom"/>
            <w:hideMark/>
          </w:tcPr>
          <w:p w14:paraId="50857A5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1,554.2</w:t>
            </w:r>
          </w:p>
        </w:tc>
        <w:tc>
          <w:tcPr>
            <w:tcW w:w="960" w:type="dxa"/>
            <w:tcBorders>
              <w:top w:val="nil"/>
              <w:left w:val="nil"/>
              <w:bottom w:val="nil"/>
              <w:right w:val="nil"/>
            </w:tcBorders>
            <w:shd w:val="clear" w:color="auto" w:fill="auto"/>
            <w:noWrap/>
            <w:vAlign w:val="bottom"/>
            <w:hideMark/>
          </w:tcPr>
          <w:p w14:paraId="2BB3D4F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130</w:t>
            </w:r>
          </w:p>
        </w:tc>
      </w:tr>
      <w:tr w:rsidR="00EE4837" w:rsidRPr="007239A6" w14:paraId="5616CED0" w14:textId="77777777" w:rsidTr="00181ACD">
        <w:trPr>
          <w:trHeight w:val="288"/>
        </w:trPr>
        <w:tc>
          <w:tcPr>
            <w:tcW w:w="1586" w:type="dxa"/>
            <w:tcBorders>
              <w:top w:val="nil"/>
              <w:left w:val="nil"/>
              <w:bottom w:val="nil"/>
              <w:right w:val="nil"/>
            </w:tcBorders>
            <w:shd w:val="clear" w:color="auto" w:fill="auto"/>
            <w:noWrap/>
            <w:vAlign w:val="bottom"/>
            <w:hideMark/>
          </w:tcPr>
          <w:p w14:paraId="25A34E9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Groton</w:t>
            </w:r>
          </w:p>
        </w:tc>
        <w:tc>
          <w:tcPr>
            <w:tcW w:w="1261" w:type="dxa"/>
            <w:tcBorders>
              <w:top w:val="nil"/>
              <w:left w:val="nil"/>
              <w:bottom w:val="nil"/>
              <w:right w:val="nil"/>
            </w:tcBorders>
            <w:shd w:val="clear" w:color="auto" w:fill="auto"/>
            <w:noWrap/>
            <w:vAlign w:val="bottom"/>
            <w:hideMark/>
          </w:tcPr>
          <w:p w14:paraId="050B568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4,744.7</w:t>
            </w:r>
          </w:p>
        </w:tc>
        <w:tc>
          <w:tcPr>
            <w:tcW w:w="960" w:type="dxa"/>
            <w:tcBorders>
              <w:top w:val="nil"/>
              <w:left w:val="nil"/>
              <w:bottom w:val="nil"/>
              <w:right w:val="nil"/>
            </w:tcBorders>
            <w:shd w:val="clear" w:color="auto" w:fill="auto"/>
            <w:noWrap/>
            <w:vAlign w:val="bottom"/>
            <w:hideMark/>
          </w:tcPr>
          <w:p w14:paraId="1F02E75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118</w:t>
            </w:r>
          </w:p>
        </w:tc>
        <w:tc>
          <w:tcPr>
            <w:tcW w:w="1261" w:type="dxa"/>
            <w:tcBorders>
              <w:top w:val="nil"/>
              <w:left w:val="nil"/>
              <w:bottom w:val="nil"/>
              <w:right w:val="nil"/>
            </w:tcBorders>
            <w:shd w:val="clear" w:color="auto" w:fill="auto"/>
            <w:noWrap/>
            <w:vAlign w:val="bottom"/>
            <w:hideMark/>
          </w:tcPr>
          <w:p w14:paraId="4D72935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4,222.2</w:t>
            </w:r>
          </w:p>
        </w:tc>
        <w:tc>
          <w:tcPr>
            <w:tcW w:w="960" w:type="dxa"/>
            <w:tcBorders>
              <w:top w:val="nil"/>
              <w:left w:val="nil"/>
              <w:bottom w:val="nil"/>
              <w:right w:val="nil"/>
            </w:tcBorders>
            <w:shd w:val="clear" w:color="auto" w:fill="auto"/>
            <w:noWrap/>
            <w:vAlign w:val="bottom"/>
            <w:hideMark/>
          </w:tcPr>
          <w:p w14:paraId="3F8BE93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105</w:t>
            </w:r>
          </w:p>
        </w:tc>
        <w:tc>
          <w:tcPr>
            <w:tcW w:w="1261" w:type="dxa"/>
            <w:tcBorders>
              <w:top w:val="nil"/>
              <w:left w:val="nil"/>
              <w:bottom w:val="nil"/>
              <w:right w:val="nil"/>
            </w:tcBorders>
            <w:shd w:val="clear" w:color="auto" w:fill="auto"/>
            <w:noWrap/>
            <w:vAlign w:val="bottom"/>
            <w:hideMark/>
          </w:tcPr>
          <w:p w14:paraId="757ED70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20,903.0</w:t>
            </w:r>
          </w:p>
        </w:tc>
        <w:tc>
          <w:tcPr>
            <w:tcW w:w="960" w:type="dxa"/>
            <w:tcBorders>
              <w:top w:val="nil"/>
              <w:left w:val="nil"/>
              <w:bottom w:val="nil"/>
              <w:right w:val="nil"/>
            </w:tcBorders>
            <w:shd w:val="clear" w:color="auto" w:fill="auto"/>
            <w:noWrap/>
            <w:vAlign w:val="bottom"/>
            <w:hideMark/>
          </w:tcPr>
          <w:p w14:paraId="1E0CA8B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521</w:t>
            </w:r>
          </w:p>
        </w:tc>
        <w:tc>
          <w:tcPr>
            <w:tcW w:w="1261" w:type="dxa"/>
            <w:tcBorders>
              <w:top w:val="nil"/>
              <w:left w:val="nil"/>
              <w:bottom w:val="nil"/>
              <w:right w:val="nil"/>
            </w:tcBorders>
            <w:shd w:val="clear" w:color="auto" w:fill="auto"/>
            <w:noWrap/>
            <w:vAlign w:val="bottom"/>
            <w:hideMark/>
          </w:tcPr>
          <w:p w14:paraId="66B09D7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9,689.1</w:t>
            </w:r>
          </w:p>
        </w:tc>
        <w:tc>
          <w:tcPr>
            <w:tcW w:w="960" w:type="dxa"/>
            <w:tcBorders>
              <w:top w:val="nil"/>
              <w:left w:val="nil"/>
              <w:bottom w:val="nil"/>
              <w:right w:val="nil"/>
            </w:tcBorders>
            <w:shd w:val="clear" w:color="auto" w:fill="auto"/>
            <w:noWrap/>
            <w:vAlign w:val="bottom"/>
            <w:hideMark/>
          </w:tcPr>
          <w:p w14:paraId="2096A2A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241</w:t>
            </w:r>
          </w:p>
        </w:tc>
        <w:tc>
          <w:tcPr>
            <w:tcW w:w="1261" w:type="dxa"/>
            <w:tcBorders>
              <w:top w:val="nil"/>
              <w:left w:val="nil"/>
              <w:bottom w:val="nil"/>
              <w:right w:val="nil"/>
            </w:tcBorders>
            <w:shd w:val="clear" w:color="auto" w:fill="auto"/>
            <w:noWrap/>
            <w:vAlign w:val="bottom"/>
            <w:hideMark/>
          </w:tcPr>
          <w:p w14:paraId="4DEB674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15,461.5</w:t>
            </w:r>
          </w:p>
        </w:tc>
        <w:tc>
          <w:tcPr>
            <w:tcW w:w="960" w:type="dxa"/>
            <w:tcBorders>
              <w:top w:val="nil"/>
              <w:left w:val="nil"/>
              <w:bottom w:val="nil"/>
              <w:right w:val="nil"/>
            </w:tcBorders>
            <w:shd w:val="clear" w:color="auto" w:fill="auto"/>
            <w:noWrap/>
            <w:vAlign w:val="bottom"/>
            <w:hideMark/>
          </w:tcPr>
          <w:p w14:paraId="5AE674A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385</w:t>
            </w:r>
          </w:p>
        </w:tc>
      </w:tr>
      <w:tr w:rsidR="00EE4837" w:rsidRPr="007239A6" w14:paraId="4E511C28" w14:textId="77777777" w:rsidTr="00181ACD">
        <w:trPr>
          <w:trHeight w:val="288"/>
        </w:trPr>
        <w:tc>
          <w:tcPr>
            <w:tcW w:w="1586" w:type="dxa"/>
            <w:tcBorders>
              <w:top w:val="nil"/>
              <w:left w:val="nil"/>
              <w:bottom w:val="nil"/>
              <w:right w:val="nil"/>
            </w:tcBorders>
            <w:shd w:val="clear" w:color="auto" w:fill="auto"/>
            <w:noWrap/>
            <w:vAlign w:val="bottom"/>
            <w:hideMark/>
          </w:tcPr>
          <w:p w14:paraId="4408E3B8"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lastRenderedPageBreak/>
              <w:t>Guilford</w:t>
            </w:r>
          </w:p>
        </w:tc>
        <w:tc>
          <w:tcPr>
            <w:tcW w:w="1261" w:type="dxa"/>
            <w:tcBorders>
              <w:top w:val="nil"/>
              <w:left w:val="nil"/>
              <w:bottom w:val="nil"/>
              <w:right w:val="nil"/>
            </w:tcBorders>
            <w:shd w:val="clear" w:color="auto" w:fill="auto"/>
            <w:noWrap/>
            <w:vAlign w:val="bottom"/>
            <w:hideMark/>
          </w:tcPr>
          <w:p w14:paraId="2414E1B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9,401.6</w:t>
            </w:r>
          </w:p>
        </w:tc>
        <w:tc>
          <w:tcPr>
            <w:tcW w:w="960" w:type="dxa"/>
            <w:tcBorders>
              <w:top w:val="nil"/>
              <w:left w:val="nil"/>
              <w:bottom w:val="nil"/>
              <w:right w:val="nil"/>
            </w:tcBorders>
            <w:shd w:val="clear" w:color="auto" w:fill="auto"/>
            <w:noWrap/>
            <w:vAlign w:val="bottom"/>
            <w:hideMark/>
          </w:tcPr>
          <w:p w14:paraId="5024C59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420</w:t>
            </w:r>
          </w:p>
        </w:tc>
        <w:tc>
          <w:tcPr>
            <w:tcW w:w="1261" w:type="dxa"/>
            <w:tcBorders>
              <w:top w:val="nil"/>
              <w:left w:val="nil"/>
              <w:bottom w:val="nil"/>
              <w:right w:val="nil"/>
            </w:tcBorders>
            <w:shd w:val="clear" w:color="auto" w:fill="auto"/>
            <w:noWrap/>
            <w:vAlign w:val="bottom"/>
            <w:hideMark/>
          </w:tcPr>
          <w:p w14:paraId="2DBDC31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11,316.2</w:t>
            </w:r>
          </w:p>
        </w:tc>
        <w:tc>
          <w:tcPr>
            <w:tcW w:w="960" w:type="dxa"/>
            <w:tcBorders>
              <w:top w:val="nil"/>
              <w:left w:val="nil"/>
              <w:bottom w:val="nil"/>
              <w:right w:val="nil"/>
            </w:tcBorders>
            <w:shd w:val="clear" w:color="auto" w:fill="auto"/>
            <w:noWrap/>
            <w:vAlign w:val="bottom"/>
            <w:hideMark/>
          </w:tcPr>
          <w:p w14:paraId="63F340B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506</w:t>
            </w:r>
          </w:p>
        </w:tc>
        <w:tc>
          <w:tcPr>
            <w:tcW w:w="1261" w:type="dxa"/>
            <w:tcBorders>
              <w:top w:val="nil"/>
              <w:left w:val="nil"/>
              <w:bottom w:val="nil"/>
              <w:right w:val="nil"/>
            </w:tcBorders>
            <w:shd w:val="clear" w:color="auto" w:fill="auto"/>
            <w:noWrap/>
            <w:vAlign w:val="bottom"/>
            <w:hideMark/>
          </w:tcPr>
          <w:p w14:paraId="0607B9F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4,091.0</w:t>
            </w:r>
          </w:p>
        </w:tc>
        <w:tc>
          <w:tcPr>
            <w:tcW w:w="960" w:type="dxa"/>
            <w:tcBorders>
              <w:top w:val="nil"/>
              <w:left w:val="nil"/>
              <w:bottom w:val="nil"/>
              <w:right w:val="nil"/>
            </w:tcBorders>
            <w:shd w:val="clear" w:color="auto" w:fill="auto"/>
            <w:noWrap/>
            <w:vAlign w:val="bottom"/>
            <w:hideMark/>
          </w:tcPr>
          <w:p w14:paraId="7176767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183</w:t>
            </w:r>
          </w:p>
        </w:tc>
        <w:tc>
          <w:tcPr>
            <w:tcW w:w="1261" w:type="dxa"/>
            <w:tcBorders>
              <w:top w:val="nil"/>
              <w:left w:val="nil"/>
              <w:bottom w:val="nil"/>
              <w:right w:val="nil"/>
            </w:tcBorders>
            <w:shd w:val="clear" w:color="auto" w:fill="auto"/>
            <w:noWrap/>
            <w:vAlign w:val="bottom"/>
            <w:hideMark/>
          </w:tcPr>
          <w:p w14:paraId="68AAF05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9,309.3</w:t>
            </w:r>
          </w:p>
        </w:tc>
        <w:tc>
          <w:tcPr>
            <w:tcW w:w="960" w:type="dxa"/>
            <w:tcBorders>
              <w:top w:val="nil"/>
              <w:left w:val="nil"/>
              <w:bottom w:val="nil"/>
              <w:right w:val="nil"/>
            </w:tcBorders>
            <w:shd w:val="clear" w:color="auto" w:fill="auto"/>
            <w:noWrap/>
            <w:vAlign w:val="bottom"/>
            <w:hideMark/>
          </w:tcPr>
          <w:p w14:paraId="00D24BD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416</w:t>
            </w:r>
          </w:p>
        </w:tc>
        <w:tc>
          <w:tcPr>
            <w:tcW w:w="1261" w:type="dxa"/>
            <w:tcBorders>
              <w:top w:val="nil"/>
              <w:left w:val="nil"/>
              <w:bottom w:val="nil"/>
              <w:right w:val="nil"/>
            </w:tcBorders>
            <w:shd w:val="clear" w:color="auto" w:fill="auto"/>
            <w:noWrap/>
            <w:vAlign w:val="bottom"/>
            <w:hideMark/>
          </w:tcPr>
          <w:p w14:paraId="1EB4269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6,488.0</w:t>
            </w:r>
          </w:p>
        </w:tc>
        <w:tc>
          <w:tcPr>
            <w:tcW w:w="960" w:type="dxa"/>
            <w:tcBorders>
              <w:top w:val="nil"/>
              <w:left w:val="nil"/>
              <w:bottom w:val="nil"/>
              <w:right w:val="nil"/>
            </w:tcBorders>
            <w:shd w:val="clear" w:color="auto" w:fill="auto"/>
            <w:noWrap/>
            <w:vAlign w:val="bottom"/>
            <w:hideMark/>
          </w:tcPr>
          <w:p w14:paraId="003A0EA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290</w:t>
            </w:r>
          </w:p>
        </w:tc>
      </w:tr>
      <w:tr w:rsidR="00EE4837" w:rsidRPr="007239A6" w14:paraId="69113957" w14:textId="77777777" w:rsidTr="00181ACD">
        <w:trPr>
          <w:trHeight w:val="288"/>
        </w:trPr>
        <w:tc>
          <w:tcPr>
            <w:tcW w:w="1586" w:type="dxa"/>
            <w:tcBorders>
              <w:top w:val="nil"/>
              <w:left w:val="nil"/>
              <w:bottom w:val="nil"/>
              <w:right w:val="nil"/>
            </w:tcBorders>
            <w:shd w:val="clear" w:color="auto" w:fill="auto"/>
            <w:noWrap/>
            <w:vAlign w:val="bottom"/>
            <w:hideMark/>
          </w:tcPr>
          <w:p w14:paraId="18B219E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Haddam</w:t>
            </w:r>
          </w:p>
        </w:tc>
        <w:tc>
          <w:tcPr>
            <w:tcW w:w="1261" w:type="dxa"/>
            <w:tcBorders>
              <w:top w:val="nil"/>
              <w:left w:val="nil"/>
              <w:bottom w:val="nil"/>
              <w:right w:val="nil"/>
            </w:tcBorders>
            <w:shd w:val="clear" w:color="auto" w:fill="auto"/>
            <w:noWrap/>
            <w:vAlign w:val="bottom"/>
            <w:hideMark/>
          </w:tcPr>
          <w:p w14:paraId="0398FB5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2,536.8</w:t>
            </w:r>
          </w:p>
        </w:tc>
        <w:tc>
          <w:tcPr>
            <w:tcW w:w="960" w:type="dxa"/>
            <w:tcBorders>
              <w:top w:val="nil"/>
              <w:left w:val="nil"/>
              <w:bottom w:val="nil"/>
              <w:right w:val="nil"/>
            </w:tcBorders>
            <w:shd w:val="clear" w:color="auto" w:fill="auto"/>
            <w:noWrap/>
            <w:vAlign w:val="bottom"/>
            <w:hideMark/>
          </w:tcPr>
          <w:p w14:paraId="1EEF814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304</w:t>
            </w:r>
          </w:p>
        </w:tc>
        <w:tc>
          <w:tcPr>
            <w:tcW w:w="1261" w:type="dxa"/>
            <w:tcBorders>
              <w:top w:val="nil"/>
              <w:left w:val="nil"/>
              <w:bottom w:val="nil"/>
              <w:right w:val="nil"/>
            </w:tcBorders>
            <w:shd w:val="clear" w:color="auto" w:fill="auto"/>
            <w:noWrap/>
            <w:vAlign w:val="bottom"/>
            <w:hideMark/>
          </w:tcPr>
          <w:p w14:paraId="653ED1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2,703.1</w:t>
            </w:r>
          </w:p>
        </w:tc>
        <w:tc>
          <w:tcPr>
            <w:tcW w:w="960" w:type="dxa"/>
            <w:tcBorders>
              <w:top w:val="nil"/>
              <w:left w:val="nil"/>
              <w:bottom w:val="nil"/>
              <w:right w:val="nil"/>
            </w:tcBorders>
            <w:shd w:val="clear" w:color="auto" w:fill="auto"/>
            <w:noWrap/>
            <w:vAlign w:val="bottom"/>
            <w:hideMark/>
          </w:tcPr>
          <w:p w14:paraId="3603F6A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324</w:t>
            </w:r>
          </w:p>
        </w:tc>
        <w:tc>
          <w:tcPr>
            <w:tcW w:w="1261" w:type="dxa"/>
            <w:tcBorders>
              <w:top w:val="nil"/>
              <w:left w:val="nil"/>
              <w:bottom w:val="nil"/>
              <w:right w:val="nil"/>
            </w:tcBorders>
            <w:shd w:val="clear" w:color="auto" w:fill="auto"/>
            <w:noWrap/>
            <w:vAlign w:val="bottom"/>
            <w:hideMark/>
          </w:tcPr>
          <w:p w14:paraId="511B03B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594.6</w:t>
            </w:r>
          </w:p>
        </w:tc>
        <w:tc>
          <w:tcPr>
            <w:tcW w:w="960" w:type="dxa"/>
            <w:tcBorders>
              <w:top w:val="nil"/>
              <w:left w:val="nil"/>
              <w:bottom w:val="nil"/>
              <w:right w:val="nil"/>
            </w:tcBorders>
            <w:shd w:val="clear" w:color="auto" w:fill="auto"/>
            <w:noWrap/>
            <w:vAlign w:val="bottom"/>
            <w:hideMark/>
          </w:tcPr>
          <w:p w14:paraId="146A7E8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71</w:t>
            </w:r>
          </w:p>
        </w:tc>
        <w:tc>
          <w:tcPr>
            <w:tcW w:w="1261" w:type="dxa"/>
            <w:tcBorders>
              <w:top w:val="nil"/>
              <w:left w:val="nil"/>
              <w:bottom w:val="nil"/>
              <w:right w:val="nil"/>
            </w:tcBorders>
            <w:shd w:val="clear" w:color="auto" w:fill="auto"/>
            <w:noWrap/>
            <w:vAlign w:val="bottom"/>
            <w:hideMark/>
          </w:tcPr>
          <w:p w14:paraId="54844B2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2,968.3</w:t>
            </w:r>
          </w:p>
        </w:tc>
        <w:tc>
          <w:tcPr>
            <w:tcW w:w="960" w:type="dxa"/>
            <w:tcBorders>
              <w:top w:val="nil"/>
              <w:left w:val="nil"/>
              <w:bottom w:val="nil"/>
              <w:right w:val="nil"/>
            </w:tcBorders>
            <w:shd w:val="clear" w:color="auto" w:fill="auto"/>
            <w:noWrap/>
            <w:vAlign w:val="bottom"/>
            <w:hideMark/>
          </w:tcPr>
          <w:p w14:paraId="724499D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356</w:t>
            </w:r>
          </w:p>
        </w:tc>
        <w:tc>
          <w:tcPr>
            <w:tcW w:w="1261" w:type="dxa"/>
            <w:tcBorders>
              <w:top w:val="nil"/>
              <w:left w:val="nil"/>
              <w:bottom w:val="nil"/>
              <w:right w:val="nil"/>
            </w:tcBorders>
            <w:shd w:val="clear" w:color="auto" w:fill="auto"/>
            <w:noWrap/>
            <w:vAlign w:val="bottom"/>
            <w:hideMark/>
          </w:tcPr>
          <w:p w14:paraId="4CCDE80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1,749.3</w:t>
            </w:r>
          </w:p>
        </w:tc>
        <w:tc>
          <w:tcPr>
            <w:tcW w:w="960" w:type="dxa"/>
            <w:tcBorders>
              <w:top w:val="nil"/>
              <w:left w:val="nil"/>
              <w:bottom w:val="nil"/>
              <w:right w:val="nil"/>
            </w:tcBorders>
            <w:shd w:val="clear" w:color="auto" w:fill="auto"/>
            <w:noWrap/>
            <w:vAlign w:val="bottom"/>
            <w:hideMark/>
          </w:tcPr>
          <w:p w14:paraId="124B2D3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210</w:t>
            </w:r>
          </w:p>
        </w:tc>
      </w:tr>
      <w:tr w:rsidR="00EE4837" w:rsidRPr="007239A6" w14:paraId="7322AEAD" w14:textId="77777777" w:rsidTr="00181ACD">
        <w:trPr>
          <w:trHeight w:val="288"/>
        </w:trPr>
        <w:tc>
          <w:tcPr>
            <w:tcW w:w="1586" w:type="dxa"/>
            <w:tcBorders>
              <w:top w:val="nil"/>
              <w:left w:val="nil"/>
              <w:bottom w:val="nil"/>
              <w:right w:val="nil"/>
            </w:tcBorders>
            <w:shd w:val="clear" w:color="auto" w:fill="auto"/>
            <w:noWrap/>
            <w:vAlign w:val="bottom"/>
            <w:hideMark/>
          </w:tcPr>
          <w:p w14:paraId="54D1B391"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Hamden</w:t>
            </w:r>
          </w:p>
        </w:tc>
        <w:tc>
          <w:tcPr>
            <w:tcW w:w="1261" w:type="dxa"/>
            <w:tcBorders>
              <w:top w:val="nil"/>
              <w:left w:val="nil"/>
              <w:bottom w:val="nil"/>
              <w:right w:val="nil"/>
            </w:tcBorders>
            <w:shd w:val="clear" w:color="auto" w:fill="auto"/>
            <w:noWrap/>
            <w:vAlign w:val="bottom"/>
            <w:hideMark/>
          </w:tcPr>
          <w:p w14:paraId="0BE2B04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12,949.6</w:t>
            </w:r>
          </w:p>
        </w:tc>
        <w:tc>
          <w:tcPr>
            <w:tcW w:w="960" w:type="dxa"/>
            <w:tcBorders>
              <w:top w:val="nil"/>
              <w:left w:val="nil"/>
              <w:bottom w:val="nil"/>
              <w:right w:val="nil"/>
            </w:tcBorders>
            <w:shd w:val="clear" w:color="auto" w:fill="auto"/>
            <w:noWrap/>
            <w:vAlign w:val="bottom"/>
            <w:hideMark/>
          </w:tcPr>
          <w:p w14:paraId="129124C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211</w:t>
            </w:r>
          </w:p>
        </w:tc>
        <w:tc>
          <w:tcPr>
            <w:tcW w:w="1261" w:type="dxa"/>
            <w:tcBorders>
              <w:top w:val="nil"/>
              <w:left w:val="nil"/>
              <w:bottom w:val="nil"/>
              <w:right w:val="nil"/>
            </w:tcBorders>
            <w:shd w:val="clear" w:color="auto" w:fill="auto"/>
            <w:noWrap/>
            <w:vAlign w:val="bottom"/>
            <w:hideMark/>
          </w:tcPr>
          <w:p w14:paraId="653DAF3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12,809.9</w:t>
            </w:r>
          </w:p>
        </w:tc>
        <w:tc>
          <w:tcPr>
            <w:tcW w:w="960" w:type="dxa"/>
            <w:tcBorders>
              <w:top w:val="nil"/>
              <w:left w:val="nil"/>
              <w:bottom w:val="nil"/>
              <w:right w:val="nil"/>
            </w:tcBorders>
            <w:shd w:val="clear" w:color="auto" w:fill="auto"/>
            <w:noWrap/>
            <w:vAlign w:val="bottom"/>
            <w:hideMark/>
          </w:tcPr>
          <w:p w14:paraId="0A782D5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208</w:t>
            </w:r>
          </w:p>
        </w:tc>
        <w:tc>
          <w:tcPr>
            <w:tcW w:w="1261" w:type="dxa"/>
            <w:tcBorders>
              <w:top w:val="nil"/>
              <w:left w:val="nil"/>
              <w:bottom w:val="nil"/>
              <w:right w:val="nil"/>
            </w:tcBorders>
            <w:shd w:val="clear" w:color="auto" w:fill="auto"/>
            <w:noWrap/>
            <w:vAlign w:val="bottom"/>
            <w:hideMark/>
          </w:tcPr>
          <w:p w14:paraId="3F706AA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9,719.9</w:t>
            </w:r>
          </w:p>
        </w:tc>
        <w:tc>
          <w:tcPr>
            <w:tcW w:w="960" w:type="dxa"/>
            <w:tcBorders>
              <w:top w:val="nil"/>
              <w:left w:val="nil"/>
              <w:bottom w:val="nil"/>
              <w:right w:val="nil"/>
            </w:tcBorders>
            <w:shd w:val="clear" w:color="auto" w:fill="auto"/>
            <w:noWrap/>
            <w:vAlign w:val="bottom"/>
            <w:hideMark/>
          </w:tcPr>
          <w:p w14:paraId="56B9434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158</w:t>
            </w:r>
          </w:p>
        </w:tc>
        <w:tc>
          <w:tcPr>
            <w:tcW w:w="1261" w:type="dxa"/>
            <w:tcBorders>
              <w:top w:val="nil"/>
              <w:left w:val="nil"/>
              <w:bottom w:val="nil"/>
              <w:right w:val="nil"/>
            </w:tcBorders>
            <w:shd w:val="clear" w:color="auto" w:fill="auto"/>
            <w:noWrap/>
            <w:vAlign w:val="bottom"/>
            <w:hideMark/>
          </w:tcPr>
          <w:p w14:paraId="1C5762E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15,955.7</w:t>
            </w:r>
          </w:p>
        </w:tc>
        <w:tc>
          <w:tcPr>
            <w:tcW w:w="960" w:type="dxa"/>
            <w:tcBorders>
              <w:top w:val="nil"/>
              <w:left w:val="nil"/>
              <w:bottom w:val="nil"/>
              <w:right w:val="nil"/>
            </w:tcBorders>
            <w:shd w:val="clear" w:color="auto" w:fill="auto"/>
            <w:noWrap/>
            <w:vAlign w:val="bottom"/>
            <w:hideMark/>
          </w:tcPr>
          <w:p w14:paraId="5F7AC6E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260</w:t>
            </w:r>
          </w:p>
        </w:tc>
        <w:tc>
          <w:tcPr>
            <w:tcW w:w="1261" w:type="dxa"/>
            <w:tcBorders>
              <w:top w:val="nil"/>
              <w:left w:val="nil"/>
              <w:bottom w:val="nil"/>
              <w:right w:val="nil"/>
            </w:tcBorders>
            <w:shd w:val="clear" w:color="auto" w:fill="auto"/>
            <w:noWrap/>
            <w:vAlign w:val="bottom"/>
            <w:hideMark/>
          </w:tcPr>
          <w:p w14:paraId="042E987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12,729.6</w:t>
            </w:r>
          </w:p>
        </w:tc>
        <w:tc>
          <w:tcPr>
            <w:tcW w:w="960" w:type="dxa"/>
            <w:tcBorders>
              <w:top w:val="nil"/>
              <w:left w:val="nil"/>
              <w:bottom w:val="nil"/>
              <w:right w:val="nil"/>
            </w:tcBorders>
            <w:shd w:val="clear" w:color="auto" w:fill="auto"/>
            <w:noWrap/>
            <w:vAlign w:val="bottom"/>
            <w:hideMark/>
          </w:tcPr>
          <w:p w14:paraId="0A9AE3D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207</w:t>
            </w:r>
          </w:p>
        </w:tc>
      </w:tr>
      <w:tr w:rsidR="00EE4837" w:rsidRPr="007239A6" w14:paraId="1AF4B816" w14:textId="77777777" w:rsidTr="00181ACD">
        <w:trPr>
          <w:trHeight w:val="288"/>
        </w:trPr>
        <w:tc>
          <w:tcPr>
            <w:tcW w:w="1586" w:type="dxa"/>
            <w:tcBorders>
              <w:top w:val="nil"/>
              <w:left w:val="nil"/>
              <w:bottom w:val="nil"/>
              <w:right w:val="nil"/>
            </w:tcBorders>
            <w:shd w:val="clear" w:color="auto" w:fill="auto"/>
            <w:noWrap/>
            <w:vAlign w:val="bottom"/>
            <w:hideMark/>
          </w:tcPr>
          <w:p w14:paraId="14941651"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Hampton</w:t>
            </w:r>
          </w:p>
        </w:tc>
        <w:tc>
          <w:tcPr>
            <w:tcW w:w="1261" w:type="dxa"/>
            <w:tcBorders>
              <w:top w:val="nil"/>
              <w:left w:val="nil"/>
              <w:bottom w:val="nil"/>
              <w:right w:val="nil"/>
            </w:tcBorders>
            <w:shd w:val="clear" w:color="auto" w:fill="auto"/>
            <w:noWrap/>
            <w:vAlign w:val="bottom"/>
            <w:hideMark/>
          </w:tcPr>
          <w:p w14:paraId="1028D17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504.2</w:t>
            </w:r>
          </w:p>
        </w:tc>
        <w:tc>
          <w:tcPr>
            <w:tcW w:w="960" w:type="dxa"/>
            <w:tcBorders>
              <w:top w:val="nil"/>
              <w:left w:val="nil"/>
              <w:bottom w:val="nil"/>
              <w:right w:val="nil"/>
            </w:tcBorders>
            <w:shd w:val="clear" w:color="auto" w:fill="auto"/>
            <w:noWrap/>
            <w:vAlign w:val="bottom"/>
            <w:hideMark/>
          </w:tcPr>
          <w:p w14:paraId="08F8398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278</w:t>
            </w:r>
          </w:p>
        </w:tc>
        <w:tc>
          <w:tcPr>
            <w:tcW w:w="1261" w:type="dxa"/>
            <w:tcBorders>
              <w:top w:val="nil"/>
              <w:left w:val="nil"/>
              <w:bottom w:val="nil"/>
              <w:right w:val="nil"/>
            </w:tcBorders>
            <w:shd w:val="clear" w:color="auto" w:fill="auto"/>
            <w:noWrap/>
            <w:vAlign w:val="bottom"/>
            <w:hideMark/>
          </w:tcPr>
          <w:p w14:paraId="35C43A4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452.1</w:t>
            </w:r>
          </w:p>
        </w:tc>
        <w:tc>
          <w:tcPr>
            <w:tcW w:w="960" w:type="dxa"/>
            <w:tcBorders>
              <w:top w:val="nil"/>
              <w:left w:val="nil"/>
              <w:bottom w:val="nil"/>
              <w:right w:val="nil"/>
            </w:tcBorders>
            <w:shd w:val="clear" w:color="auto" w:fill="auto"/>
            <w:noWrap/>
            <w:vAlign w:val="bottom"/>
            <w:hideMark/>
          </w:tcPr>
          <w:p w14:paraId="43FC72C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249</w:t>
            </w:r>
          </w:p>
        </w:tc>
        <w:tc>
          <w:tcPr>
            <w:tcW w:w="1261" w:type="dxa"/>
            <w:tcBorders>
              <w:top w:val="nil"/>
              <w:left w:val="nil"/>
              <w:bottom w:val="nil"/>
              <w:right w:val="nil"/>
            </w:tcBorders>
            <w:shd w:val="clear" w:color="auto" w:fill="auto"/>
            <w:noWrap/>
            <w:vAlign w:val="bottom"/>
            <w:hideMark/>
          </w:tcPr>
          <w:p w14:paraId="46CC5D5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54.3</w:t>
            </w:r>
          </w:p>
        </w:tc>
        <w:tc>
          <w:tcPr>
            <w:tcW w:w="960" w:type="dxa"/>
            <w:tcBorders>
              <w:top w:val="nil"/>
              <w:left w:val="nil"/>
              <w:bottom w:val="nil"/>
              <w:right w:val="nil"/>
            </w:tcBorders>
            <w:shd w:val="clear" w:color="auto" w:fill="auto"/>
            <w:noWrap/>
            <w:vAlign w:val="bottom"/>
            <w:hideMark/>
          </w:tcPr>
          <w:p w14:paraId="2924AD2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w:t>
            </w:r>
          </w:p>
        </w:tc>
        <w:tc>
          <w:tcPr>
            <w:tcW w:w="1261" w:type="dxa"/>
            <w:tcBorders>
              <w:top w:val="nil"/>
              <w:left w:val="nil"/>
              <w:bottom w:val="nil"/>
              <w:right w:val="nil"/>
            </w:tcBorders>
            <w:shd w:val="clear" w:color="auto" w:fill="auto"/>
            <w:noWrap/>
            <w:vAlign w:val="bottom"/>
            <w:hideMark/>
          </w:tcPr>
          <w:p w14:paraId="7F13FBB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526.7</w:t>
            </w:r>
          </w:p>
        </w:tc>
        <w:tc>
          <w:tcPr>
            <w:tcW w:w="960" w:type="dxa"/>
            <w:tcBorders>
              <w:top w:val="nil"/>
              <w:left w:val="nil"/>
              <w:bottom w:val="nil"/>
              <w:right w:val="nil"/>
            </w:tcBorders>
            <w:shd w:val="clear" w:color="auto" w:fill="auto"/>
            <w:noWrap/>
            <w:vAlign w:val="bottom"/>
            <w:hideMark/>
          </w:tcPr>
          <w:p w14:paraId="3CABDAE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290</w:t>
            </w:r>
          </w:p>
        </w:tc>
        <w:tc>
          <w:tcPr>
            <w:tcW w:w="1261" w:type="dxa"/>
            <w:tcBorders>
              <w:top w:val="nil"/>
              <w:left w:val="nil"/>
              <w:bottom w:val="nil"/>
              <w:right w:val="nil"/>
            </w:tcBorders>
            <w:shd w:val="clear" w:color="auto" w:fill="auto"/>
            <w:noWrap/>
            <w:vAlign w:val="bottom"/>
            <w:hideMark/>
          </w:tcPr>
          <w:p w14:paraId="27F9472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281.2</w:t>
            </w:r>
          </w:p>
        </w:tc>
        <w:tc>
          <w:tcPr>
            <w:tcW w:w="960" w:type="dxa"/>
            <w:tcBorders>
              <w:top w:val="nil"/>
              <w:left w:val="nil"/>
              <w:bottom w:val="nil"/>
              <w:right w:val="nil"/>
            </w:tcBorders>
            <w:shd w:val="clear" w:color="auto" w:fill="auto"/>
            <w:noWrap/>
            <w:vAlign w:val="bottom"/>
            <w:hideMark/>
          </w:tcPr>
          <w:p w14:paraId="212B735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155</w:t>
            </w:r>
          </w:p>
        </w:tc>
      </w:tr>
      <w:tr w:rsidR="00EE4837" w:rsidRPr="007239A6" w14:paraId="150C9136" w14:textId="77777777" w:rsidTr="00181ACD">
        <w:trPr>
          <w:trHeight w:val="288"/>
        </w:trPr>
        <w:tc>
          <w:tcPr>
            <w:tcW w:w="1586" w:type="dxa"/>
            <w:tcBorders>
              <w:top w:val="nil"/>
              <w:left w:val="nil"/>
              <w:bottom w:val="nil"/>
              <w:right w:val="nil"/>
            </w:tcBorders>
            <w:shd w:val="clear" w:color="auto" w:fill="auto"/>
            <w:noWrap/>
            <w:vAlign w:val="bottom"/>
            <w:hideMark/>
          </w:tcPr>
          <w:p w14:paraId="3946D18D"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Hartford</w:t>
            </w:r>
          </w:p>
        </w:tc>
        <w:tc>
          <w:tcPr>
            <w:tcW w:w="1261" w:type="dxa"/>
            <w:tcBorders>
              <w:top w:val="nil"/>
              <w:left w:val="nil"/>
              <w:bottom w:val="nil"/>
              <w:right w:val="nil"/>
            </w:tcBorders>
            <w:shd w:val="clear" w:color="auto" w:fill="auto"/>
            <w:noWrap/>
            <w:vAlign w:val="bottom"/>
            <w:hideMark/>
          </w:tcPr>
          <w:p w14:paraId="6CE1D27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12,094.0</w:t>
            </w:r>
          </w:p>
        </w:tc>
        <w:tc>
          <w:tcPr>
            <w:tcW w:w="960" w:type="dxa"/>
            <w:tcBorders>
              <w:top w:val="nil"/>
              <w:left w:val="nil"/>
              <w:bottom w:val="nil"/>
              <w:right w:val="nil"/>
            </w:tcBorders>
            <w:shd w:val="clear" w:color="auto" w:fill="auto"/>
            <w:noWrap/>
            <w:vAlign w:val="bottom"/>
            <w:hideMark/>
          </w:tcPr>
          <w:p w14:paraId="2E54A4B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97</w:t>
            </w:r>
          </w:p>
        </w:tc>
        <w:tc>
          <w:tcPr>
            <w:tcW w:w="1261" w:type="dxa"/>
            <w:tcBorders>
              <w:top w:val="nil"/>
              <w:left w:val="nil"/>
              <w:bottom w:val="nil"/>
              <w:right w:val="nil"/>
            </w:tcBorders>
            <w:shd w:val="clear" w:color="auto" w:fill="auto"/>
            <w:noWrap/>
            <w:vAlign w:val="bottom"/>
            <w:hideMark/>
          </w:tcPr>
          <w:p w14:paraId="0040711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7,727.6</w:t>
            </w:r>
          </w:p>
        </w:tc>
        <w:tc>
          <w:tcPr>
            <w:tcW w:w="960" w:type="dxa"/>
            <w:tcBorders>
              <w:top w:val="nil"/>
              <w:left w:val="nil"/>
              <w:bottom w:val="nil"/>
              <w:right w:val="nil"/>
            </w:tcBorders>
            <w:shd w:val="clear" w:color="auto" w:fill="auto"/>
            <w:noWrap/>
            <w:vAlign w:val="bottom"/>
            <w:hideMark/>
          </w:tcPr>
          <w:p w14:paraId="433EC94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62</w:t>
            </w:r>
          </w:p>
        </w:tc>
        <w:tc>
          <w:tcPr>
            <w:tcW w:w="1261" w:type="dxa"/>
            <w:tcBorders>
              <w:top w:val="nil"/>
              <w:left w:val="nil"/>
              <w:bottom w:val="nil"/>
              <w:right w:val="nil"/>
            </w:tcBorders>
            <w:shd w:val="clear" w:color="auto" w:fill="auto"/>
            <w:noWrap/>
            <w:vAlign w:val="bottom"/>
            <w:hideMark/>
          </w:tcPr>
          <w:p w14:paraId="5ABBBD4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95,987.7</w:t>
            </w:r>
          </w:p>
        </w:tc>
        <w:tc>
          <w:tcPr>
            <w:tcW w:w="960" w:type="dxa"/>
            <w:tcBorders>
              <w:top w:val="nil"/>
              <w:left w:val="nil"/>
              <w:bottom w:val="nil"/>
              <w:right w:val="nil"/>
            </w:tcBorders>
            <w:shd w:val="clear" w:color="auto" w:fill="auto"/>
            <w:noWrap/>
            <w:vAlign w:val="bottom"/>
            <w:hideMark/>
          </w:tcPr>
          <w:p w14:paraId="6F58F58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767</w:t>
            </w:r>
          </w:p>
        </w:tc>
        <w:tc>
          <w:tcPr>
            <w:tcW w:w="1261" w:type="dxa"/>
            <w:tcBorders>
              <w:top w:val="nil"/>
              <w:left w:val="nil"/>
              <w:bottom w:val="nil"/>
              <w:right w:val="nil"/>
            </w:tcBorders>
            <w:shd w:val="clear" w:color="auto" w:fill="auto"/>
            <w:noWrap/>
            <w:vAlign w:val="bottom"/>
            <w:hideMark/>
          </w:tcPr>
          <w:p w14:paraId="42D11B3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15,196.1</w:t>
            </w:r>
          </w:p>
        </w:tc>
        <w:tc>
          <w:tcPr>
            <w:tcW w:w="960" w:type="dxa"/>
            <w:tcBorders>
              <w:top w:val="nil"/>
              <w:left w:val="nil"/>
              <w:bottom w:val="nil"/>
              <w:right w:val="nil"/>
            </w:tcBorders>
            <w:shd w:val="clear" w:color="auto" w:fill="auto"/>
            <w:noWrap/>
            <w:vAlign w:val="bottom"/>
            <w:hideMark/>
          </w:tcPr>
          <w:p w14:paraId="6B0E8DC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121</w:t>
            </w:r>
          </w:p>
        </w:tc>
        <w:tc>
          <w:tcPr>
            <w:tcW w:w="1261" w:type="dxa"/>
            <w:tcBorders>
              <w:top w:val="nil"/>
              <w:left w:val="nil"/>
              <w:bottom w:val="nil"/>
              <w:right w:val="nil"/>
            </w:tcBorders>
            <w:shd w:val="clear" w:color="auto" w:fill="auto"/>
            <w:noWrap/>
            <w:vAlign w:val="bottom"/>
            <w:hideMark/>
          </w:tcPr>
          <w:p w14:paraId="286137D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56,998.3</w:t>
            </w:r>
          </w:p>
        </w:tc>
        <w:tc>
          <w:tcPr>
            <w:tcW w:w="960" w:type="dxa"/>
            <w:tcBorders>
              <w:top w:val="nil"/>
              <w:left w:val="nil"/>
              <w:bottom w:val="nil"/>
              <w:right w:val="nil"/>
            </w:tcBorders>
            <w:shd w:val="clear" w:color="auto" w:fill="auto"/>
            <w:noWrap/>
            <w:vAlign w:val="bottom"/>
            <w:hideMark/>
          </w:tcPr>
          <w:p w14:paraId="34A7664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456</w:t>
            </w:r>
          </w:p>
        </w:tc>
      </w:tr>
      <w:tr w:rsidR="00EE4837" w:rsidRPr="007239A6" w14:paraId="6E3E2988" w14:textId="77777777" w:rsidTr="00181ACD">
        <w:trPr>
          <w:trHeight w:val="288"/>
        </w:trPr>
        <w:tc>
          <w:tcPr>
            <w:tcW w:w="1586" w:type="dxa"/>
            <w:tcBorders>
              <w:top w:val="nil"/>
              <w:left w:val="nil"/>
              <w:bottom w:val="nil"/>
              <w:right w:val="nil"/>
            </w:tcBorders>
            <w:shd w:val="clear" w:color="auto" w:fill="auto"/>
            <w:noWrap/>
            <w:vAlign w:val="bottom"/>
            <w:hideMark/>
          </w:tcPr>
          <w:p w14:paraId="1E2B740D"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Hartland</w:t>
            </w:r>
          </w:p>
        </w:tc>
        <w:tc>
          <w:tcPr>
            <w:tcW w:w="1261" w:type="dxa"/>
            <w:tcBorders>
              <w:top w:val="nil"/>
              <w:left w:val="nil"/>
              <w:bottom w:val="nil"/>
              <w:right w:val="nil"/>
            </w:tcBorders>
            <w:shd w:val="clear" w:color="auto" w:fill="auto"/>
            <w:noWrap/>
            <w:vAlign w:val="bottom"/>
            <w:hideMark/>
          </w:tcPr>
          <w:p w14:paraId="040FC96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441.4</w:t>
            </w:r>
          </w:p>
        </w:tc>
        <w:tc>
          <w:tcPr>
            <w:tcW w:w="960" w:type="dxa"/>
            <w:tcBorders>
              <w:top w:val="nil"/>
              <w:left w:val="nil"/>
              <w:bottom w:val="nil"/>
              <w:right w:val="nil"/>
            </w:tcBorders>
            <w:shd w:val="clear" w:color="auto" w:fill="auto"/>
            <w:noWrap/>
            <w:vAlign w:val="bottom"/>
            <w:hideMark/>
          </w:tcPr>
          <w:p w14:paraId="6CAD399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196</w:t>
            </w:r>
          </w:p>
        </w:tc>
        <w:tc>
          <w:tcPr>
            <w:tcW w:w="1261" w:type="dxa"/>
            <w:tcBorders>
              <w:top w:val="nil"/>
              <w:left w:val="nil"/>
              <w:bottom w:val="nil"/>
              <w:right w:val="nil"/>
            </w:tcBorders>
            <w:shd w:val="clear" w:color="auto" w:fill="auto"/>
            <w:noWrap/>
            <w:vAlign w:val="bottom"/>
            <w:hideMark/>
          </w:tcPr>
          <w:p w14:paraId="4C88691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428.1</w:t>
            </w:r>
          </w:p>
        </w:tc>
        <w:tc>
          <w:tcPr>
            <w:tcW w:w="960" w:type="dxa"/>
            <w:tcBorders>
              <w:top w:val="nil"/>
              <w:left w:val="nil"/>
              <w:bottom w:val="nil"/>
              <w:right w:val="nil"/>
            </w:tcBorders>
            <w:shd w:val="clear" w:color="auto" w:fill="auto"/>
            <w:noWrap/>
            <w:vAlign w:val="bottom"/>
            <w:hideMark/>
          </w:tcPr>
          <w:p w14:paraId="2835948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190</w:t>
            </w:r>
          </w:p>
        </w:tc>
        <w:tc>
          <w:tcPr>
            <w:tcW w:w="1261" w:type="dxa"/>
            <w:tcBorders>
              <w:top w:val="nil"/>
              <w:left w:val="nil"/>
              <w:bottom w:val="nil"/>
              <w:right w:val="nil"/>
            </w:tcBorders>
            <w:shd w:val="clear" w:color="auto" w:fill="auto"/>
            <w:noWrap/>
            <w:vAlign w:val="bottom"/>
            <w:hideMark/>
          </w:tcPr>
          <w:p w14:paraId="2A8F660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50.6</w:t>
            </w:r>
          </w:p>
        </w:tc>
        <w:tc>
          <w:tcPr>
            <w:tcW w:w="960" w:type="dxa"/>
            <w:tcBorders>
              <w:top w:val="nil"/>
              <w:left w:val="nil"/>
              <w:bottom w:val="nil"/>
              <w:right w:val="nil"/>
            </w:tcBorders>
            <w:shd w:val="clear" w:color="auto" w:fill="auto"/>
            <w:noWrap/>
            <w:vAlign w:val="bottom"/>
            <w:hideMark/>
          </w:tcPr>
          <w:p w14:paraId="5A498E0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w:t>
            </w:r>
          </w:p>
        </w:tc>
        <w:tc>
          <w:tcPr>
            <w:tcW w:w="1261" w:type="dxa"/>
            <w:tcBorders>
              <w:top w:val="nil"/>
              <w:left w:val="nil"/>
              <w:bottom w:val="nil"/>
              <w:right w:val="nil"/>
            </w:tcBorders>
            <w:shd w:val="clear" w:color="auto" w:fill="auto"/>
            <w:noWrap/>
            <w:vAlign w:val="bottom"/>
            <w:hideMark/>
          </w:tcPr>
          <w:p w14:paraId="52DA95E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615.8</w:t>
            </w:r>
          </w:p>
        </w:tc>
        <w:tc>
          <w:tcPr>
            <w:tcW w:w="960" w:type="dxa"/>
            <w:tcBorders>
              <w:top w:val="nil"/>
              <w:left w:val="nil"/>
              <w:bottom w:val="nil"/>
              <w:right w:val="nil"/>
            </w:tcBorders>
            <w:shd w:val="clear" w:color="auto" w:fill="auto"/>
            <w:noWrap/>
            <w:vAlign w:val="bottom"/>
            <w:hideMark/>
          </w:tcPr>
          <w:p w14:paraId="26B6C12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273</w:t>
            </w:r>
          </w:p>
        </w:tc>
        <w:tc>
          <w:tcPr>
            <w:tcW w:w="1261" w:type="dxa"/>
            <w:tcBorders>
              <w:top w:val="nil"/>
              <w:left w:val="nil"/>
              <w:bottom w:val="nil"/>
              <w:right w:val="nil"/>
            </w:tcBorders>
            <w:shd w:val="clear" w:color="auto" w:fill="auto"/>
            <w:noWrap/>
            <w:vAlign w:val="bottom"/>
            <w:hideMark/>
          </w:tcPr>
          <w:p w14:paraId="4C1D9C8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314.3</w:t>
            </w:r>
          </w:p>
        </w:tc>
        <w:tc>
          <w:tcPr>
            <w:tcW w:w="960" w:type="dxa"/>
            <w:tcBorders>
              <w:top w:val="nil"/>
              <w:left w:val="nil"/>
              <w:bottom w:val="nil"/>
              <w:right w:val="nil"/>
            </w:tcBorders>
            <w:shd w:val="clear" w:color="auto" w:fill="auto"/>
            <w:noWrap/>
            <w:vAlign w:val="bottom"/>
            <w:hideMark/>
          </w:tcPr>
          <w:p w14:paraId="270B0EA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139</w:t>
            </w:r>
          </w:p>
        </w:tc>
      </w:tr>
      <w:tr w:rsidR="00EE4837" w:rsidRPr="007239A6" w14:paraId="0DE3FACF" w14:textId="77777777" w:rsidTr="00181ACD">
        <w:trPr>
          <w:trHeight w:val="288"/>
        </w:trPr>
        <w:tc>
          <w:tcPr>
            <w:tcW w:w="1586" w:type="dxa"/>
            <w:tcBorders>
              <w:top w:val="nil"/>
              <w:left w:val="nil"/>
              <w:bottom w:val="nil"/>
              <w:right w:val="nil"/>
            </w:tcBorders>
            <w:shd w:val="clear" w:color="auto" w:fill="auto"/>
            <w:noWrap/>
            <w:vAlign w:val="bottom"/>
            <w:hideMark/>
          </w:tcPr>
          <w:p w14:paraId="61CC32D3"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Harwinton</w:t>
            </w:r>
          </w:p>
        </w:tc>
        <w:tc>
          <w:tcPr>
            <w:tcW w:w="1261" w:type="dxa"/>
            <w:tcBorders>
              <w:top w:val="nil"/>
              <w:left w:val="nil"/>
              <w:bottom w:val="nil"/>
              <w:right w:val="nil"/>
            </w:tcBorders>
            <w:shd w:val="clear" w:color="auto" w:fill="auto"/>
            <w:noWrap/>
            <w:vAlign w:val="bottom"/>
            <w:hideMark/>
          </w:tcPr>
          <w:p w14:paraId="71C6C28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1,522.4</w:t>
            </w:r>
          </w:p>
        </w:tc>
        <w:tc>
          <w:tcPr>
            <w:tcW w:w="960" w:type="dxa"/>
            <w:tcBorders>
              <w:top w:val="nil"/>
              <w:left w:val="nil"/>
              <w:bottom w:val="nil"/>
              <w:right w:val="nil"/>
            </w:tcBorders>
            <w:shd w:val="clear" w:color="auto" w:fill="auto"/>
            <w:noWrap/>
            <w:vAlign w:val="bottom"/>
            <w:hideMark/>
          </w:tcPr>
          <w:p w14:paraId="7122D61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270</w:t>
            </w:r>
          </w:p>
        </w:tc>
        <w:tc>
          <w:tcPr>
            <w:tcW w:w="1261" w:type="dxa"/>
            <w:tcBorders>
              <w:top w:val="nil"/>
              <w:left w:val="nil"/>
              <w:bottom w:val="nil"/>
              <w:right w:val="nil"/>
            </w:tcBorders>
            <w:shd w:val="clear" w:color="auto" w:fill="auto"/>
            <w:noWrap/>
            <w:vAlign w:val="bottom"/>
            <w:hideMark/>
          </w:tcPr>
          <w:p w14:paraId="607C312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1,578.8</w:t>
            </w:r>
          </w:p>
        </w:tc>
        <w:tc>
          <w:tcPr>
            <w:tcW w:w="960" w:type="dxa"/>
            <w:tcBorders>
              <w:top w:val="nil"/>
              <w:left w:val="nil"/>
              <w:bottom w:val="nil"/>
              <w:right w:val="nil"/>
            </w:tcBorders>
            <w:shd w:val="clear" w:color="auto" w:fill="auto"/>
            <w:noWrap/>
            <w:vAlign w:val="bottom"/>
            <w:hideMark/>
          </w:tcPr>
          <w:p w14:paraId="1776AEA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280</w:t>
            </w:r>
          </w:p>
        </w:tc>
        <w:tc>
          <w:tcPr>
            <w:tcW w:w="1261" w:type="dxa"/>
            <w:tcBorders>
              <w:top w:val="nil"/>
              <w:left w:val="nil"/>
              <w:bottom w:val="nil"/>
              <w:right w:val="nil"/>
            </w:tcBorders>
            <w:shd w:val="clear" w:color="auto" w:fill="auto"/>
            <w:noWrap/>
            <w:vAlign w:val="bottom"/>
            <w:hideMark/>
          </w:tcPr>
          <w:p w14:paraId="3F176F2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359.0</w:t>
            </w:r>
          </w:p>
        </w:tc>
        <w:tc>
          <w:tcPr>
            <w:tcW w:w="960" w:type="dxa"/>
            <w:tcBorders>
              <w:top w:val="nil"/>
              <w:left w:val="nil"/>
              <w:bottom w:val="nil"/>
              <w:right w:val="nil"/>
            </w:tcBorders>
            <w:shd w:val="clear" w:color="auto" w:fill="auto"/>
            <w:noWrap/>
            <w:vAlign w:val="bottom"/>
            <w:hideMark/>
          </w:tcPr>
          <w:p w14:paraId="010FD1E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64</w:t>
            </w:r>
          </w:p>
        </w:tc>
        <w:tc>
          <w:tcPr>
            <w:tcW w:w="1261" w:type="dxa"/>
            <w:tcBorders>
              <w:top w:val="nil"/>
              <w:left w:val="nil"/>
              <w:bottom w:val="nil"/>
              <w:right w:val="nil"/>
            </w:tcBorders>
            <w:shd w:val="clear" w:color="auto" w:fill="auto"/>
            <w:noWrap/>
            <w:vAlign w:val="bottom"/>
            <w:hideMark/>
          </w:tcPr>
          <w:p w14:paraId="56F4879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2,167.2</w:t>
            </w:r>
          </w:p>
        </w:tc>
        <w:tc>
          <w:tcPr>
            <w:tcW w:w="960" w:type="dxa"/>
            <w:tcBorders>
              <w:top w:val="nil"/>
              <w:left w:val="nil"/>
              <w:bottom w:val="nil"/>
              <w:right w:val="nil"/>
            </w:tcBorders>
            <w:shd w:val="clear" w:color="auto" w:fill="auto"/>
            <w:noWrap/>
            <w:vAlign w:val="bottom"/>
            <w:hideMark/>
          </w:tcPr>
          <w:p w14:paraId="7E02DC0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385</w:t>
            </w:r>
          </w:p>
        </w:tc>
        <w:tc>
          <w:tcPr>
            <w:tcW w:w="1261" w:type="dxa"/>
            <w:tcBorders>
              <w:top w:val="nil"/>
              <w:left w:val="nil"/>
              <w:bottom w:val="nil"/>
              <w:right w:val="nil"/>
            </w:tcBorders>
            <w:shd w:val="clear" w:color="auto" w:fill="auto"/>
            <w:noWrap/>
            <w:vAlign w:val="bottom"/>
            <w:hideMark/>
          </w:tcPr>
          <w:p w14:paraId="4EBF45D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1,138.4</w:t>
            </w:r>
          </w:p>
        </w:tc>
        <w:tc>
          <w:tcPr>
            <w:tcW w:w="960" w:type="dxa"/>
            <w:tcBorders>
              <w:top w:val="nil"/>
              <w:left w:val="nil"/>
              <w:bottom w:val="nil"/>
              <w:right w:val="nil"/>
            </w:tcBorders>
            <w:shd w:val="clear" w:color="auto" w:fill="auto"/>
            <w:noWrap/>
            <w:vAlign w:val="bottom"/>
            <w:hideMark/>
          </w:tcPr>
          <w:p w14:paraId="1AE63DF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202</w:t>
            </w:r>
          </w:p>
        </w:tc>
      </w:tr>
      <w:tr w:rsidR="00EE4837" w:rsidRPr="007239A6" w14:paraId="00BA5524" w14:textId="77777777" w:rsidTr="00181ACD">
        <w:trPr>
          <w:trHeight w:val="288"/>
        </w:trPr>
        <w:tc>
          <w:tcPr>
            <w:tcW w:w="1586" w:type="dxa"/>
            <w:tcBorders>
              <w:top w:val="nil"/>
              <w:left w:val="nil"/>
              <w:bottom w:val="nil"/>
              <w:right w:val="nil"/>
            </w:tcBorders>
            <w:shd w:val="clear" w:color="auto" w:fill="auto"/>
            <w:noWrap/>
            <w:vAlign w:val="bottom"/>
            <w:hideMark/>
          </w:tcPr>
          <w:p w14:paraId="7E199503"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Hebron</w:t>
            </w:r>
          </w:p>
        </w:tc>
        <w:tc>
          <w:tcPr>
            <w:tcW w:w="1261" w:type="dxa"/>
            <w:tcBorders>
              <w:top w:val="nil"/>
              <w:left w:val="nil"/>
              <w:bottom w:val="nil"/>
              <w:right w:val="nil"/>
            </w:tcBorders>
            <w:shd w:val="clear" w:color="auto" w:fill="auto"/>
            <w:noWrap/>
            <w:vAlign w:val="bottom"/>
            <w:hideMark/>
          </w:tcPr>
          <w:p w14:paraId="36768EA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2,961.5</w:t>
            </w:r>
          </w:p>
        </w:tc>
        <w:tc>
          <w:tcPr>
            <w:tcW w:w="960" w:type="dxa"/>
            <w:tcBorders>
              <w:top w:val="nil"/>
              <w:left w:val="nil"/>
              <w:bottom w:val="nil"/>
              <w:right w:val="nil"/>
            </w:tcBorders>
            <w:shd w:val="clear" w:color="auto" w:fill="auto"/>
            <w:noWrap/>
            <w:vAlign w:val="bottom"/>
            <w:hideMark/>
          </w:tcPr>
          <w:p w14:paraId="7D4C3C9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307</w:t>
            </w:r>
          </w:p>
        </w:tc>
        <w:tc>
          <w:tcPr>
            <w:tcW w:w="1261" w:type="dxa"/>
            <w:tcBorders>
              <w:top w:val="nil"/>
              <w:left w:val="nil"/>
              <w:bottom w:val="nil"/>
              <w:right w:val="nil"/>
            </w:tcBorders>
            <w:shd w:val="clear" w:color="auto" w:fill="auto"/>
            <w:noWrap/>
            <w:vAlign w:val="bottom"/>
            <w:hideMark/>
          </w:tcPr>
          <w:p w14:paraId="70BE54F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3,254.1</w:t>
            </w:r>
          </w:p>
        </w:tc>
        <w:tc>
          <w:tcPr>
            <w:tcW w:w="960" w:type="dxa"/>
            <w:tcBorders>
              <w:top w:val="nil"/>
              <w:left w:val="nil"/>
              <w:bottom w:val="nil"/>
              <w:right w:val="nil"/>
            </w:tcBorders>
            <w:shd w:val="clear" w:color="auto" w:fill="auto"/>
            <w:noWrap/>
            <w:vAlign w:val="bottom"/>
            <w:hideMark/>
          </w:tcPr>
          <w:p w14:paraId="50CE3A0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338</w:t>
            </w:r>
          </w:p>
        </w:tc>
        <w:tc>
          <w:tcPr>
            <w:tcW w:w="1261" w:type="dxa"/>
            <w:tcBorders>
              <w:top w:val="nil"/>
              <w:left w:val="nil"/>
              <w:bottom w:val="nil"/>
              <w:right w:val="nil"/>
            </w:tcBorders>
            <w:shd w:val="clear" w:color="auto" w:fill="auto"/>
            <w:noWrap/>
            <w:vAlign w:val="bottom"/>
            <w:hideMark/>
          </w:tcPr>
          <w:p w14:paraId="1294341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687.1</w:t>
            </w:r>
          </w:p>
        </w:tc>
        <w:tc>
          <w:tcPr>
            <w:tcW w:w="960" w:type="dxa"/>
            <w:tcBorders>
              <w:top w:val="nil"/>
              <w:left w:val="nil"/>
              <w:bottom w:val="nil"/>
              <w:right w:val="nil"/>
            </w:tcBorders>
            <w:shd w:val="clear" w:color="auto" w:fill="auto"/>
            <w:noWrap/>
            <w:vAlign w:val="bottom"/>
            <w:hideMark/>
          </w:tcPr>
          <w:p w14:paraId="5A9E6C1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71</w:t>
            </w:r>
          </w:p>
        </w:tc>
        <w:tc>
          <w:tcPr>
            <w:tcW w:w="1261" w:type="dxa"/>
            <w:tcBorders>
              <w:top w:val="nil"/>
              <w:left w:val="nil"/>
              <w:bottom w:val="nil"/>
              <w:right w:val="nil"/>
            </w:tcBorders>
            <w:shd w:val="clear" w:color="auto" w:fill="auto"/>
            <w:noWrap/>
            <w:vAlign w:val="bottom"/>
            <w:hideMark/>
          </w:tcPr>
          <w:p w14:paraId="0AA6324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3,894.8</w:t>
            </w:r>
          </w:p>
        </w:tc>
        <w:tc>
          <w:tcPr>
            <w:tcW w:w="960" w:type="dxa"/>
            <w:tcBorders>
              <w:top w:val="nil"/>
              <w:left w:val="nil"/>
              <w:bottom w:val="nil"/>
              <w:right w:val="nil"/>
            </w:tcBorders>
            <w:shd w:val="clear" w:color="auto" w:fill="auto"/>
            <w:noWrap/>
            <w:vAlign w:val="bottom"/>
            <w:hideMark/>
          </w:tcPr>
          <w:p w14:paraId="24E3D24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404</w:t>
            </w:r>
          </w:p>
        </w:tc>
        <w:tc>
          <w:tcPr>
            <w:tcW w:w="1261" w:type="dxa"/>
            <w:tcBorders>
              <w:top w:val="nil"/>
              <w:left w:val="nil"/>
              <w:bottom w:val="nil"/>
              <w:right w:val="nil"/>
            </w:tcBorders>
            <w:shd w:val="clear" w:color="auto" w:fill="auto"/>
            <w:noWrap/>
            <w:vAlign w:val="bottom"/>
            <w:hideMark/>
          </w:tcPr>
          <w:p w14:paraId="530659F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2,196.0</w:t>
            </w:r>
          </w:p>
        </w:tc>
        <w:tc>
          <w:tcPr>
            <w:tcW w:w="960" w:type="dxa"/>
            <w:tcBorders>
              <w:top w:val="nil"/>
              <w:left w:val="nil"/>
              <w:bottom w:val="nil"/>
              <w:right w:val="nil"/>
            </w:tcBorders>
            <w:shd w:val="clear" w:color="auto" w:fill="auto"/>
            <w:noWrap/>
            <w:vAlign w:val="bottom"/>
            <w:hideMark/>
          </w:tcPr>
          <w:p w14:paraId="35B520D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228</w:t>
            </w:r>
          </w:p>
        </w:tc>
      </w:tr>
      <w:tr w:rsidR="00EE4837" w:rsidRPr="007239A6" w14:paraId="1A778B47" w14:textId="77777777" w:rsidTr="00181ACD">
        <w:trPr>
          <w:trHeight w:val="288"/>
        </w:trPr>
        <w:tc>
          <w:tcPr>
            <w:tcW w:w="1586" w:type="dxa"/>
            <w:tcBorders>
              <w:top w:val="nil"/>
              <w:left w:val="nil"/>
              <w:bottom w:val="nil"/>
              <w:right w:val="nil"/>
            </w:tcBorders>
            <w:shd w:val="clear" w:color="auto" w:fill="auto"/>
            <w:noWrap/>
            <w:vAlign w:val="bottom"/>
            <w:hideMark/>
          </w:tcPr>
          <w:p w14:paraId="076108E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Kent</w:t>
            </w:r>
          </w:p>
        </w:tc>
        <w:tc>
          <w:tcPr>
            <w:tcW w:w="1261" w:type="dxa"/>
            <w:tcBorders>
              <w:top w:val="nil"/>
              <w:left w:val="nil"/>
              <w:bottom w:val="nil"/>
              <w:right w:val="nil"/>
            </w:tcBorders>
            <w:shd w:val="clear" w:color="auto" w:fill="auto"/>
            <w:noWrap/>
            <w:vAlign w:val="bottom"/>
            <w:hideMark/>
          </w:tcPr>
          <w:p w14:paraId="309FD3C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804.8</w:t>
            </w:r>
          </w:p>
        </w:tc>
        <w:tc>
          <w:tcPr>
            <w:tcW w:w="960" w:type="dxa"/>
            <w:tcBorders>
              <w:top w:val="nil"/>
              <w:left w:val="nil"/>
              <w:bottom w:val="nil"/>
              <w:right w:val="nil"/>
            </w:tcBorders>
            <w:shd w:val="clear" w:color="auto" w:fill="auto"/>
            <w:noWrap/>
            <w:vAlign w:val="bottom"/>
            <w:hideMark/>
          </w:tcPr>
          <w:p w14:paraId="7E8B2A7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272</w:t>
            </w:r>
          </w:p>
        </w:tc>
        <w:tc>
          <w:tcPr>
            <w:tcW w:w="1261" w:type="dxa"/>
            <w:tcBorders>
              <w:top w:val="nil"/>
              <w:left w:val="nil"/>
              <w:bottom w:val="nil"/>
              <w:right w:val="nil"/>
            </w:tcBorders>
            <w:shd w:val="clear" w:color="auto" w:fill="auto"/>
            <w:noWrap/>
            <w:vAlign w:val="bottom"/>
            <w:hideMark/>
          </w:tcPr>
          <w:p w14:paraId="3BE8811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663.7</w:t>
            </w:r>
          </w:p>
        </w:tc>
        <w:tc>
          <w:tcPr>
            <w:tcW w:w="960" w:type="dxa"/>
            <w:tcBorders>
              <w:top w:val="nil"/>
              <w:left w:val="nil"/>
              <w:bottom w:val="nil"/>
              <w:right w:val="nil"/>
            </w:tcBorders>
            <w:shd w:val="clear" w:color="auto" w:fill="auto"/>
            <w:noWrap/>
            <w:vAlign w:val="bottom"/>
            <w:hideMark/>
          </w:tcPr>
          <w:p w14:paraId="61AD229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224</w:t>
            </w:r>
          </w:p>
        </w:tc>
        <w:tc>
          <w:tcPr>
            <w:tcW w:w="1261" w:type="dxa"/>
            <w:tcBorders>
              <w:top w:val="nil"/>
              <w:left w:val="nil"/>
              <w:bottom w:val="nil"/>
              <w:right w:val="nil"/>
            </w:tcBorders>
            <w:shd w:val="clear" w:color="auto" w:fill="auto"/>
            <w:noWrap/>
            <w:vAlign w:val="bottom"/>
            <w:hideMark/>
          </w:tcPr>
          <w:p w14:paraId="4A15403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600.7</w:t>
            </w:r>
          </w:p>
        </w:tc>
        <w:tc>
          <w:tcPr>
            <w:tcW w:w="960" w:type="dxa"/>
            <w:tcBorders>
              <w:top w:val="nil"/>
              <w:left w:val="nil"/>
              <w:bottom w:val="nil"/>
              <w:right w:val="nil"/>
            </w:tcBorders>
            <w:shd w:val="clear" w:color="auto" w:fill="auto"/>
            <w:noWrap/>
            <w:vAlign w:val="bottom"/>
            <w:hideMark/>
          </w:tcPr>
          <w:p w14:paraId="2C4D68C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203</w:t>
            </w:r>
          </w:p>
        </w:tc>
        <w:tc>
          <w:tcPr>
            <w:tcW w:w="1261" w:type="dxa"/>
            <w:tcBorders>
              <w:top w:val="nil"/>
              <w:left w:val="nil"/>
              <w:bottom w:val="nil"/>
              <w:right w:val="nil"/>
            </w:tcBorders>
            <w:shd w:val="clear" w:color="auto" w:fill="auto"/>
            <w:noWrap/>
            <w:vAlign w:val="bottom"/>
            <w:hideMark/>
          </w:tcPr>
          <w:p w14:paraId="30B887B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649.4</w:t>
            </w:r>
          </w:p>
        </w:tc>
        <w:tc>
          <w:tcPr>
            <w:tcW w:w="960" w:type="dxa"/>
            <w:tcBorders>
              <w:top w:val="nil"/>
              <w:left w:val="nil"/>
              <w:bottom w:val="nil"/>
              <w:right w:val="nil"/>
            </w:tcBorders>
            <w:shd w:val="clear" w:color="auto" w:fill="auto"/>
            <w:noWrap/>
            <w:vAlign w:val="bottom"/>
            <w:hideMark/>
          </w:tcPr>
          <w:p w14:paraId="323C060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219</w:t>
            </w:r>
          </w:p>
        </w:tc>
        <w:tc>
          <w:tcPr>
            <w:tcW w:w="1261" w:type="dxa"/>
            <w:tcBorders>
              <w:top w:val="nil"/>
              <w:left w:val="nil"/>
              <w:bottom w:val="nil"/>
              <w:right w:val="nil"/>
            </w:tcBorders>
            <w:shd w:val="clear" w:color="auto" w:fill="auto"/>
            <w:noWrap/>
            <w:vAlign w:val="bottom"/>
            <w:hideMark/>
          </w:tcPr>
          <w:p w14:paraId="43C0D08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627.9</w:t>
            </w:r>
          </w:p>
        </w:tc>
        <w:tc>
          <w:tcPr>
            <w:tcW w:w="960" w:type="dxa"/>
            <w:tcBorders>
              <w:top w:val="nil"/>
              <w:left w:val="nil"/>
              <w:bottom w:val="nil"/>
              <w:right w:val="nil"/>
            </w:tcBorders>
            <w:shd w:val="clear" w:color="auto" w:fill="auto"/>
            <w:noWrap/>
            <w:vAlign w:val="bottom"/>
            <w:hideMark/>
          </w:tcPr>
          <w:p w14:paraId="570CA08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212</w:t>
            </w:r>
          </w:p>
        </w:tc>
      </w:tr>
      <w:tr w:rsidR="00EE4837" w:rsidRPr="007239A6" w14:paraId="0F3BC6E3" w14:textId="77777777" w:rsidTr="00181ACD">
        <w:trPr>
          <w:trHeight w:val="288"/>
        </w:trPr>
        <w:tc>
          <w:tcPr>
            <w:tcW w:w="1586" w:type="dxa"/>
            <w:tcBorders>
              <w:top w:val="nil"/>
              <w:left w:val="nil"/>
              <w:bottom w:val="nil"/>
              <w:right w:val="nil"/>
            </w:tcBorders>
            <w:shd w:val="clear" w:color="auto" w:fill="auto"/>
            <w:noWrap/>
            <w:vAlign w:val="bottom"/>
            <w:hideMark/>
          </w:tcPr>
          <w:p w14:paraId="7726DEA8"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Killingly</w:t>
            </w:r>
          </w:p>
        </w:tc>
        <w:tc>
          <w:tcPr>
            <w:tcW w:w="1261" w:type="dxa"/>
            <w:tcBorders>
              <w:top w:val="nil"/>
              <w:left w:val="nil"/>
              <w:bottom w:val="nil"/>
              <w:right w:val="nil"/>
            </w:tcBorders>
            <w:shd w:val="clear" w:color="auto" w:fill="auto"/>
            <w:noWrap/>
            <w:vAlign w:val="bottom"/>
            <w:hideMark/>
          </w:tcPr>
          <w:p w14:paraId="2938D84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2,883.8</w:t>
            </w:r>
          </w:p>
        </w:tc>
        <w:tc>
          <w:tcPr>
            <w:tcW w:w="960" w:type="dxa"/>
            <w:tcBorders>
              <w:top w:val="nil"/>
              <w:left w:val="nil"/>
              <w:bottom w:val="nil"/>
              <w:right w:val="nil"/>
            </w:tcBorders>
            <w:shd w:val="clear" w:color="auto" w:fill="auto"/>
            <w:noWrap/>
            <w:vAlign w:val="bottom"/>
            <w:hideMark/>
          </w:tcPr>
          <w:p w14:paraId="04CD0DF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167</w:t>
            </w:r>
          </w:p>
        </w:tc>
        <w:tc>
          <w:tcPr>
            <w:tcW w:w="1261" w:type="dxa"/>
            <w:tcBorders>
              <w:top w:val="nil"/>
              <w:left w:val="nil"/>
              <w:bottom w:val="nil"/>
              <w:right w:val="nil"/>
            </w:tcBorders>
            <w:shd w:val="clear" w:color="auto" w:fill="auto"/>
            <w:noWrap/>
            <w:vAlign w:val="bottom"/>
            <w:hideMark/>
          </w:tcPr>
          <w:p w14:paraId="499D296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1,957.9</w:t>
            </w:r>
          </w:p>
        </w:tc>
        <w:tc>
          <w:tcPr>
            <w:tcW w:w="960" w:type="dxa"/>
            <w:tcBorders>
              <w:top w:val="nil"/>
              <w:left w:val="nil"/>
              <w:bottom w:val="nil"/>
              <w:right w:val="nil"/>
            </w:tcBorders>
            <w:shd w:val="clear" w:color="auto" w:fill="auto"/>
            <w:noWrap/>
            <w:vAlign w:val="bottom"/>
            <w:hideMark/>
          </w:tcPr>
          <w:p w14:paraId="2D4A0D2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113</w:t>
            </w:r>
          </w:p>
        </w:tc>
        <w:tc>
          <w:tcPr>
            <w:tcW w:w="1261" w:type="dxa"/>
            <w:tcBorders>
              <w:top w:val="nil"/>
              <w:left w:val="nil"/>
              <w:bottom w:val="nil"/>
              <w:right w:val="nil"/>
            </w:tcBorders>
            <w:shd w:val="clear" w:color="auto" w:fill="auto"/>
            <w:noWrap/>
            <w:vAlign w:val="bottom"/>
            <w:hideMark/>
          </w:tcPr>
          <w:p w14:paraId="0CE6E4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4,172.0</w:t>
            </w:r>
          </w:p>
        </w:tc>
        <w:tc>
          <w:tcPr>
            <w:tcW w:w="960" w:type="dxa"/>
            <w:tcBorders>
              <w:top w:val="nil"/>
              <w:left w:val="nil"/>
              <w:bottom w:val="nil"/>
              <w:right w:val="nil"/>
            </w:tcBorders>
            <w:shd w:val="clear" w:color="auto" w:fill="auto"/>
            <w:noWrap/>
            <w:vAlign w:val="bottom"/>
            <w:hideMark/>
          </w:tcPr>
          <w:p w14:paraId="10E4C50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241</w:t>
            </w:r>
          </w:p>
        </w:tc>
        <w:tc>
          <w:tcPr>
            <w:tcW w:w="1261" w:type="dxa"/>
            <w:tcBorders>
              <w:top w:val="nil"/>
              <w:left w:val="nil"/>
              <w:bottom w:val="nil"/>
              <w:right w:val="nil"/>
            </w:tcBorders>
            <w:shd w:val="clear" w:color="auto" w:fill="auto"/>
            <w:noWrap/>
            <w:vAlign w:val="bottom"/>
            <w:hideMark/>
          </w:tcPr>
          <w:p w14:paraId="3367394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3,116.8</w:t>
            </w:r>
          </w:p>
        </w:tc>
        <w:tc>
          <w:tcPr>
            <w:tcW w:w="960" w:type="dxa"/>
            <w:tcBorders>
              <w:top w:val="nil"/>
              <w:left w:val="nil"/>
              <w:bottom w:val="nil"/>
              <w:right w:val="nil"/>
            </w:tcBorders>
            <w:shd w:val="clear" w:color="auto" w:fill="auto"/>
            <w:noWrap/>
            <w:vAlign w:val="bottom"/>
            <w:hideMark/>
          </w:tcPr>
          <w:p w14:paraId="1A0CC77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180</w:t>
            </w:r>
          </w:p>
        </w:tc>
        <w:tc>
          <w:tcPr>
            <w:tcW w:w="1261" w:type="dxa"/>
            <w:tcBorders>
              <w:top w:val="nil"/>
              <w:left w:val="nil"/>
              <w:bottom w:val="nil"/>
              <w:right w:val="nil"/>
            </w:tcBorders>
            <w:shd w:val="clear" w:color="auto" w:fill="auto"/>
            <w:noWrap/>
            <w:vAlign w:val="bottom"/>
            <w:hideMark/>
          </w:tcPr>
          <w:p w14:paraId="774DBB7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3,685.3</w:t>
            </w:r>
          </w:p>
        </w:tc>
        <w:tc>
          <w:tcPr>
            <w:tcW w:w="960" w:type="dxa"/>
            <w:tcBorders>
              <w:top w:val="nil"/>
              <w:left w:val="nil"/>
              <w:bottom w:val="nil"/>
              <w:right w:val="nil"/>
            </w:tcBorders>
            <w:shd w:val="clear" w:color="auto" w:fill="auto"/>
            <w:noWrap/>
            <w:vAlign w:val="bottom"/>
            <w:hideMark/>
          </w:tcPr>
          <w:p w14:paraId="7C1D686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213</w:t>
            </w:r>
          </w:p>
        </w:tc>
      </w:tr>
      <w:tr w:rsidR="00EE4837" w:rsidRPr="007239A6" w14:paraId="6B203013" w14:textId="77777777" w:rsidTr="00181ACD">
        <w:trPr>
          <w:trHeight w:val="288"/>
        </w:trPr>
        <w:tc>
          <w:tcPr>
            <w:tcW w:w="1586" w:type="dxa"/>
            <w:tcBorders>
              <w:top w:val="nil"/>
              <w:left w:val="nil"/>
              <w:bottom w:val="nil"/>
              <w:right w:val="nil"/>
            </w:tcBorders>
            <w:shd w:val="clear" w:color="auto" w:fill="auto"/>
            <w:noWrap/>
            <w:vAlign w:val="bottom"/>
            <w:hideMark/>
          </w:tcPr>
          <w:p w14:paraId="0349A93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Killingworth</w:t>
            </w:r>
          </w:p>
        </w:tc>
        <w:tc>
          <w:tcPr>
            <w:tcW w:w="1261" w:type="dxa"/>
            <w:tcBorders>
              <w:top w:val="nil"/>
              <w:left w:val="nil"/>
              <w:bottom w:val="nil"/>
              <w:right w:val="nil"/>
            </w:tcBorders>
            <w:shd w:val="clear" w:color="auto" w:fill="auto"/>
            <w:noWrap/>
            <w:vAlign w:val="bottom"/>
            <w:hideMark/>
          </w:tcPr>
          <w:p w14:paraId="3BEE5A8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2,161.6</w:t>
            </w:r>
          </w:p>
        </w:tc>
        <w:tc>
          <w:tcPr>
            <w:tcW w:w="960" w:type="dxa"/>
            <w:tcBorders>
              <w:top w:val="nil"/>
              <w:left w:val="nil"/>
              <w:bottom w:val="nil"/>
              <w:right w:val="nil"/>
            </w:tcBorders>
            <w:shd w:val="clear" w:color="auto" w:fill="auto"/>
            <w:noWrap/>
            <w:vAlign w:val="bottom"/>
            <w:hideMark/>
          </w:tcPr>
          <w:p w14:paraId="4213F74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332</w:t>
            </w:r>
          </w:p>
        </w:tc>
        <w:tc>
          <w:tcPr>
            <w:tcW w:w="1261" w:type="dxa"/>
            <w:tcBorders>
              <w:top w:val="nil"/>
              <w:left w:val="nil"/>
              <w:bottom w:val="nil"/>
              <w:right w:val="nil"/>
            </w:tcBorders>
            <w:shd w:val="clear" w:color="auto" w:fill="auto"/>
            <w:noWrap/>
            <w:vAlign w:val="bottom"/>
            <w:hideMark/>
          </w:tcPr>
          <w:p w14:paraId="1302A13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2,386.1</w:t>
            </w:r>
          </w:p>
        </w:tc>
        <w:tc>
          <w:tcPr>
            <w:tcW w:w="960" w:type="dxa"/>
            <w:tcBorders>
              <w:top w:val="nil"/>
              <w:left w:val="nil"/>
              <w:bottom w:val="nil"/>
              <w:right w:val="nil"/>
            </w:tcBorders>
            <w:shd w:val="clear" w:color="auto" w:fill="auto"/>
            <w:noWrap/>
            <w:vAlign w:val="bottom"/>
            <w:hideMark/>
          </w:tcPr>
          <w:p w14:paraId="66F03BF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367</w:t>
            </w:r>
          </w:p>
        </w:tc>
        <w:tc>
          <w:tcPr>
            <w:tcW w:w="1261" w:type="dxa"/>
            <w:tcBorders>
              <w:top w:val="nil"/>
              <w:left w:val="nil"/>
              <w:bottom w:val="nil"/>
              <w:right w:val="nil"/>
            </w:tcBorders>
            <w:shd w:val="clear" w:color="auto" w:fill="auto"/>
            <w:noWrap/>
            <w:vAlign w:val="bottom"/>
            <w:hideMark/>
          </w:tcPr>
          <w:p w14:paraId="293A0D7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376.4</w:t>
            </w:r>
          </w:p>
        </w:tc>
        <w:tc>
          <w:tcPr>
            <w:tcW w:w="960" w:type="dxa"/>
            <w:tcBorders>
              <w:top w:val="nil"/>
              <w:left w:val="nil"/>
              <w:bottom w:val="nil"/>
              <w:right w:val="nil"/>
            </w:tcBorders>
            <w:shd w:val="clear" w:color="auto" w:fill="auto"/>
            <w:noWrap/>
            <w:vAlign w:val="bottom"/>
            <w:hideMark/>
          </w:tcPr>
          <w:p w14:paraId="332241D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w:t>
            </w:r>
          </w:p>
        </w:tc>
        <w:tc>
          <w:tcPr>
            <w:tcW w:w="1261" w:type="dxa"/>
            <w:tcBorders>
              <w:top w:val="nil"/>
              <w:left w:val="nil"/>
              <w:bottom w:val="nil"/>
              <w:right w:val="nil"/>
            </w:tcBorders>
            <w:shd w:val="clear" w:color="auto" w:fill="auto"/>
            <w:noWrap/>
            <w:vAlign w:val="bottom"/>
            <w:hideMark/>
          </w:tcPr>
          <w:p w14:paraId="4444281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2,601.0</w:t>
            </w:r>
          </w:p>
        </w:tc>
        <w:tc>
          <w:tcPr>
            <w:tcW w:w="960" w:type="dxa"/>
            <w:tcBorders>
              <w:top w:val="nil"/>
              <w:left w:val="nil"/>
              <w:bottom w:val="nil"/>
              <w:right w:val="nil"/>
            </w:tcBorders>
            <w:shd w:val="clear" w:color="auto" w:fill="auto"/>
            <w:noWrap/>
            <w:vAlign w:val="bottom"/>
            <w:hideMark/>
          </w:tcPr>
          <w:p w14:paraId="05C2346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400</w:t>
            </w:r>
          </w:p>
        </w:tc>
        <w:tc>
          <w:tcPr>
            <w:tcW w:w="1261" w:type="dxa"/>
            <w:tcBorders>
              <w:top w:val="nil"/>
              <w:left w:val="nil"/>
              <w:bottom w:val="nil"/>
              <w:right w:val="nil"/>
            </w:tcBorders>
            <w:shd w:val="clear" w:color="auto" w:fill="auto"/>
            <w:noWrap/>
            <w:vAlign w:val="bottom"/>
            <w:hideMark/>
          </w:tcPr>
          <w:p w14:paraId="066007B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1,384.4</w:t>
            </w:r>
          </w:p>
        </w:tc>
        <w:tc>
          <w:tcPr>
            <w:tcW w:w="960" w:type="dxa"/>
            <w:tcBorders>
              <w:top w:val="nil"/>
              <w:left w:val="nil"/>
              <w:bottom w:val="nil"/>
              <w:right w:val="nil"/>
            </w:tcBorders>
            <w:shd w:val="clear" w:color="auto" w:fill="auto"/>
            <w:noWrap/>
            <w:vAlign w:val="bottom"/>
            <w:hideMark/>
          </w:tcPr>
          <w:p w14:paraId="2D13C95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213</w:t>
            </w:r>
          </w:p>
        </w:tc>
      </w:tr>
      <w:tr w:rsidR="00EE4837" w:rsidRPr="007239A6" w14:paraId="4C5D5435" w14:textId="77777777" w:rsidTr="00181ACD">
        <w:trPr>
          <w:trHeight w:val="288"/>
        </w:trPr>
        <w:tc>
          <w:tcPr>
            <w:tcW w:w="1586" w:type="dxa"/>
            <w:tcBorders>
              <w:top w:val="nil"/>
              <w:left w:val="nil"/>
              <w:bottom w:val="nil"/>
              <w:right w:val="nil"/>
            </w:tcBorders>
            <w:shd w:val="clear" w:color="auto" w:fill="auto"/>
            <w:noWrap/>
            <w:vAlign w:val="bottom"/>
            <w:hideMark/>
          </w:tcPr>
          <w:p w14:paraId="4CE13373"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Lebanon</w:t>
            </w:r>
          </w:p>
        </w:tc>
        <w:tc>
          <w:tcPr>
            <w:tcW w:w="1261" w:type="dxa"/>
            <w:tcBorders>
              <w:top w:val="nil"/>
              <w:left w:val="nil"/>
              <w:bottom w:val="nil"/>
              <w:right w:val="nil"/>
            </w:tcBorders>
            <w:shd w:val="clear" w:color="auto" w:fill="auto"/>
            <w:noWrap/>
            <w:vAlign w:val="bottom"/>
            <w:hideMark/>
          </w:tcPr>
          <w:p w14:paraId="767FA80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1,613.2</w:t>
            </w:r>
          </w:p>
        </w:tc>
        <w:tc>
          <w:tcPr>
            <w:tcW w:w="960" w:type="dxa"/>
            <w:tcBorders>
              <w:top w:val="nil"/>
              <w:left w:val="nil"/>
              <w:bottom w:val="nil"/>
              <w:right w:val="nil"/>
            </w:tcBorders>
            <w:shd w:val="clear" w:color="auto" w:fill="auto"/>
            <w:noWrap/>
            <w:vAlign w:val="bottom"/>
            <w:hideMark/>
          </w:tcPr>
          <w:p w14:paraId="1A5D176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220</w:t>
            </w:r>
          </w:p>
        </w:tc>
        <w:tc>
          <w:tcPr>
            <w:tcW w:w="1261" w:type="dxa"/>
            <w:tcBorders>
              <w:top w:val="nil"/>
              <w:left w:val="nil"/>
              <w:bottom w:val="nil"/>
              <w:right w:val="nil"/>
            </w:tcBorders>
            <w:shd w:val="clear" w:color="auto" w:fill="auto"/>
            <w:noWrap/>
            <w:vAlign w:val="bottom"/>
            <w:hideMark/>
          </w:tcPr>
          <w:p w14:paraId="00580A7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1,547.7</w:t>
            </w:r>
          </w:p>
        </w:tc>
        <w:tc>
          <w:tcPr>
            <w:tcW w:w="960" w:type="dxa"/>
            <w:tcBorders>
              <w:top w:val="nil"/>
              <w:left w:val="nil"/>
              <w:bottom w:val="nil"/>
              <w:right w:val="nil"/>
            </w:tcBorders>
            <w:shd w:val="clear" w:color="auto" w:fill="auto"/>
            <w:noWrap/>
            <w:vAlign w:val="bottom"/>
            <w:hideMark/>
          </w:tcPr>
          <w:p w14:paraId="4C96193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211</w:t>
            </w:r>
          </w:p>
        </w:tc>
        <w:tc>
          <w:tcPr>
            <w:tcW w:w="1261" w:type="dxa"/>
            <w:tcBorders>
              <w:top w:val="nil"/>
              <w:left w:val="nil"/>
              <w:bottom w:val="nil"/>
              <w:right w:val="nil"/>
            </w:tcBorders>
            <w:shd w:val="clear" w:color="auto" w:fill="auto"/>
            <w:noWrap/>
            <w:vAlign w:val="bottom"/>
            <w:hideMark/>
          </w:tcPr>
          <w:p w14:paraId="3553719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505.1</w:t>
            </w:r>
          </w:p>
        </w:tc>
        <w:tc>
          <w:tcPr>
            <w:tcW w:w="960" w:type="dxa"/>
            <w:tcBorders>
              <w:top w:val="nil"/>
              <w:left w:val="nil"/>
              <w:bottom w:val="nil"/>
              <w:right w:val="nil"/>
            </w:tcBorders>
            <w:shd w:val="clear" w:color="auto" w:fill="auto"/>
            <w:noWrap/>
            <w:vAlign w:val="bottom"/>
            <w:hideMark/>
          </w:tcPr>
          <w:p w14:paraId="5D3863D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69</w:t>
            </w:r>
          </w:p>
        </w:tc>
        <w:tc>
          <w:tcPr>
            <w:tcW w:w="1261" w:type="dxa"/>
            <w:tcBorders>
              <w:top w:val="nil"/>
              <w:left w:val="nil"/>
              <w:bottom w:val="nil"/>
              <w:right w:val="nil"/>
            </w:tcBorders>
            <w:shd w:val="clear" w:color="auto" w:fill="auto"/>
            <w:noWrap/>
            <w:vAlign w:val="bottom"/>
            <w:hideMark/>
          </w:tcPr>
          <w:p w14:paraId="575B610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2,173.1</w:t>
            </w:r>
          </w:p>
        </w:tc>
        <w:tc>
          <w:tcPr>
            <w:tcW w:w="960" w:type="dxa"/>
            <w:tcBorders>
              <w:top w:val="nil"/>
              <w:left w:val="nil"/>
              <w:bottom w:val="nil"/>
              <w:right w:val="nil"/>
            </w:tcBorders>
            <w:shd w:val="clear" w:color="auto" w:fill="auto"/>
            <w:noWrap/>
            <w:vAlign w:val="bottom"/>
            <w:hideMark/>
          </w:tcPr>
          <w:p w14:paraId="67A7657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297</w:t>
            </w:r>
          </w:p>
        </w:tc>
        <w:tc>
          <w:tcPr>
            <w:tcW w:w="1261" w:type="dxa"/>
            <w:tcBorders>
              <w:top w:val="nil"/>
              <w:left w:val="nil"/>
              <w:bottom w:val="nil"/>
              <w:right w:val="nil"/>
            </w:tcBorders>
            <w:shd w:val="clear" w:color="auto" w:fill="auto"/>
            <w:noWrap/>
            <w:vAlign w:val="bottom"/>
            <w:hideMark/>
          </w:tcPr>
          <w:p w14:paraId="1BEDAC4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1,273.2</w:t>
            </w:r>
          </w:p>
        </w:tc>
        <w:tc>
          <w:tcPr>
            <w:tcW w:w="960" w:type="dxa"/>
            <w:tcBorders>
              <w:top w:val="nil"/>
              <w:left w:val="nil"/>
              <w:bottom w:val="nil"/>
              <w:right w:val="nil"/>
            </w:tcBorders>
            <w:shd w:val="clear" w:color="auto" w:fill="auto"/>
            <w:noWrap/>
            <w:vAlign w:val="bottom"/>
            <w:hideMark/>
          </w:tcPr>
          <w:p w14:paraId="07F7E6C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174</w:t>
            </w:r>
          </w:p>
        </w:tc>
      </w:tr>
      <w:tr w:rsidR="00EE4837" w:rsidRPr="007239A6" w14:paraId="5A9F1C17" w14:textId="77777777" w:rsidTr="00181ACD">
        <w:trPr>
          <w:trHeight w:val="288"/>
        </w:trPr>
        <w:tc>
          <w:tcPr>
            <w:tcW w:w="1586" w:type="dxa"/>
            <w:tcBorders>
              <w:top w:val="nil"/>
              <w:left w:val="nil"/>
              <w:bottom w:val="nil"/>
              <w:right w:val="nil"/>
            </w:tcBorders>
            <w:shd w:val="clear" w:color="auto" w:fill="auto"/>
            <w:noWrap/>
            <w:vAlign w:val="bottom"/>
            <w:hideMark/>
          </w:tcPr>
          <w:p w14:paraId="33744F0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Ledyard</w:t>
            </w:r>
          </w:p>
        </w:tc>
        <w:tc>
          <w:tcPr>
            <w:tcW w:w="1261" w:type="dxa"/>
            <w:tcBorders>
              <w:top w:val="nil"/>
              <w:left w:val="nil"/>
              <w:bottom w:val="nil"/>
              <w:right w:val="nil"/>
            </w:tcBorders>
            <w:shd w:val="clear" w:color="auto" w:fill="auto"/>
            <w:noWrap/>
            <w:vAlign w:val="bottom"/>
            <w:hideMark/>
          </w:tcPr>
          <w:p w14:paraId="10083D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3,393.3</w:t>
            </w:r>
          </w:p>
        </w:tc>
        <w:tc>
          <w:tcPr>
            <w:tcW w:w="960" w:type="dxa"/>
            <w:tcBorders>
              <w:top w:val="nil"/>
              <w:left w:val="nil"/>
              <w:bottom w:val="nil"/>
              <w:right w:val="nil"/>
            </w:tcBorders>
            <w:shd w:val="clear" w:color="auto" w:fill="auto"/>
            <w:noWrap/>
            <w:vAlign w:val="bottom"/>
            <w:hideMark/>
          </w:tcPr>
          <w:p w14:paraId="272CF4D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225</w:t>
            </w:r>
          </w:p>
        </w:tc>
        <w:tc>
          <w:tcPr>
            <w:tcW w:w="1261" w:type="dxa"/>
            <w:tcBorders>
              <w:top w:val="nil"/>
              <w:left w:val="nil"/>
              <w:bottom w:val="nil"/>
              <w:right w:val="nil"/>
            </w:tcBorders>
            <w:shd w:val="clear" w:color="auto" w:fill="auto"/>
            <w:noWrap/>
            <w:vAlign w:val="bottom"/>
            <w:hideMark/>
          </w:tcPr>
          <w:p w14:paraId="02B936D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3,195.8</w:t>
            </w:r>
          </w:p>
        </w:tc>
        <w:tc>
          <w:tcPr>
            <w:tcW w:w="960" w:type="dxa"/>
            <w:tcBorders>
              <w:top w:val="nil"/>
              <w:left w:val="nil"/>
              <w:bottom w:val="nil"/>
              <w:right w:val="nil"/>
            </w:tcBorders>
            <w:shd w:val="clear" w:color="auto" w:fill="auto"/>
            <w:noWrap/>
            <w:vAlign w:val="bottom"/>
            <w:hideMark/>
          </w:tcPr>
          <w:p w14:paraId="167AB1E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212</w:t>
            </w:r>
          </w:p>
        </w:tc>
        <w:tc>
          <w:tcPr>
            <w:tcW w:w="1261" w:type="dxa"/>
            <w:tcBorders>
              <w:top w:val="nil"/>
              <w:left w:val="nil"/>
              <w:bottom w:val="nil"/>
              <w:right w:val="nil"/>
            </w:tcBorders>
            <w:shd w:val="clear" w:color="auto" w:fill="auto"/>
            <w:noWrap/>
            <w:vAlign w:val="bottom"/>
            <w:hideMark/>
          </w:tcPr>
          <w:p w14:paraId="7C088B5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4,145.0</w:t>
            </w:r>
          </w:p>
        </w:tc>
        <w:tc>
          <w:tcPr>
            <w:tcW w:w="960" w:type="dxa"/>
            <w:tcBorders>
              <w:top w:val="nil"/>
              <w:left w:val="nil"/>
              <w:bottom w:val="nil"/>
              <w:right w:val="nil"/>
            </w:tcBorders>
            <w:shd w:val="clear" w:color="auto" w:fill="auto"/>
            <w:noWrap/>
            <w:vAlign w:val="bottom"/>
            <w:hideMark/>
          </w:tcPr>
          <w:p w14:paraId="6ED5986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275</w:t>
            </w:r>
          </w:p>
        </w:tc>
        <w:tc>
          <w:tcPr>
            <w:tcW w:w="1261" w:type="dxa"/>
            <w:tcBorders>
              <w:top w:val="nil"/>
              <w:left w:val="nil"/>
              <w:bottom w:val="nil"/>
              <w:right w:val="nil"/>
            </w:tcBorders>
            <w:shd w:val="clear" w:color="auto" w:fill="auto"/>
            <w:noWrap/>
            <w:vAlign w:val="bottom"/>
            <w:hideMark/>
          </w:tcPr>
          <w:p w14:paraId="1345DDD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4,210.9</w:t>
            </w:r>
          </w:p>
        </w:tc>
        <w:tc>
          <w:tcPr>
            <w:tcW w:w="960" w:type="dxa"/>
            <w:tcBorders>
              <w:top w:val="nil"/>
              <w:left w:val="nil"/>
              <w:bottom w:val="nil"/>
              <w:right w:val="nil"/>
            </w:tcBorders>
            <w:shd w:val="clear" w:color="auto" w:fill="auto"/>
            <w:noWrap/>
            <w:vAlign w:val="bottom"/>
            <w:hideMark/>
          </w:tcPr>
          <w:p w14:paraId="7A5BB91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280</w:t>
            </w:r>
          </w:p>
        </w:tc>
        <w:tc>
          <w:tcPr>
            <w:tcW w:w="1261" w:type="dxa"/>
            <w:tcBorders>
              <w:top w:val="nil"/>
              <w:left w:val="nil"/>
              <w:bottom w:val="nil"/>
              <w:right w:val="nil"/>
            </w:tcBorders>
            <w:shd w:val="clear" w:color="auto" w:fill="auto"/>
            <w:noWrap/>
            <w:vAlign w:val="bottom"/>
            <w:hideMark/>
          </w:tcPr>
          <w:p w14:paraId="2BD8DEE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4,180.1</w:t>
            </w:r>
          </w:p>
        </w:tc>
        <w:tc>
          <w:tcPr>
            <w:tcW w:w="960" w:type="dxa"/>
            <w:tcBorders>
              <w:top w:val="nil"/>
              <w:left w:val="nil"/>
              <w:bottom w:val="nil"/>
              <w:right w:val="nil"/>
            </w:tcBorders>
            <w:shd w:val="clear" w:color="auto" w:fill="auto"/>
            <w:noWrap/>
            <w:vAlign w:val="bottom"/>
            <w:hideMark/>
          </w:tcPr>
          <w:p w14:paraId="39ED2B3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278</w:t>
            </w:r>
          </w:p>
        </w:tc>
      </w:tr>
      <w:tr w:rsidR="00EE4837" w:rsidRPr="007239A6" w14:paraId="464B0029" w14:textId="77777777" w:rsidTr="00181ACD">
        <w:trPr>
          <w:trHeight w:val="288"/>
        </w:trPr>
        <w:tc>
          <w:tcPr>
            <w:tcW w:w="1586" w:type="dxa"/>
            <w:tcBorders>
              <w:top w:val="nil"/>
              <w:left w:val="nil"/>
              <w:bottom w:val="nil"/>
              <w:right w:val="nil"/>
            </w:tcBorders>
            <w:shd w:val="clear" w:color="auto" w:fill="auto"/>
            <w:noWrap/>
            <w:vAlign w:val="bottom"/>
            <w:hideMark/>
          </w:tcPr>
          <w:p w14:paraId="2505930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Lisbon</w:t>
            </w:r>
          </w:p>
        </w:tc>
        <w:tc>
          <w:tcPr>
            <w:tcW w:w="1261" w:type="dxa"/>
            <w:tcBorders>
              <w:top w:val="nil"/>
              <w:left w:val="nil"/>
              <w:bottom w:val="nil"/>
              <w:right w:val="nil"/>
            </w:tcBorders>
            <w:shd w:val="clear" w:color="auto" w:fill="auto"/>
            <w:noWrap/>
            <w:vAlign w:val="bottom"/>
            <w:hideMark/>
          </w:tcPr>
          <w:p w14:paraId="61E5F98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784.4</w:t>
            </w:r>
          </w:p>
        </w:tc>
        <w:tc>
          <w:tcPr>
            <w:tcW w:w="960" w:type="dxa"/>
            <w:tcBorders>
              <w:top w:val="nil"/>
              <w:left w:val="nil"/>
              <w:bottom w:val="nil"/>
              <w:right w:val="nil"/>
            </w:tcBorders>
            <w:shd w:val="clear" w:color="auto" w:fill="auto"/>
            <w:noWrap/>
            <w:vAlign w:val="bottom"/>
            <w:hideMark/>
          </w:tcPr>
          <w:p w14:paraId="4EA2EAF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181</w:t>
            </w:r>
          </w:p>
        </w:tc>
        <w:tc>
          <w:tcPr>
            <w:tcW w:w="1261" w:type="dxa"/>
            <w:tcBorders>
              <w:top w:val="nil"/>
              <w:left w:val="nil"/>
              <w:bottom w:val="nil"/>
              <w:right w:val="nil"/>
            </w:tcBorders>
            <w:shd w:val="clear" w:color="auto" w:fill="auto"/>
            <w:noWrap/>
            <w:vAlign w:val="bottom"/>
            <w:hideMark/>
          </w:tcPr>
          <w:p w14:paraId="5B1DCD2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709.2</w:t>
            </w:r>
          </w:p>
        </w:tc>
        <w:tc>
          <w:tcPr>
            <w:tcW w:w="960" w:type="dxa"/>
            <w:tcBorders>
              <w:top w:val="nil"/>
              <w:left w:val="nil"/>
              <w:bottom w:val="nil"/>
              <w:right w:val="nil"/>
            </w:tcBorders>
            <w:shd w:val="clear" w:color="auto" w:fill="auto"/>
            <w:noWrap/>
            <w:vAlign w:val="bottom"/>
            <w:hideMark/>
          </w:tcPr>
          <w:p w14:paraId="2154BB9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164</w:t>
            </w:r>
          </w:p>
        </w:tc>
        <w:tc>
          <w:tcPr>
            <w:tcW w:w="1261" w:type="dxa"/>
            <w:tcBorders>
              <w:top w:val="nil"/>
              <w:left w:val="nil"/>
              <w:bottom w:val="nil"/>
              <w:right w:val="nil"/>
            </w:tcBorders>
            <w:shd w:val="clear" w:color="auto" w:fill="auto"/>
            <w:noWrap/>
            <w:vAlign w:val="bottom"/>
            <w:hideMark/>
          </w:tcPr>
          <w:p w14:paraId="4AAE83C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451.4</w:t>
            </w:r>
          </w:p>
        </w:tc>
        <w:tc>
          <w:tcPr>
            <w:tcW w:w="960" w:type="dxa"/>
            <w:tcBorders>
              <w:top w:val="nil"/>
              <w:left w:val="nil"/>
              <w:bottom w:val="nil"/>
              <w:right w:val="nil"/>
            </w:tcBorders>
            <w:shd w:val="clear" w:color="auto" w:fill="auto"/>
            <w:noWrap/>
            <w:vAlign w:val="bottom"/>
            <w:hideMark/>
          </w:tcPr>
          <w:p w14:paraId="24031C6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104</w:t>
            </w:r>
          </w:p>
        </w:tc>
        <w:tc>
          <w:tcPr>
            <w:tcW w:w="1261" w:type="dxa"/>
            <w:tcBorders>
              <w:top w:val="nil"/>
              <w:left w:val="nil"/>
              <w:bottom w:val="nil"/>
              <w:right w:val="nil"/>
            </w:tcBorders>
            <w:shd w:val="clear" w:color="auto" w:fill="auto"/>
            <w:noWrap/>
            <w:vAlign w:val="bottom"/>
            <w:hideMark/>
          </w:tcPr>
          <w:p w14:paraId="266649F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1,109.2</w:t>
            </w:r>
          </w:p>
        </w:tc>
        <w:tc>
          <w:tcPr>
            <w:tcW w:w="960" w:type="dxa"/>
            <w:tcBorders>
              <w:top w:val="nil"/>
              <w:left w:val="nil"/>
              <w:bottom w:val="nil"/>
              <w:right w:val="nil"/>
            </w:tcBorders>
            <w:shd w:val="clear" w:color="auto" w:fill="auto"/>
            <w:noWrap/>
            <w:vAlign w:val="bottom"/>
            <w:hideMark/>
          </w:tcPr>
          <w:p w14:paraId="3D30E77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256</w:t>
            </w:r>
          </w:p>
        </w:tc>
        <w:tc>
          <w:tcPr>
            <w:tcW w:w="1261" w:type="dxa"/>
            <w:tcBorders>
              <w:top w:val="nil"/>
              <w:left w:val="nil"/>
              <w:bottom w:val="nil"/>
              <w:right w:val="nil"/>
            </w:tcBorders>
            <w:shd w:val="clear" w:color="auto" w:fill="auto"/>
            <w:noWrap/>
            <w:vAlign w:val="bottom"/>
            <w:hideMark/>
          </w:tcPr>
          <w:p w14:paraId="182DA74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770.5</w:t>
            </w:r>
          </w:p>
        </w:tc>
        <w:tc>
          <w:tcPr>
            <w:tcW w:w="960" w:type="dxa"/>
            <w:tcBorders>
              <w:top w:val="nil"/>
              <w:left w:val="nil"/>
              <w:bottom w:val="nil"/>
              <w:right w:val="nil"/>
            </w:tcBorders>
            <w:shd w:val="clear" w:color="auto" w:fill="auto"/>
            <w:noWrap/>
            <w:vAlign w:val="bottom"/>
            <w:hideMark/>
          </w:tcPr>
          <w:p w14:paraId="2A77858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178</w:t>
            </w:r>
          </w:p>
        </w:tc>
      </w:tr>
      <w:tr w:rsidR="00EE4837" w:rsidRPr="007239A6" w14:paraId="47D607C0" w14:textId="77777777" w:rsidTr="00181ACD">
        <w:trPr>
          <w:trHeight w:val="288"/>
        </w:trPr>
        <w:tc>
          <w:tcPr>
            <w:tcW w:w="1586" w:type="dxa"/>
            <w:tcBorders>
              <w:top w:val="nil"/>
              <w:left w:val="nil"/>
              <w:bottom w:val="nil"/>
              <w:right w:val="nil"/>
            </w:tcBorders>
            <w:shd w:val="clear" w:color="auto" w:fill="auto"/>
            <w:noWrap/>
            <w:vAlign w:val="bottom"/>
            <w:hideMark/>
          </w:tcPr>
          <w:p w14:paraId="4651F67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Litchfield</w:t>
            </w:r>
          </w:p>
        </w:tc>
        <w:tc>
          <w:tcPr>
            <w:tcW w:w="1261" w:type="dxa"/>
            <w:tcBorders>
              <w:top w:val="nil"/>
              <w:left w:val="nil"/>
              <w:bottom w:val="nil"/>
              <w:right w:val="nil"/>
            </w:tcBorders>
            <w:shd w:val="clear" w:color="auto" w:fill="auto"/>
            <w:noWrap/>
            <w:vAlign w:val="bottom"/>
            <w:hideMark/>
          </w:tcPr>
          <w:p w14:paraId="516A123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2,537.2</w:t>
            </w:r>
          </w:p>
        </w:tc>
        <w:tc>
          <w:tcPr>
            <w:tcW w:w="960" w:type="dxa"/>
            <w:tcBorders>
              <w:top w:val="nil"/>
              <w:left w:val="nil"/>
              <w:bottom w:val="nil"/>
              <w:right w:val="nil"/>
            </w:tcBorders>
            <w:shd w:val="clear" w:color="auto" w:fill="auto"/>
            <w:noWrap/>
            <w:vAlign w:val="bottom"/>
            <w:hideMark/>
          </w:tcPr>
          <w:p w14:paraId="6D48DA8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302</w:t>
            </w:r>
          </w:p>
        </w:tc>
        <w:tc>
          <w:tcPr>
            <w:tcW w:w="1261" w:type="dxa"/>
            <w:tcBorders>
              <w:top w:val="nil"/>
              <w:left w:val="nil"/>
              <w:bottom w:val="nil"/>
              <w:right w:val="nil"/>
            </w:tcBorders>
            <w:shd w:val="clear" w:color="auto" w:fill="auto"/>
            <w:noWrap/>
            <w:vAlign w:val="bottom"/>
            <w:hideMark/>
          </w:tcPr>
          <w:p w14:paraId="1EF39EF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2,680.9</w:t>
            </w:r>
          </w:p>
        </w:tc>
        <w:tc>
          <w:tcPr>
            <w:tcW w:w="960" w:type="dxa"/>
            <w:tcBorders>
              <w:top w:val="nil"/>
              <w:left w:val="nil"/>
              <w:bottom w:val="nil"/>
              <w:right w:val="nil"/>
            </w:tcBorders>
            <w:shd w:val="clear" w:color="auto" w:fill="auto"/>
            <w:noWrap/>
            <w:vAlign w:val="bottom"/>
            <w:hideMark/>
          </w:tcPr>
          <w:p w14:paraId="03265FB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319</w:t>
            </w:r>
          </w:p>
        </w:tc>
        <w:tc>
          <w:tcPr>
            <w:tcW w:w="1261" w:type="dxa"/>
            <w:tcBorders>
              <w:top w:val="nil"/>
              <w:left w:val="nil"/>
              <w:bottom w:val="nil"/>
              <w:right w:val="nil"/>
            </w:tcBorders>
            <w:shd w:val="clear" w:color="auto" w:fill="auto"/>
            <w:noWrap/>
            <w:vAlign w:val="bottom"/>
            <w:hideMark/>
          </w:tcPr>
          <w:p w14:paraId="7233D91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1,588.7</w:t>
            </w:r>
          </w:p>
        </w:tc>
        <w:tc>
          <w:tcPr>
            <w:tcW w:w="960" w:type="dxa"/>
            <w:tcBorders>
              <w:top w:val="nil"/>
              <w:left w:val="nil"/>
              <w:bottom w:val="nil"/>
              <w:right w:val="nil"/>
            </w:tcBorders>
            <w:shd w:val="clear" w:color="auto" w:fill="auto"/>
            <w:noWrap/>
            <w:vAlign w:val="bottom"/>
            <w:hideMark/>
          </w:tcPr>
          <w:p w14:paraId="4A1BEB6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189</w:t>
            </w:r>
          </w:p>
        </w:tc>
        <w:tc>
          <w:tcPr>
            <w:tcW w:w="1261" w:type="dxa"/>
            <w:tcBorders>
              <w:top w:val="nil"/>
              <w:left w:val="nil"/>
              <w:bottom w:val="nil"/>
              <w:right w:val="nil"/>
            </w:tcBorders>
            <w:shd w:val="clear" w:color="auto" w:fill="auto"/>
            <w:noWrap/>
            <w:vAlign w:val="bottom"/>
            <w:hideMark/>
          </w:tcPr>
          <w:p w14:paraId="2C2280B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2,640.4</w:t>
            </w:r>
          </w:p>
        </w:tc>
        <w:tc>
          <w:tcPr>
            <w:tcW w:w="960" w:type="dxa"/>
            <w:tcBorders>
              <w:top w:val="nil"/>
              <w:left w:val="nil"/>
              <w:bottom w:val="nil"/>
              <w:right w:val="nil"/>
            </w:tcBorders>
            <w:shd w:val="clear" w:color="auto" w:fill="auto"/>
            <w:noWrap/>
            <w:vAlign w:val="bottom"/>
            <w:hideMark/>
          </w:tcPr>
          <w:p w14:paraId="42B001E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314</w:t>
            </w:r>
          </w:p>
        </w:tc>
        <w:tc>
          <w:tcPr>
            <w:tcW w:w="1261" w:type="dxa"/>
            <w:tcBorders>
              <w:top w:val="nil"/>
              <w:left w:val="nil"/>
              <w:bottom w:val="nil"/>
              <w:right w:val="nil"/>
            </w:tcBorders>
            <w:shd w:val="clear" w:color="auto" w:fill="auto"/>
            <w:noWrap/>
            <w:vAlign w:val="bottom"/>
            <w:hideMark/>
          </w:tcPr>
          <w:p w14:paraId="7546FC6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2,067.4</w:t>
            </w:r>
          </w:p>
        </w:tc>
        <w:tc>
          <w:tcPr>
            <w:tcW w:w="960" w:type="dxa"/>
            <w:tcBorders>
              <w:top w:val="nil"/>
              <w:left w:val="nil"/>
              <w:bottom w:val="nil"/>
              <w:right w:val="nil"/>
            </w:tcBorders>
            <w:shd w:val="clear" w:color="auto" w:fill="auto"/>
            <w:noWrap/>
            <w:vAlign w:val="bottom"/>
            <w:hideMark/>
          </w:tcPr>
          <w:p w14:paraId="3F4EA9D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246</w:t>
            </w:r>
          </w:p>
        </w:tc>
      </w:tr>
      <w:tr w:rsidR="00EE4837" w:rsidRPr="007239A6" w14:paraId="6D1D1967" w14:textId="77777777" w:rsidTr="00181ACD">
        <w:trPr>
          <w:trHeight w:val="288"/>
        </w:trPr>
        <w:tc>
          <w:tcPr>
            <w:tcW w:w="1586" w:type="dxa"/>
            <w:tcBorders>
              <w:top w:val="nil"/>
              <w:left w:val="nil"/>
              <w:bottom w:val="nil"/>
              <w:right w:val="nil"/>
            </w:tcBorders>
            <w:shd w:val="clear" w:color="auto" w:fill="auto"/>
            <w:noWrap/>
            <w:vAlign w:val="bottom"/>
            <w:hideMark/>
          </w:tcPr>
          <w:p w14:paraId="78F43381"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Lyme</w:t>
            </w:r>
          </w:p>
        </w:tc>
        <w:tc>
          <w:tcPr>
            <w:tcW w:w="1261" w:type="dxa"/>
            <w:tcBorders>
              <w:top w:val="nil"/>
              <w:left w:val="nil"/>
              <w:bottom w:val="nil"/>
              <w:right w:val="nil"/>
            </w:tcBorders>
            <w:shd w:val="clear" w:color="auto" w:fill="auto"/>
            <w:noWrap/>
            <w:vAlign w:val="bottom"/>
            <w:hideMark/>
          </w:tcPr>
          <w:p w14:paraId="4B68C52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966.4</w:t>
            </w:r>
          </w:p>
        </w:tc>
        <w:tc>
          <w:tcPr>
            <w:tcW w:w="960" w:type="dxa"/>
            <w:tcBorders>
              <w:top w:val="nil"/>
              <w:left w:val="nil"/>
              <w:bottom w:val="nil"/>
              <w:right w:val="nil"/>
            </w:tcBorders>
            <w:shd w:val="clear" w:color="auto" w:fill="auto"/>
            <w:noWrap/>
            <w:vAlign w:val="bottom"/>
            <w:hideMark/>
          </w:tcPr>
          <w:p w14:paraId="0D5FB18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400</w:t>
            </w:r>
          </w:p>
        </w:tc>
        <w:tc>
          <w:tcPr>
            <w:tcW w:w="1261" w:type="dxa"/>
            <w:tcBorders>
              <w:top w:val="nil"/>
              <w:left w:val="nil"/>
              <w:bottom w:val="nil"/>
              <w:right w:val="nil"/>
            </w:tcBorders>
            <w:shd w:val="clear" w:color="auto" w:fill="auto"/>
            <w:noWrap/>
            <w:vAlign w:val="bottom"/>
            <w:hideMark/>
          </w:tcPr>
          <w:p w14:paraId="2B29308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1,172.4</w:t>
            </w:r>
          </w:p>
        </w:tc>
        <w:tc>
          <w:tcPr>
            <w:tcW w:w="960" w:type="dxa"/>
            <w:tcBorders>
              <w:top w:val="nil"/>
              <w:left w:val="nil"/>
              <w:bottom w:val="nil"/>
              <w:right w:val="nil"/>
            </w:tcBorders>
            <w:shd w:val="clear" w:color="auto" w:fill="auto"/>
            <w:noWrap/>
            <w:vAlign w:val="bottom"/>
            <w:hideMark/>
          </w:tcPr>
          <w:p w14:paraId="66385BC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485</w:t>
            </w:r>
          </w:p>
        </w:tc>
        <w:tc>
          <w:tcPr>
            <w:tcW w:w="1261" w:type="dxa"/>
            <w:tcBorders>
              <w:top w:val="nil"/>
              <w:left w:val="nil"/>
              <w:bottom w:val="nil"/>
              <w:right w:val="nil"/>
            </w:tcBorders>
            <w:shd w:val="clear" w:color="auto" w:fill="auto"/>
            <w:noWrap/>
            <w:vAlign w:val="bottom"/>
            <w:hideMark/>
          </w:tcPr>
          <w:p w14:paraId="1B25B0D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129.5</w:t>
            </w:r>
          </w:p>
        </w:tc>
        <w:tc>
          <w:tcPr>
            <w:tcW w:w="960" w:type="dxa"/>
            <w:tcBorders>
              <w:top w:val="nil"/>
              <w:left w:val="nil"/>
              <w:bottom w:val="nil"/>
              <w:right w:val="nil"/>
            </w:tcBorders>
            <w:shd w:val="clear" w:color="auto" w:fill="auto"/>
            <w:noWrap/>
            <w:vAlign w:val="bottom"/>
            <w:hideMark/>
          </w:tcPr>
          <w:p w14:paraId="0FFF0AB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w:t>
            </w:r>
          </w:p>
        </w:tc>
        <w:tc>
          <w:tcPr>
            <w:tcW w:w="1261" w:type="dxa"/>
            <w:tcBorders>
              <w:top w:val="nil"/>
              <w:left w:val="nil"/>
              <w:bottom w:val="nil"/>
              <w:right w:val="nil"/>
            </w:tcBorders>
            <w:shd w:val="clear" w:color="auto" w:fill="auto"/>
            <w:noWrap/>
            <w:vAlign w:val="bottom"/>
            <w:hideMark/>
          </w:tcPr>
          <w:p w14:paraId="464BE98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787.0</w:t>
            </w:r>
          </w:p>
        </w:tc>
        <w:tc>
          <w:tcPr>
            <w:tcW w:w="960" w:type="dxa"/>
            <w:tcBorders>
              <w:top w:val="nil"/>
              <w:left w:val="nil"/>
              <w:bottom w:val="nil"/>
              <w:right w:val="nil"/>
            </w:tcBorders>
            <w:shd w:val="clear" w:color="auto" w:fill="auto"/>
            <w:noWrap/>
            <w:vAlign w:val="bottom"/>
            <w:hideMark/>
          </w:tcPr>
          <w:p w14:paraId="694B877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326</w:t>
            </w:r>
          </w:p>
        </w:tc>
        <w:tc>
          <w:tcPr>
            <w:tcW w:w="1261" w:type="dxa"/>
            <w:tcBorders>
              <w:top w:val="nil"/>
              <w:left w:val="nil"/>
              <w:bottom w:val="nil"/>
              <w:right w:val="nil"/>
            </w:tcBorders>
            <w:shd w:val="clear" w:color="auto" w:fill="auto"/>
            <w:noWrap/>
            <w:vAlign w:val="bottom"/>
            <w:hideMark/>
          </w:tcPr>
          <w:p w14:paraId="119981E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423.0</w:t>
            </w:r>
          </w:p>
        </w:tc>
        <w:tc>
          <w:tcPr>
            <w:tcW w:w="960" w:type="dxa"/>
            <w:tcBorders>
              <w:top w:val="nil"/>
              <w:left w:val="nil"/>
              <w:bottom w:val="nil"/>
              <w:right w:val="nil"/>
            </w:tcBorders>
            <w:shd w:val="clear" w:color="auto" w:fill="auto"/>
            <w:noWrap/>
            <w:vAlign w:val="bottom"/>
            <w:hideMark/>
          </w:tcPr>
          <w:p w14:paraId="49195D4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175</w:t>
            </w:r>
          </w:p>
        </w:tc>
      </w:tr>
      <w:tr w:rsidR="00EE4837" w:rsidRPr="007239A6" w14:paraId="11CC120F" w14:textId="77777777" w:rsidTr="00181ACD">
        <w:trPr>
          <w:trHeight w:val="288"/>
        </w:trPr>
        <w:tc>
          <w:tcPr>
            <w:tcW w:w="1586" w:type="dxa"/>
            <w:tcBorders>
              <w:top w:val="nil"/>
              <w:left w:val="nil"/>
              <w:bottom w:val="nil"/>
              <w:right w:val="nil"/>
            </w:tcBorders>
            <w:shd w:val="clear" w:color="auto" w:fill="auto"/>
            <w:noWrap/>
            <w:vAlign w:val="bottom"/>
            <w:hideMark/>
          </w:tcPr>
          <w:p w14:paraId="10647AB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Madison</w:t>
            </w:r>
          </w:p>
        </w:tc>
        <w:tc>
          <w:tcPr>
            <w:tcW w:w="1261" w:type="dxa"/>
            <w:tcBorders>
              <w:top w:val="nil"/>
              <w:left w:val="nil"/>
              <w:bottom w:val="nil"/>
              <w:right w:val="nil"/>
            </w:tcBorders>
            <w:shd w:val="clear" w:color="auto" w:fill="auto"/>
            <w:noWrap/>
            <w:vAlign w:val="bottom"/>
            <w:hideMark/>
          </w:tcPr>
          <w:p w14:paraId="79C52A9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8,129.4</w:t>
            </w:r>
          </w:p>
        </w:tc>
        <w:tc>
          <w:tcPr>
            <w:tcW w:w="960" w:type="dxa"/>
            <w:tcBorders>
              <w:top w:val="nil"/>
              <w:left w:val="nil"/>
              <w:bottom w:val="nil"/>
              <w:right w:val="nil"/>
            </w:tcBorders>
            <w:shd w:val="clear" w:color="auto" w:fill="auto"/>
            <w:noWrap/>
            <w:vAlign w:val="bottom"/>
            <w:hideMark/>
          </w:tcPr>
          <w:p w14:paraId="1BFF570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444</w:t>
            </w:r>
          </w:p>
        </w:tc>
        <w:tc>
          <w:tcPr>
            <w:tcW w:w="1261" w:type="dxa"/>
            <w:tcBorders>
              <w:top w:val="nil"/>
              <w:left w:val="nil"/>
              <w:bottom w:val="nil"/>
              <w:right w:val="nil"/>
            </w:tcBorders>
            <w:shd w:val="clear" w:color="auto" w:fill="auto"/>
            <w:noWrap/>
            <w:vAlign w:val="bottom"/>
            <w:hideMark/>
          </w:tcPr>
          <w:p w14:paraId="2DBA19F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9,514.2</w:t>
            </w:r>
          </w:p>
        </w:tc>
        <w:tc>
          <w:tcPr>
            <w:tcW w:w="960" w:type="dxa"/>
            <w:tcBorders>
              <w:top w:val="nil"/>
              <w:left w:val="nil"/>
              <w:bottom w:val="nil"/>
              <w:right w:val="nil"/>
            </w:tcBorders>
            <w:shd w:val="clear" w:color="auto" w:fill="auto"/>
            <w:noWrap/>
            <w:vAlign w:val="bottom"/>
            <w:hideMark/>
          </w:tcPr>
          <w:p w14:paraId="578390B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520</w:t>
            </w:r>
          </w:p>
        </w:tc>
        <w:tc>
          <w:tcPr>
            <w:tcW w:w="1261" w:type="dxa"/>
            <w:tcBorders>
              <w:top w:val="nil"/>
              <w:left w:val="nil"/>
              <w:bottom w:val="nil"/>
              <w:right w:val="nil"/>
            </w:tcBorders>
            <w:shd w:val="clear" w:color="auto" w:fill="auto"/>
            <w:noWrap/>
            <w:vAlign w:val="bottom"/>
            <w:hideMark/>
          </w:tcPr>
          <w:p w14:paraId="6D54ABB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2,511.5</w:t>
            </w:r>
          </w:p>
        </w:tc>
        <w:tc>
          <w:tcPr>
            <w:tcW w:w="960" w:type="dxa"/>
            <w:tcBorders>
              <w:top w:val="nil"/>
              <w:left w:val="nil"/>
              <w:bottom w:val="nil"/>
              <w:right w:val="nil"/>
            </w:tcBorders>
            <w:shd w:val="clear" w:color="auto" w:fill="auto"/>
            <w:noWrap/>
            <w:vAlign w:val="bottom"/>
            <w:hideMark/>
          </w:tcPr>
          <w:p w14:paraId="644BFAB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137</w:t>
            </w:r>
          </w:p>
        </w:tc>
        <w:tc>
          <w:tcPr>
            <w:tcW w:w="1261" w:type="dxa"/>
            <w:tcBorders>
              <w:top w:val="nil"/>
              <w:left w:val="nil"/>
              <w:bottom w:val="nil"/>
              <w:right w:val="nil"/>
            </w:tcBorders>
            <w:shd w:val="clear" w:color="auto" w:fill="auto"/>
            <w:noWrap/>
            <w:vAlign w:val="bottom"/>
            <w:hideMark/>
          </w:tcPr>
          <w:p w14:paraId="51DD647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8,257.4</w:t>
            </w:r>
          </w:p>
        </w:tc>
        <w:tc>
          <w:tcPr>
            <w:tcW w:w="960" w:type="dxa"/>
            <w:tcBorders>
              <w:top w:val="nil"/>
              <w:left w:val="nil"/>
              <w:bottom w:val="nil"/>
              <w:right w:val="nil"/>
            </w:tcBorders>
            <w:shd w:val="clear" w:color="auto" w:fill="auto"/>
            <w:noWrap/>
            <w:vAlign w:val="bottom"/>
            <w:hideMark/>
          </w:tcPr>
          <w:p w14:paraId="356509D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451</w:t>
            </w:r>
          </w:p>
        </w:tc>
        <w:tc>
          <w:tcPr>
            <w:tcW w:w="1261" w:type="dxa"/>
            <w:tcBorders>
              <w:top w:val="nil"/>
              <w:left w:val="nil"/>
              <w:bottom w:val="nil"/>
              <w:right w:val="nil"/>
            </w:tcBorders>
            <w:shd w:val="clear" w:color="auto" w:fill="auto"/>
            <w:noWrap/>
            <w:vAlign w:val="bottom"/>
            <w:hideMark/>
          </w:tcPr>
          <w:p w14:paraId="003775A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5,208.8</w:t>
            </w:r>
          </w:p>
        </w:tc>
        <w:tc>
          <w:tcPr>
            <w:tcW w:w="960" w:type="dxa"/>
            <w:tcBorders>
              <w:top w:val="nil"/>
              <w:left w:val="nil"/>
              <w:bottom w:val="nil"/>
              <w:right w:val="nil"/>
            </w:tcBorders>
            <w:shd w:val="clear" w:color="auto" w:fill="auto"/>
            <w:noWrap/>
            <w:vAlign w:val="bottom"/>
            <w:hideMark/>
          </w:tcPr>
          <w:p w14:paraId="6AA9DE8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285</w:t>
            </w:r>
          </w:p>
        </w:tc>
      </w:tr>
      <w:tr w:rsidR="00EE4837" w:rsidRPr="007239A6" w14:paraId="747FCBFA" w14:textId="77777777" w:rsidTr="00181ACD">
        <w:trPr>
          <w:trHeight w:val="288"/>
        </w:trPr>
        <w:tc>
          <w:tcPr>
            <w:tcW w:w="1586" w:type="dxa"/>
            <w:tcBorders>
              <w:top w:val="nil"/>
              <w:left w:val="nil"/>
              <w:bottom w:val="nil"/>
              <w:right w:val="nil"/>
            </w:tcBorders>
            <w:shd w:val="clear" w:color="auto" w:fill="auto"/>
            <w:noWrap/>
            <w:vAlign w:val="bottom"/>
            <w:hideMark/>
          </w:tcPr>
          <w:p w14:paraId="5CDD7FD9"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Manchester</w:t>
            </w:r>
          </w:p>
        </w:tc>
        <w:tc>
          <w:tcPr>
            <w:tcW w:w="1261" w:type="dxa"/>
            <w:tcBorders>
              <w:top w:val="nil"/>
              <w:left w:val="nil"/>
              <w:bottom w:val="nil"/>
              <w:right w:val="nil"/>
            </w:tcBorders>
            <w:shd w:val="clear" w:color="auto" w:fill="auto"/>
            <w:noWrap/>
            <w:vAlign w:val="bottom"/>
            <w:hideMark/>
          </w:tcPr>
          <w:p w14:paraId="387E7CB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12,198.8</w:t>
            </w:r>
          </w:p>
        </w:tc>
        <w:tc>
          <w:tcPr>
            <w:tcW w:w="960" w:type="dxa"/>
            <w:tcBorders>
              <w:top w:val="nil"/>
              <w:left w:val="nil"/>
              <w:bottom w:val="nil"/>
              <w:right w:val="nil"/>
            </w:tcBorders>
            <w:shd w:val="clear" w:color="auto" w:fill="auto"/>
            <w:noWrap/>
            <w:vAlign w:val="bottom"/>
            <w:hideMark/>
          </w:tcPr>
          <w:p w14:paraId="6783BDB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210</w:t>
            </w:r>
          </w:p>
        </w:tc>
        <w:tc>
          <w:tcPr>
            <w:tcW w:w="1261" w:type="dxa"/>
            <w:tcBorders>
              <w:top w:val="nil"/>
              <w:left w:val="nil"/>
              <w:bottom w:val="nil"/>
              <w:right w:val="nil"/>
            </w:tcBorders>
            <w:shd w:val="clear" w:color="auto" w:fill="auto"/>
            <w:noWrap/>
            <w:vAlign w:val="bottom"/>
            <w:hideMark/>
          </w:tcPr>
          <w:p w14:paraId="44110C2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11,187.5</w:t>
            </w:r>
          </w:p>
        </w:tc>
        <w:tc>
          <w:tcPr>
            <w:tcW w:w="960" w:type="dxa"/>
            <w:tcBorders>
              <w:top w:val="nil"/>
              <w:left w:val="nil"/>
              <w:bottom w:val="nil"/>
              <w:right w:val="nil"/>
            </w:tcBorders>
            <w:shd w:val="clear" w:color="auto" w:fill="auto"/>
            <w:noWrap/>
            <w:vAlign w:val="bottom"/>
            <w:hideMark/>
          </w:tcPr>
          <w:p w14:paraId="5D0B769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192</w:t>
            </w:r>
          </w:p>
        </w:tc>
        <w:tc>
          <w:tcPr>
            <w:tcW w:w="1261" w:type="dxa"/>
            <w:tcBorders>
              <w:top w:val="nil"/>
              <w:left w:val="nil"/>
              <w:bottom w:val="nil"/>
              <w:right w:val="nil"/>
            </w:tcBorders>
            <w:shd w:val="clear" w:color="auto" w:fill="auto"/>
            <w:noWrap/>
            <w:vAlign w:val="bottom"/>
            <w:hideMark/>
          </w:tcPr>
          <w:p w14:paraId="1BD0D9C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12,541.5</w:t>
            </w:r>
          </w:p>
        </w:tc>
        <w:tc>
          <w:tcPr>
            <w:tcW w:w="960" w:type="dxa"/>
            <w:tcBorders>
              <w:top w:val="nil"/>
              <w:left w:val="nil"/>
              <w:bottom w:val="nil"/>
              <w:right w:val="nil"/>
            </w:tcBorders>
            <w:shd w:val="clear" w:color="auto" w:fill="auto"/>
            <w:noWrap/>
            <w:vAlign w:val="bottom"/>
            <w:hideMark/>
          </w:tcPr>
          <w:p w14:paraId="363F116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216</w:t>
            </w:r>
          </w:p>
        </w:tc>
        <w:tc>
          <w:tcPr>
            <w:tcW w:w="1261" w:type="dxa"/>
            <w:tcBorders>
              <w:top w:val="nil"/>
              <w:left w:val="nil"/>
              <w:bottom w:val="nil"/>
              <w:right w:val="nil"/>
            </w:tcBorders>
            <w:shd w:val="clear" w:color="auto" w:fill="auto"/>
            <w:noWrap/>
            <w:vAlign w:val="bottom"/>
            <w:hideMark/>
          </w:tcPr>
          <w:p w14:paraId="2C8BE7D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16,174.2</w:t>
            </w:r>
          </w:p>
        </w:tc>
        <w:tc>
          <w:tcPr>
            <w:tcW w:w="960" w:type="dxa"/>
            <w:tcBorders>
              <w:top w:val="nil"/>
              <w:left w:val="nil"/>
              <w:bottom w:val="nil"/>
              <w:right w:val="nil"/>
            </w:tcBorders>
            <w:shd w:val="clear" w:color="auto" w:fill="auto"/>
            <w:noWrap/>
            <w:vAlign w:val="bottom"/>
            <w:hideMark/>
          </w:tcPr>
          <w:p w14:paraId="0E4A4F9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278</w:t>
            </w:r>
          </w:p>
        </w:tc>
        <w:tc>
          <w:tcPr>
            <w:tcW w:w="1261" w:type="dxa"/>
            <w:tcBorders>
              <w:top w:val="nil"/>
              <w:left w:val="nil"/>
              <w:bottom w:val="nil"/>
              <w:right w:val="nil"/>
            </w:tcBorders>
            <w:shd w:val="clear" w:color="auto" w:fill="auto"/>
            <w:noWrap/>
            <w:vAlign w:val="bottom"/>
            <w:hideMark/>
          </w:tcPr>
          <w:p w14:paraId="53DC32F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14,293.4</w:t>
            </w:r>
          </w:p>
        </w:tc>
        <w:tc>
          <w:tcPr>
            <w:tcW w:w="960" w:type="dxa"/>
            <w:tcBorders>
              <w:top w:val="nil"/>
              <w:left w:val="nil"/>
              <w:bottom w:val="nil"/>
              <w:right w:val="nil"/>
            </w:tcBorders>
            <w:shd w:val="clear" w:color="auto" w:fill="auto"/>
            <w:noWrap/>
            <w:vAlign w:val="bottom"/>
            <w:hideMark/>
          </w:tcPr>
          <w:p w14:paraId="419B0E4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246</w:t>
            </w:r>
          </w:p>
        </w:tc>
      </w:tr>
      <w:tr w:rsidR="00EE4837" w:rsidRPr="007239A6" w14:paraId="3C3F74A8" w14:textId="77777777" w:rsidTr="00181ACD">
        <w:trPr>
          <w:trHeight w:val="288"/>
        </w:trPr>
        <w:tc>
          <w:tcPr>
            <w:tcW w:w="1586" w:type="dxa"/>
            <w:tcBorders>
              <w:top w:val="nil"/>
              <w:left w:val="nil"/>
              <w:bottom w:val="nil"/>
              <w:right w:val="nil"/>
            </w:tcBorders>
            <w:shd w:val="clear" w:color="auto" w:fill="auto"/>
            <w:noWrap/>
            <w:vAlign w:val="bottom"/>
            <w:hideMark/>
          </w:tcPr>
          <w:p w14:paraId="65C11E4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Mansfield</w:t>
            </w:r>
          </w:p>
        </w:tc>
        <w:tc>
          <w:tcPr>
            <w:tcW w:w="1261" w:type="dxa"/>
            <w:tcBorders>
              <w:top w:val="nil"/>
              <w:left w:val="nil"/>
              <w:bottom w:val="nil"/>
              <w:right w:val="nil"/>
            </w:tcBorders>
            <w:shd w:val="clear" w:color="auto" w:fill="auto"/>
            <w:noWrap/>
            <w:vAlign w:val="bottom"/>
            <w:hideMark/>
          </w:tcPr>
          <w:p w14:paraId="3CB31F0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3,086.4</w:t>
            </w:r>
          </w:p>
        </w:tc>
        <w:tc>
          <w:tcPr>
            <w:tcW w:w="960" w:type="dxa"/>
            <w:tcBorders>
              <w:top w:val="nil"/>
              <w:left w:val="nil"/>
              <w:bottom w:val="nil"/>
              <w:right w:val="nil"/>
            </w:tcBorders>
            <w:shd w:val="clear" w:color="auto" w:fill="auto"/>
            <w:noWrap/>
            <w:vAlign w:val="bottom"/>
            <w:hideMark/>
          </w:tcPr>
          <w:p w14:paraId="3EB905F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117</w:t>
            </w:r>
          </w:p>
        </w:tc>
        <w:tc>
          <w:tcPr>
            <w:tcW w:w="1261" w:type="dxa"/>
            <w:tcBorders>
              <w:top w:val="nil"/>
              <w:left w:val="nil"/>
              <w:bottom w:val="nil"/>
              <w:right w:val="nil"/>
            </w:tcBorders>
            <w:shd w:val="clear" w:color="auto" w:fill="auto"/>
            <w:noWrap/>
            <w:vAlign w:val="bottom"/>
            <w:hideMark/>
          </w:tcPr>
          <w:p w14:paraId="5B277D3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3,162.7</w:t>
            </w:r>
          </w:p>
        </w:tc>
        <w:tc>
          <w:tcPr>
            <w:tcW w:w="960" w:type="dxa"/>
            <w:tcBorders>
              <w:top w:val="nil"/>
              <w:left w:val="nil"/>
              <w:bottom w:val="nil"/>
              <w:right w:val="nil"/>
            </w:tcBorders>
            <w:shd w:val="clear" w:color="auto" w:fill="auto"/>
            <w:noWrap/>
            <w:vAlign w:val="bottom"/>
            <w:hideMark/>
          </w:tcPr>
          <w:p w14:paraId="14FBC40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120</w:t>
            </w:r>
          </w:p>
        </w:tc>
        <w:tc>
          <w:tcPr>
            <w:tcW w:w="1261" w:type="dxa"/>
            <w:tcBorders>
              <w:top w:val="nil"/>
              <w:left w:val="nil"/>
              <w:bottom w:val="nil"/>
              <w:right w:val="nil"/>
            </w:tcBorders>
            <w:shd w:val="clear" w:color="auto" w:fill="auto"/>
            <w:noWrap/>
            <w:vAlign w:val="bottom"/>
            <w:hideMark/>
          </w:tcPr>
          <w:p w14:paraId="199C35F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6,574.9</w:t>
            </w:r>
          </w:p>
        </w:tc>
        <w:tc>
          <w:tcPr>
            <w:tcW w:w="960" w:type="dxa"/>
            <w:tcBorders>
              <w:top w:val="nil"/>
              <w:left w:val="nil"/>
              <w:bottom w:val="nil"/>
              <w:right w:val="nil"/>
            </w:tcBorders>
            <w:shd w:val="clear" w:color="auto" w:fill="auto"/>
            <w:noWrap/>
            <w:vAlign w:val="bottom"/>
            <w:hideMark/>
          </w:tcPr>
          <w:p w14:paraId="18CEC3A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249</w:t>
            </w:r>
          </w:p>
        </w:tc>
        <w:tc>
          <w:tcPr>
            <w:tcW w:w="1261" w:type="dxa"/>
            <w:tcBorders>
              <w:top w:val="nil"/>
              <w:left w:val="nil"/>
              <w:bottom w:val="nil"/>
              <w:right w:val="nil"/>
            </w:tcBorders>
            <w:shd w:val="clear" w:color="auto" w:fill="auto"/>
            <w:noWrap/>
            <w:vAlign w:val="bottom"/>
            <w:hideMark/>
          </w:tcPr>
          <w:p w14:paraId="4F35D59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3,559.2</w:t>
            </w:r>
          </w:p>
        </w:tc>
        <w:tc>
          <w:tcPr>
            <w:tcW w:w="960" w:type="dxa"/>
            <w:tcBorders>
              <w:top w:val="nil"/>
              <w:left w:val="nil"/>
              <w:bottom w:val="nil"/>
              <w:right w:val="nil"/>
            </w:tcBorders>
            <w:shd w:val="clear" w:color="auto" w:fill="auto"/>
            <w:noWrap/>
            <w:vAlign w:val="bottom"/>
            <w:hideMark/>
          </w:tcPr>
          <w:p w14:paraId="5F4F9A2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135</w:t>
            </w:r>
          </w:p>
        </w:tc>
        <w:tc>
          <w:tcPr>
            <w:tcW w:w="1261" w:type="dxa"/>
            <w:tcBorders>
              <w:top w:val="nil"/>
              <w:left w:val="nil"/>
              <w:bottom w:val="nil"/>
              <w:right w:val="nil"/>
            </w:tcBorders>
            <w:shd w:val="clear" w:color="auto" w:fill="auto"/>
            <w:noWrap/>
            <w:vAlign w:val="bottom"/>
            <w:hideMark/>
          </w:tcPr>
          <w:p w14:paraId="0BD8DE8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5,272.0</w:t>
            </w:r>
          </w:p>
        </w:tc>
        <w:tc>
          <w:tcPr>
            <w:tcW w:w="960" w:type="dxa"/>
            <w:tcBorders>
              <w:top w:val="nil"/>
              <w:left w:val="nil"/>
              <w:bottom w:val="nil"/>
              <w:right w:val="nil"/>
            </w:tcBorders>
            <w:shd w:val="clear" w:color="auto" w:fill="auto"/>
            <w:noWrap/>
            <w:vAlign w:val="bottom"/>
            <w:hideMark/>
          </w:tcPr>
          <w:p w14:paraId="19DC874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200</w:t>
            </w:r>
          </w:p>
        </w:tc>
      </w:tr>
      <w:tr w:rsidR="00EE4837" w:rsidRPr="007239A6" w14:paraId="40314E61" w14:textId="77777777" w:rsidTr="00181ACD">
        <w:trPr>
          <w:trHeight w:val="288"/>
        </w:trPr>
        <w:tc>
          <w:tcPr>
            <w:tcW w:w="1586" w:type="dxa"/>
            <w:tcBorders>
              <w:top w:val="nil"/>
              <w:left w:val="nil"/>
              <w:bottom w:val="nil"/>
              <w:right w:val="nil"/>
            </w:tcBorders>
            <w:shd w:val="clear" w:color="auto" w:fill="auto"/>
            <w:noWrap/>
            <w:vAlign w:val="bottom"/>
            <w:hideMark/>
          </w:tcPr>
          <w:p w14:paraId="696B292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Marlborough</w:t>
            </w:r>
          </w:p>
        </w:tc>
        <w:tc>
          <w:tcPr>
            <w:tcW w:w="1261" w:type="dxa"/>
            <w:tcBorders>
              <w:top w:val="nil"/>
              <w:left w:val="nil"/>
              <w:bottom w:val="nil"/>
              <w:right w:val="nil"/>
            </w:tcBorders>
            <w:shd w:val="clear" w:color="auto" w:fill="auto"/>
            <w:noWrap/>
            <w:vAlign w:val="bottom"/>
            <w:hideMark/>
          </w:tcPr>
          <w:p w14:paraId="4F1661A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2,038.9</w:t>
            </w:r>
          </w:p>
        </w:tc>
        <w:tc>
          <w:tcPr>
            <w:tcW w:w="960" w:type="dxa"/>
            <w:tcBorders>
              <w:top w:val="nil"/>
              <w:left w:val="nil"/>
              <w:bottom w:val="nil"/>
              <w:right w:val="nil"/>
            </w:tcBorders>
            <w:shd w:val="clear" w:color="auto" w:fill="auto"/>
            <w:noWrap/>
            <w:vAlign w:val="bottom"/>
            <w:hideMark/>
          </w:tcPr>
          <w:p w14:paraId="28AD557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319</w:t>
            </w:r>
          </w:p>
        </w:tc>
        <w:tc>
          <w:tcPr>
            <w:tcW w:w="1261" w:type="dxa"/>
            <w:tcBorders>
              <w:top w:val="nil"/>
              <w:left w:val="nil"/>
              <w:bottom w:val="nil"/>
              <w:right w:val="nil"/>
            </w:tcBorders>
            <w:shd w:val="clear" w:color="auto" w:fill="auto"/>
            <w:noWrap/>
            <w:vAlign w:val="bottom"/>
            <w:hideMark/>
          </w:tcPr>
          <w:p w14:paraId="1CB5154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2,244.1</w:t>
            </w:r>
          </w:p>
        </w:tc>
        <w:tc>
          <w:tcPr>
            <w:tcW w:w="960" w:type="dxa"/>
            <w:tcBorders>
              <w:top w:val="nil"/>
              <w:left w:val="nil"/>
              <w:bottom w:val="nil"/>
              <w:right w:val="nil"/>
            </w:tcBorders>
            <w:shd w:val="clear" w:color="auto" w:fill="auto"/>
            <w:noWrap/>
            <w:vAlign w:val="bottom"/>
            <w:hideMark/>
          </w:tcPr>
          <w:p w14:paraId="69FEAE4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351</w:t>
            </w:r>
          </w:p>
        </w:tc>
        <w:tc>
          <w:tcPr>
            <w:tcW w:w="1261" w:type="dxa"/>
            <w:tcBorders>
              <w:top w:val="nil"/>
              <w:left w:val="nil"/>
              <w:bottom w:val="nil"/>
              <w:right w:val="nil"/>
            </w:tcBorders>
            <w:shd w:val="clear" w:color="auto" w:fill="auto"/>
            <w:noWrap/>
            <w:vAlign w:val="bottom"/>
            <w:hideMark/>
          </w:tcPr>
          <w:p w14:paraId="6A70669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553.5</w:t>
            </w:r>
          </w:p>
        </w:tc>
        <w:tc>
          <w:tcPr>
            <w:tcW w:w="960" w:type="dxa"/>
            <w:tcBorders>
              <w:top w:val="nil"/>
              <w:left w:val="nil"/>
              <w:bottom w:val="nil"/>
              <w:right w:val="nil"/>
            </w:tcBorders>
            <w:shd w:val="clear" w:color="auto" w:fill="auto"/>
            <w:noWrap/>
            <w:vAlign w:val="bottom"/>
            <w:hideMark/>
          </w:tcPr>
          <w:p w14:paraId="751D247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87</w:t>
            </w:r>
          </w:p>
        </w:tc>
        <w:tc>
          <w:tcPr>
            <w:tcW w:w="1261" w:type="dxa"/>
            <w:tcBorders>
              <w:top w:val="nil"/>
              <w:left w:val="nil"/>
              <w:bottom w:val="nil"/>
              <w:right w:val="nil"/>
            </w:tcBorders>
            <w:shd w:val="clear" w:color="auto" w:fill="auto"/>
            <w:noWrap/>
            <w:vAlign w:val="bottom"/>
            <w:hideMark/>
          </w:tcPr>
          <w:p w14:paraId="7A0CF97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2,630.8</w:t>
            </w:r>
          </w:p>
        </w:tc>
        <w:tc>
          <w:tcPr>
            <w:tcW w:w="960" w:type="dxa"/>
            <w:tcBorders>
              <w:top w:val="nil"/>
              <w:left w:val="nil"/>
              <w:bottom w:val="nil"/>
              <w:right w:val="nil"/>
            </w:tcBorders>
            <w:shd w:val="clear" w:color="auto" w:fill="auto"/>
            <w:noWrap/>
            <w:vAlign w:val="bottom"/>
            <w:hideMark/>
          </w:tcPr>
          <w:p w14:paraId="5ECB3D6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411</w:t>
            </w:r>
          </w:p>
        </w:tc>
        <w:tc>
          <w:tcPr>
            <w:tcW w:w="1261" w:type="dxa"/>
            <w:tcBorders>
              <w:top w:val="nil"/>
              <w:left w:val="nil"/>
              <w:bottom w:val="nil"/>
              <w:right w:val="nil"/>
            </w:tcBorders>
            <w:shd w:val="clear" w:color="auto" w:fill="auto"/>
            <w:noWrap/>
            <w:vAlign w:val="bottom"/>
            <w:hideMark/>
          </w:tcPr>
          <w:p w14:paraId="35FF2C9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1,534.1</w:t>
            </w:r>
          </w:p>
        </w:tc>
        <w:tc>
          <w:tcPr>
            <w:tcW w:w="960" w:type="dxa"/>
            <w:tcBorders>
              <w:top w:val="nil"/>
              <w:left w:val="nil"/>
              <w:bottom w:val="nil"/>
              <w:right w:val="nil"/>
            </w:tcBorders>
            <w:shd w:val="clear" w:color="auto" w:fill="auto"/>
            <w:noWrap/>
            <w:vAlign w:val="bottom"/>
            <w:hideMark/>
          </w:tcPr>
          <w:p w14:paraId="195DD7E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240</w:t>
            </w:r>
          </w:p>
        </w:tc>
      </w:tr>
      <w:tr w:rsidR="00EE4837" w:rsidRPr="007239A6" w14:paraId="1184FB8A" w14:textId="77777777" w:rsidTr="00181ACD">
        <w:trPr>
          <w:trHeight w:val="288"/>
        </w:trPr>
        <w:tc>
          <w:tcPr>
            <w:tcW w:w="1586" w:type="dxa"/>
            <w:tcBorders>
              <w:top w:val="nil"/>
              <w:left w:val="nil"/>
              <w:bottom w:val="nil"/>
              <w:right w:val="nil"/>
            </w:tcBorders>
            <w:shd w:val="clear" w:color="auto" w:fill="auto"/>
            <w:noWrap/>
            <w:vAlign w:val="bottom"/>
            <w:hideMark/>
          </w:tcPr>
          <w:p w14:paraId="3E98AA51"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Meriden</w:t>
            </w:r>
          </w:p>
        </w:tc>
        <w:tc>
          <w:tcPr>
            <w:tcW w:w="1261" w:type="dxa"/>
            <w:tcBorders>
              <w:top w:val="nil"/>
              <w:left w:val="nil"/>
              <w:bottom w:val="nil"/>
              <w:right w:val="nil"/>
            </w:tcBorders>
            <w:shd w:val="clear" w:color="auto" w:fill="auto"/>
            <w:noWrap/>
            <w:vAlign w:val="bottom"/>
            <w:hideMark/>
          </w:tcPr>
          <w:p w14:paraId="01CABF6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9,952.9</w:t>
            </w:r>
          </w:p>
        </w:tc>
        <w:tc>
          <w:tcPr>
            <w:tcW w:w="960" w:type="dxa"/>
            <w:tcBorders>
              <w:top w:val="nil"/>
              <w:left w:val="nil"/>
              <w:bottom w:val="nil"/>
              <w:right w:val="nil"/>
            </w:tcBorders>
            <w:shd w:val="clear" w:color="auto" w:fill="auto"/>
            <w:noWrap/>
            <w:vAlign w:val="bottom"/>
            <w:hideMark/>
          </w:tcPr>
          <w:p w14:paraId="5A1E251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164</w:t>
            </w:r>
          </w:p>
        </w:tc>
        <w:tc>
          <w:tcPr>
            <w:tcW w:w="1261" w:type="dxa"/>
            <w:tcBorders>
              <w:top w:val="nil"/>
              <w:left w:val="nil"/>
              <w:bottom w:val="nil"/>
              <w:right w:val="nil"/>
            </w:tcBorders>
            <w:shd w:val="clear" w:color="auto" w:fill="auto"/>
            <w:noWrap/>
            <w:vAlign w:val="bottom"/>
            <w:hideMark/>
          </w:tcPr>
          <w:p w14:paraId="5182C10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8,238.6</w:t>
            </w:r>
          </w:p>
        </w:tc>
        <w:tc>
          <w:tcPr>
            <w:tcW w:w="960" w:type="dxa"/>
            <w:tcBorders>
              <w:top w:val="nil"/>
              <w:left w:val="nil"/>
              <w:bottom w:val="nil"/>
              <w:right w:val="nil"/>
            </w:tcBorders>
            <w:shd w:val="clear" w:color="auto" w:fill="auto"/>
            <w:noWrap/>
            <w:vAlign w:val="bottom"/>
            <w:hideMark/>
          </w:tcPr>
          <w:p w14:paraId="2034CF5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136</w:t>
            </w:r>
          </w:p>
        </w:tc>
        <w:tc>
          <w:tcPr>
            <w:tcW w:w="1261" w:type="dxa"/>
            <w:tcBorders>
              <w:top w:val="nil"/>
              <w:left w:val="nil"/>
              <w:bottom w:val="nil"/>
              <w:right w:val="nil"/>
            </w:tcBorders>
            <w:shd w:val="clear" w:color="auto" w:fill="auto"/>
            <w:noWrap/>
            <w:vAlign w:val="bottom"/>
            <w:hideMark/>
          </w:tcPr>
          <w:p w14:paraId="2502F84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11,032.2</w:t>
            </w:r>
          </w:p>
        </w:tc>
        <w:tc>
          <w:tcPr>
            <w:tcW w:w="960" w:type="dxa"/>
            <w:tcBorders>
              <w:top w:val="nil"/>
              <w:left w:val="nil"/>
              <w:bottom w:val="nil"/>
              <w:right w:val="nil"/>
            </w:tcBorders>
            <w:shd w:val="clear" w:color="auto" w:fill="auto"/>
            <w:noWrap/>
            <w:vAlign w:val="bottom"/>
            <w:hideMark/>
          </w:tcPr>
          <w:p w14:paraId="7DFA793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182</w:t>
            </w:r>
          </w:p>
        </w:tc>
        <w:tc>
          <w:tcPr>
            <w:tcW w:w="1261" w:type="dxa"/>
            <w:tcBorders>
              <w:top w:val="nil"/>
              <w:left w:val="nil"/>
              <w:bottom w:val="nil"/>
              <w:right w:val="nil"/>
            </w:tcBorders>
            <w:shd w:val="clear" w:color="auto" w:fill="auto"/>
            <w:noWrap/>
            <w:vAlign w:val="bottom"/>
            <w:hideMark/>
          </w:tcPr>
          <w:p w14:paraId="0D08A47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12,898.1</w:t>
            </w:r>
          </w:p>
        </w:tc>
        <w:tc>
          <w:tcPr>
            <w:tcW w:w="960" w:type="dxa"/>
            <w:tcBorders>
              <w:top w:val="nil"/>
              <w:left w:val="nil"/>
              <w:bottom w:val="nil"/>
              <w:right w:val="nil"/>
            </w:tcBorders>
            <w:shd w:val="clear" w:color="auto" w:fill="auto"/>
            <w:noWrap/>
            <w:vAlign w:val="bottom"/>
            <w:hideMark/>
          </w:tcPr>
          <w:p w14:paraId="1F997A4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213</w:t>
            </w:r>
          </w:p>
        </w:tc>
        <w:tc>
          <w:tcPr>
            <w:tcW w:w="1261" w:type="dxa"/>
            <w:tcBorders>
              <w:top w:val="nil"/>
              <w:left w:val="nil"/>
              <w:bottom w:val="nil"/>
              <w:right w:val="nil"/>
            </w:tcBorders>
            <w:shd w:val="clear" w:color="auto" w:fill="auto"/>
            <w:noWrap/>
            <w:vAlign w:val="bottom"/>
            <w:hideMark/>
          </w:tcPr>
          <w:p w14:paraId="5DF435C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11,936.1</w:t>
            </w:r>
          </w:p>
        </w:tc>
        <w:tc>
          <w:tcPr>
            <w:tcW w:w="960" w:type="dxa"/>
            <w:tcBorders>
              <w:top w:val="nil"/>
              <w:left w:val="nil"/>
              <w:bottom w:val="nil"/>
              <w:right w:val="nil"/>
            </w:tcBorders>
            <w:shd w:val="clear" w:color="auto" w:fill="auto"/>
            <w:noWrap/>
            <w:vAlign w:val="bottom"/>
            <w:hideMark/>
          </w:tcPr>
          <w:p w14:paraId="7CC0F50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197</w:t>
            </w:r>
          </w:p>
        </w:tc>
      </w:tr>
      <w:tr w:rsidR="00EE4837" w:rsidRPr="007239A6" w14:paraId="5D77B931" w14:textId="77777777" w:rsidTr="00181ACD">
        <w:trPr>
          <w:trHeight w:val="288"/>
        </w:trPr>
        <w:tc>
          <w:tcPr>
            <w:tcW w:w="1586" w:type="dxa"/>
            <w:tcBorders>
              <w:top w:val="nil"/>
              <w:left w:val="nil"/>
              <w:bottom w:val="nil"/>
              <w:right w:val="nil"/>
            </w:tcBorders>
            <w:shd w:val="clear" w:color="auto" w:fill="auto"/>
            <w:noWrap/>
            <w:vAlign w:val="bottom"/>
            <w:hideMark/>
          </w:tcPr>
          <w:p w14:paraId="35B2A97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Middlebury</w:t>
            </w:r>
          </w:p>
        </w:tc>
        <w:tc>
          <w:tcPr>
            <w:tcW w:w="1261" w:type="dxa"/>
            <w:tcBorders>
              <w:top w:val="nil"/>
              <w:left w:val="nil"/>
              <w:bottom w:val="nil"/>
              <w:right w:val="nil"/>
            </w:tcBorders>
            <w:shd w:val="clear" w:color="auto" w:fill="auto"/>
            <w:noWrap/>
            <w:vAlign w:val="bottom"/>
            <w:hideMark/>
          </w:tcPr>
          <w:p w14:paraId="221CD76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2,919.4</w:t>
            </w:r>
          </w:p>
        </w:tc>
        <w:tc>
          <w:tcPr>
            <w:tcW w:w="960" w:type="dxa"/>
            <w:tcBorders>
              <w:top w:val="nil"/>
              <w:left w:val="nil"/>
              <w:bottom w:val="nil"/>
              <w:right w:val="nil"/>
            </w:tcBorders>
            <w:shd w:val="clear" w:color="auto" w:fill="auto"/>
            <w:noWrap/>
            <w:vAlign w:val="bottom"/>
            <w:hideMark/>
          </w:tcPr>
          <w:p w14:paraId="4780970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387</w:t>
            </w:r>
          </w:p>
        </w:tc>
        <w:tc>
          <w:tcPr>
            <w:tcW w:w="1261" w:type="dxa"/>
            <w:tcBorders>
              <w:top w:val="nil"/>
              <w:left w:val="nil"/>
              <w:bottom w:val="nil"/>
              <w:right w:val="nil"/>
            </w:tcBorders>
            <w:shd w:val="clear" w:color="auto" w:fill="auto"/>
            <w:noWrap/>
            <w:vAlign w:val="bottom"/>
            <w:hideMark/>
          </w:tcPr>
          <w:p w14:paraId="2B2FF1F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3,397.3</w:t>
            </w:r>
          </w:p>
        </w:tc>
        <w:tc>
          <w:tcPr>
            <w:tcW w:w="960" w:type="dxa"/>
            <w:tcBorders>
              <w:top w:val="nil"/>
              <w:left w:val="nil"/>
              <w:bottom w:val="nil"/>
              <w:right w:val="nil"/>
            </w:tcBorders>
            <w:shd w:val="clear" w:color="auto" w:fill="auto"/>
            <w:noWrap/>
            <w:vAlign w:val="bottom"/>
            <w:hideMark/>
          </w:tcPr>
          <w:p w14:paraId="6962709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450</w:t>
            </w:r>
          </w:p>
        </w:tc>
        <w:tc>
          <w:tcPr>
            <w:tcW w:w="1261" w:type="dxa"/>
            <w:tcBorders>
              <w:top w:val="nil"/>
              <w:left w:val="nil"/>
              <w:bottom w:val="nil"/>
              <w:right w:val="nil"/>
            </w:tcBorders>
            <w:shd w:val="clear" w:color="auto" w:fill="auto"/>
            <w:noWrap/>
            <w:vAlign w:val="bottom"/>
            <w:hideMark/>
          </w:tcPr>
          <w:p w14:paraId="00852A5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2,301.4</w:t>
            </w:r>
          </w:p>
        </w:tc>
        <w:tc>
          <w:tcPr>
            <w:tcW w:w="960" w:type="dxa"/>
            <w:tcBorders>
              <w:top w:val="nil"/>
              <w:left w:val="nil"/>
              <w:bottom w:val="nil"/>
              <w:right w:val="nil"/>
            </w:tcBorders>
            <w:shd w:val="clear" w:color="auto" w:fill="auto"/>
            <w:noWrap/>
            <w:vAlign w:val="bottom"/>
            <w:hideMark/>
          </w:tcPr>
          <w:p w14:paraId="0FB71AC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305</w:t>
            </w:r>
          </w:p>
        </w:tc>
        <w:tc>
          <w:tcPr>
            <w:tcW w:w="1261" w:type="dxa"/>
            <w:tcBorders>
              <w:top w:val="nil"/>
              <w:left w:val="nil"/>
              <w:bottom w:val="nil"/>
              <w:right w:val="nil"/>
            </w:tcBorders>
            <w:shd w:val="clear" w:color="auto" w:fill="auto"/>
            <w:noWrap/>
            <w:vAlign w:val="bottom"/>
            <w:hideMark/>
          </w:tcPr>
          <w:p w14:paraId="7E8A70A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3,306.4</w:t>
            </w:r>
          </w:p>
        </w:tc>
        <w:tc>
          <w:tcPr>
            <w:tcW w:w="960" w:type="dxa"/>
            <w:tcBorders>
              <w:top w:val="nil"/>
              <w:left w:val="nil"/>
              <w:bottom w:val="nil"/>
              <w:right w:val="nil"/>
            </w:tcBorders>
            <w:shd w:val="clear" w:color="auto" w:fill="auto"/>
            <w:noWrap/>
            <w:vAlign w:val="bottom"/>
            <w:hideMark/>
          </w:tcPr>
          <w:p w14:paraId="201166E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438</w:t>
            </w:r>
          </w:p>
        </w:tc>
        <w:tc>
          <w:tcPr>
            <w:tcW w:w="1261" w:type="dxa"/>
            <w:tcBorders>
              <w:top w:val="nil"/>
              <w:left w:val="nil"/>
              <w:bottom w:val="nil"/>
              <w:right w:val="nil"/>
            </w:tcBorders>
            <w:shd w:val="clear" w:color="auto" w:fill="auto"/>
            <w:noWrap/>
            <w:vAlign w:val="bottom"/>
            <w:hideMark/>
          </w:tcPr>
          <w:p w14:paraId="56A5FAF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2,767.6</w:t>
            </w:r>
          </w:p>
        </w:tc>
        <w:tc>
          <w:tcPr>
            <w:tcW w:w="960" w:type="dxa"/>
            <w:tcBorders>
              <w:top w:val="nil"/>
              <w:left w:val="nil"/>
              <w:bottom w:val="nil"/>
              <w:right w:val="nil"/>
            </w:tcBorders>
            <w:shd w:val="clear" w:color="auto" w:fill="auto"/>
            <w:noWrap/>
            <w:vAlign w:val="bottom"/>
            <w:hideMark/>
          </w:tcPr>
          <w:p w14:paraId="3898EAE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367</w:t>
            </w:r>
          </w:p>
        </w:tc>
      </w:tr>
      <w:tr w:rsidR="00EE4837" w:rsidRPr="007239A6" w14:paraId="3533C009" w14:textId="77777777" w:rsidTr="00181ACD">
        <w:trPr>
          <w:trHeight w:val="288"/>
        </w:trPr>
        <w:tc>
          <w:tcPr>
            <w:tcW w:w="1586" w:type="dxa"/>
            <w:tcBorders>
              <w:top w:val="nil"/>
              <w:left w:val="nil"/>
              <w:bottom w:val="nil"/>
              <w:right w:val="nil"/>
            </w:tcBorders>
            <w:shd w:val="clear" w:color="auto" w:fill="auto"/>
            <w:noWrap/>
            <w:vAlign w:val="bottom"/>
            <w:hideMark/>
          </w:tcPr>
          <w:p w14:paraId="55086584"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Middlefield</w:t>
            </w:r>
          </w:p>
        </w:tc>
        <w:tc>
          <w:tcPr>
            <w:tcW w:w="1261" w:type="dxa"/>
            <w:tcBorders>
              <w:top w:val="nil"/>
              <w:left w:val="nil"/>
              <w:bottom w:val="nil"/>
              <w:right w:val="nil"/>
            </w:tcBorders>
            <w:shd w:val="clear" w:color="auto" w:fill="auto"/>
            <w:noWrap/>
            <w:vAlign w:val="bottom"/>
            <w:hideMark/>
          </w:tcPr>
          <w:p w14:paraId="3E2B553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1,209.3</w:t>
            </w:r>
          </w:p>
        </w:tc>
        <w:tc>
          <w:tcPr>
            <w:tcW w:w="960" w:type="dxa"/>
            <w:tcBorders>
              <w:top w:val="nil"/>
              <w:left w:val="nil"/>
              <w:bottom w:val="nil"/>
              <w:right w:val="nil"/>
            </w:tcBorders>
            <w:shd w:val="clear" w:color="auto" w:fill="auto"/>
            <w:noWrap/>
            <w:vAlign w:val="bottom"/>
            <w:hideMark/>
          </w:tcPr>
          <w:p w14:paraId="1F70034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274</w:t>
            </w:r>
          </w:p>
        </w:tc>
        <w:tc>
          <w:tcPr>
            <w:tcW w:w="1261" w:type="dxa"/>
            <w:tcBorders>
              <w:top w:val="nil"/>
              <w:left w:val="nil"/>
              <w:bottom w:val="nil"/>
              <w:right w:val="nil"/>
            </w:tcBorders>
            <w:shd w:val="clear" w:color="auto" w:fill="auto"/>
            <w:noWrap/>
            <w:vAlign w:val="bottom"/>
            <w:hideMark/>
          </w:tcPr>
          <w:p w14:paraId="273AA9C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1,270.9</w:t>
            </w:r>
          </w:p>
        </w:tc>
        <w:tc>
          <w:tcPr>
            <w:tcW w:w="960" w:type="dxa"/>
            <w:tcBorders>
              <w:top w:val="nil"/>
              <w:left w:val="nil"/>
              <w:bottom w:val="nil"/>
              <w:right w:val="nil"/>
            </w:tcBorders>
            <w:shd w:val="clear" w:color="auto" w:fill="auto"/>
            <w:noWrap/>
            <w:vAlign w:val="bottom"/>
            <w:hideMark/>
          </w:tcPr>
          <w:p w14:paraId="108F780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287</w:t>
            </w:r>
          </w:p>
        </w:tc>
        <w:tc>
          <w:tcPr>
            <w:tcW w:w="1261" w:type="dxa"/>
            <w:tcBorders>
              <w:top w:val="nil"/>
              <w:left w:val="nil"/>
              <w:bottom w:val="nil"/>
              <w:right w:val="nil"/>
            </w:tcBorders>
            <w:shd w:val="clear" w:color="auto" w:fill="auto"/>
            <w:noWrap/>
            <w:vAlign w:val="bottom"/>
            <w:hideMark/>
          </w:tcPr>
          <w:p w14:paraId="6AFD7F3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1,078.7</w:t>
            </w:r>
          </w:p>
        </w:tc>
        <w:tc>
          <w:tcPr>
            <w:tcW w:w="960" w:type="dxa"/>
            <w:tcBorders>
              <w:top w:val="nil"/>
              <w:left w:val="nil"/>
              <w:bottom w:val="nil"/>
              <w:right w:val="nil"/>
            </w:tcBorders>
            <w:shd w:val="clear" w:color="auto" w:fill="auto"/>
            <w:noWrap/>
            <w:vAlign w:val="bottom"/>
            <w:hideMark/>
          </w:tcPr>
          <w:p w14:paraId="1A070BF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244</w:t>
            </w:r>
          </w:p>
        </w:tc>
        <w:tc>
          <w:tcPr>
            <w:tcW w:w="1261" w:type="dxa"/>
            <w:tcBorders>
              <w:top w:val="nil"/>
              <w:left w:val="nil"/>
              <w:bottom w:val="nil"/>
              <w:right w:val="nil"/>
            </w:tcBorders>
            <w:shd w:val="clear" w:color="auto" w:fill="auto"/>
            <w:noWrap/>
            <w:vAlign w:val="bottom"/>
            <w:hideMark/>
          </w:tcPr>
          <w:p w14:paraId="1B62132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1,532.3</w:t>
            </w:r>
          </w:p>
        </w:tc>
        <w:tc>
          <w:tcPr>
            <w:tcW w:w="960" w:type="dxa"/>
            <w:tcBorders>
              <w:top w:val="nil"/>
              <w:left w:val="nil"/>
              <w:bottom w:val="nil"/>
              <w:right w:val="nil"/>
            </w:tcBorders>
            <w:shd w:val="clear" w:color="auto" w:fill="auto"/>
            <w:noWrap/>
            <w:vAlign w:val="bottom"/>
            <w:hideMark/>
          </w:tcPr>
          <w:p w14:paraId="1C85FA5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347</w:t>
            </w:r>
          </w:p>
        </w:tc>
        <w:tc>
          <w:tcPr>
            <w:tcW w:w="1261" w:type="dxa"/>
            <w:tcBorders>
              <w:top w:val="nil"/>
              <w:left w:val="nil"/>
              <w:bottom w:val="nil"/>
              <w:right w:val="nil"/>
            </w:tcBorders>
            <w:shd w:val="clear" w:color="auto" w:fill="auto"/>
            <w:noWrap/>
            <w:vAlign w:val="bottom"/>
            <w:hideMark/>
          </w:tcPr>
          <w:p w14:paraId="5AE1AB6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1,296.9</w:t>
            </w:r>
          </w:p>
        </w:tc>
        <w:tc>
          <w:tcPr>
            <w:tcW w:w="960" w:type="dxa"/>
            <w:tcBorders>
              <w:top w:val="nil"/>
              <w:left w:val="nil"/>
              <w:bottom w:val="nil"/>
              <w:right w:val="nil"/>
            </w:tcBorders>
            <w:shd w:val="clear" w:color="auto" w:fill="auto"/>
            <w:noWrap/>
            <w:vAlign w:val="bottom"/>
            <w:hideMark/>
          </w:tcPr>
          <w:p w14:paraId="1E79796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293</w:t>
            </w:r>
          </w:p>
        </w:tc>
      </w:tr>
      <w:tr w:rsidR="00EE4837" w:rsidRPr="007239A6" w14:paraId="750A9E17" w14:textId="77777777" w:rsidTr="00181ACD">
        <w:trPr>
          <w:trHeight w:val="288"/>
        </w:trPr>
        <w:tc>
          <w:tcPr>
            <w:tcW w:w="1586" w:type="dxa"/>
            <w:tcBorders>
              <w:top w:val="nil"/>
              <w:left w:val="nil"/>
              <w:bottom w:val="nil"/>
              <w:right w:val="nil"/>
            </w:tcBorders>
            <w:shd w:val="clear" w:color="auto" w:fill="auto"/>
            <w:noWrap/>
            <w:vAlign w:val="bottom"/>
            <w:hideMark/>
          </w:tcPr>
          <w:p w14:paraId="1D5ADBA9"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Middletown</w:t>
            </w:r>
          </w:p>
        </w:tc>
        <w:tc>
          <w:tcPr>
            <w:tcW w:w="1261" w:type="dxa"/>
            <w:tcBorders>
              <w:top w:val="nil"/>
              <w:left w:val="nil"/>
              <w:bottom w:val="nil"/>
              <w:right w:val="nil"/>
            </w:tcBorders>
            <w:shd w:val="clear" w:color="auto" w:fill="auto"/>
            <w:noWrap/>
            <w:vAlign w:val="bottom"/>
            <w:hideMark/>
          </w:tcPr>
          <w:p w14:paraId="41A9935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9,648.5</w:t>
            </w:r>
          </w:p>
        </w:tc>
        <w:tc>
          <w:tcPr>
            <w:tcW w:w="960" w:type="dxa"/>
            <w:tcBorders>
              <w:top w:val="nil"/>
              <w:left w:val="nil"/>
              <w:bottom w:val="nil"/>
              <w:right w:val="nil"/>
            </w:tcBorders>
            <w:shd w:val="clear" w:color="auto" w:fill="auto"/>
            <w:noWrap/>
            <w:vAlign w:val="bottom"/>
            <w:hideMark/>
          </w:tcPr>
          <w:p w14:paraId="2185A21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203</w:t>
            </w:r>
          </w:p>
        </w:tc>
        <w:tc>
          <w:tcPr>
            <w:tcW w:w="1261" w:type="dxa"/>
            <w:tcBorders>
              <w:top w:val="nil"/>
              <w:left w:val="nil"/>
              <w:bottom w:val="nil"/>
              <w:right w:val="nil"/>
            </w:tcBorders>
            <w:shd w:val="clear" w:color="auto" w:fill="auto"/>
            <w:noWrap/>
            <w:vAlign w:val="bottom"/>
            <w:hideMark/>
          </w:tcPr>
          <w:p w14:paraId="1EA7CBA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9,300.5</w:t>
            </w:r>
          </w:p>
        </w:tc>
        <w:tc>
          <w:tcPr>
            <w:tcW w:w="960" w:type="dxa"/>
            <w:tcBorders>
              <w:top w:val="nil"/>
              <w:left w:val="nil"/>
              <w:bottom w:val="nil"/>
              <w:right w:val="nil"/>
            </w:tcBorders>
            <w:shd w:val="clear" w:color="auto" w:fill="auto"/>
            <w:noWrap/>
            <w:vAlign w:val="bottom"/>
            <w:hideMark/>
          </w:tcPr>
          <w:p w14:paraId="263DBA1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196</w:t>
            </w:r>
          </w:p>
        </w:tc>
        <w:tc>
          <w:tcPr>
            <w:tcW w:w="1261" w:type="dxa"/>
            <w:tcBorders>
              <w:top w:val="nil"/>
              <w:left w:val="nil"/>
              <w:bottom w:val="nil"/>
              <w:right w:val="nil"/>
            </w:tcBorders>
            <w:shd w:val="clear" w:color="auto" w:fill="auto"/>
            <w:noWrap/>
            <w:vAlign w:val="bottom"/>
            <w:hideMark/>
          </w:tcPr>
          <w:p w14:paraId="2917C83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17,507.5</w:t>
            </w:r>
          </w:p>
        </w:tc>
        <w:tc>
          <w:tcPr>
            <w:tcW w:w="960" w:type="dxa"/>
            <w:tcBorders>
              <w:top w:val="nil"/>
              <w:left w:val="nil"/>
              <w:bottom w:val="nil"/>
              <w:right w:val="nil"/>
            </w:tcBorders>
            <w:shd w:val="clear" w:color="auto" w:fill="auto"/>
            <w:noWrap/>
            <w:vAlign w:val="bottom"/>
            <w:hideMark/>
          </w:tcPr>
          <w:p w14:paraId="106895A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368</w:t>
            </w:r>
          </w:p>
        </w:tc>
        <w:tc>
          <w:tcPr>
            <w:tcW w:w="1261" w:type="dxa"/>
            <w:tcBorders>
              <w:top w:val="nil"/>
              <w:left w:val="nil"/>
              <w:bottom w:val="nil"/>
              <w:right w:val="nil"/>
            </w:tcBorders>
            <w:shd w:val="clear" w:color="auto" w:fill="auto"/>
            <w:noWrap/>
            <w:vAlign w:val="bottom"/>
            <w:hideMark/>
          </w:tcPr>
          <w:p w14:paraId="174155C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12,559.5</w:t>
            </w:r>
          </w:p>
        </w:tc>
        <w:tc>
          <w:tcPr>
            <w:tcW w:w="960" w:type="dxa"/>
            <w:tcBorders>
              <w:top w:val="nil"/>
              <w:left w:val="nil"/>
              <w:bottom w:val="nil"/>
              <w:right w:val="nil"/>
            </w:tcBorders>
            <w:shd w:val="clear" w:color="auto" w:fill="auto"/>
            <w:noWrap/>
            <w:vAlign w:val="bottom"/>
            <w:hideMark/>
          </w:tcPr>
          <w:p w14:paraId="4084525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264</w:t>
            </w:r>
          </w:p>
        </w:tc>
        <w:tc>
          <w:tcPr>
            <w:tcW w:w="1261" w:type="dxa"/>
            <w:tcBorders>
              <w:top w:val="nil"/>
              <w:left w:val="nil"/>
              <w:bottom w:val="nil"/>
              <w:right w:val="nil"/>
            </w:tcBorders>
            <w:shd w:val="clear" w:color="auto" w:fill="auto"/>
            <w:noWrap/>
            <w:vAlign w:val="bottom"/>
            <w:hideMark/>
          </w:tcPr>
          <w:p w14:paraId="2F56A88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15,174.7</w:t>
            </w:r>
          </w:p>
        </w:tc>
        <w:tc>
          <w:tcPr>
            <w:tcW w:w="960" w:type="dxa"/>
            <w:tcBorders>
              <w:top w:val="nil"/>
              <w:left w:val="nil"/>
              <w:bottom w:val="nil"/>
              <w:right w:val="nil"/>
            </w:tcBorders>
            <w:shd w:val="clear" w:color="auto" w:fill="auto"/>
            <w:noWrap/>
            <w:vAlign w:val="bottom"/>
            <w:hideMark/>
          </w:tcPr>
          <w:p w14:paraId="2A8CC26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319</w:t>
            </w:r>
          </w:p>
        </w:tc>
      </w:tr>
      <w:tr w:rsidR="00EE4837" w:rsidRPr="007239A6" w14:paraId="248E0BB0" w14:textId="77777777" w:rsidTr="00181ACD">
        <w:trPr>
          <w:trHeight w:val="288"/>
        </w:trPr>
        <w:tc>
          <w:tcPr>
            <w:tcW w:w="1586" w:type="dxa"/>
            <w:tcBorders>
              <w:top w:val="nil"/>
              <w:left w:val="nil"/>
              <w:bottom w:val="nil"/>
              <w:right w:val="nil"/>
            </w:tcBorders>
            <w:shd w:val="clear" w:color="auto" w:fill="auto"/>
            <w:noWrap/>
            <w:vAlign w:val="bottom"/>
            <w:hideMark/>
          </w:tcPr>
          <w:p w14:paraId="335FCCC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Milford</w:t>
            </w:r>
          </w:p>
        </w:tc>
        <w:tc>
          <w:tcPr>
            <w:tcW w:w="1261" w:type="dxa"/>
            <w:tcBorders>
              <w:top w:val="nil"/>
              <w:left w:val="nil"/>
              <w:bottom w:val="nil"/>
              <w:right w:val="nil"/>
            </w:tcBorders>
            <w:shd w:val="clear" w:color="auto" w:fill="auto"/>
            <w:noWrap/>
            <w:vAlign w:val="bottom"/>
            <w:hideMark/>
          </w:tcPr>
          <w:p w14:paraId="7D406C1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18,269.6</w:t>
            </w:r>
          </w:p>
        </w:tc>
        <w:tc>
          <w:tcPr>
            <w:tcW w:w="960" w:type="dxa"/>
            <w:tcBorders>
              <w:top w:val="nil"/>
              <w:left w:val="nil"/>
              <w:bottom w:val="nil"/>
              <w:right w:val="nil"/>
            </w:tcBorders>
            <w:shd w:val="clear" w:color="auto" w:fill="auto"/>
            <w:noWrap/>
            <w:vAlign w:val="bottom"/>
            <w:hideMark/>
          </w:tcPr>
          <w:p w14:paraId="2B7EF70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345</w:t>
            </w:r>
          </w:p>
        </w:tc>
        <w:tc>
          <w:tcPr>
            <w:tcW w:w="1261" w:type="dxa"/>
            <w:tcBorders>
              <w:top w:val="nil"/>
              <w:left w:val="nil"/>
              <w:bottom w:val="nil"/>
              <w:right w:val="nil"/>
            </w:tcBorders>
            <w:shd w:val="clear" w:color="auto" w:fill="auto"/>
            <w:noWrap/>
            <w:vAlign w:val="bottom"/>
            <w:hideMark/>
          </w:tcPr>
          <w:p w14:paraId="40D8D27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20,248.2</w:t>
            </w:r>
          </w:p>
        </w:tc>
        <w:tc>
          <w:tcPr>
            <w:tcW w:w="960" w:type="dxa"/>
            <w:tcBorders>
              <w:top w:val="nil"/>
              <w:left w:val="nil"/>
              <w:bottom w:val="nil"/>
              <w:right w:val="nil"/>
            </w:tcBorders>
            <w:shd w:val="clear" w:color="auto" w:fill="auto"/>
            <w:noWrap/>
            <w:vAlign w:val="bottom"/>
            <w:hideMark/>
          </w:tcPr>
          <w:p w14:paraId="590FEFA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383</w:t>
            </w:r>
          </w:p>
        </w:tc>
        <w:tc>
          <w:tcPr>
            <w:tcW w:w="1261" w:type="dxa"/>
            <w:tcBorders>
              <w:top w:val="nil"/>
              <w:left w:val="nil"/>
              <w:bottom w:val="nil"/>
              <w:right w:val="nil"/>
            </w:tcBorders>
            <w:shd w:val="clear" w:color="auto" w:fill="auto"/>
            <w:noWrap/>
            <w:vAlign w:val="bottom"/>
            <w:hideMark/>
          </w:tcPr>
          <w:p w14:paraId="5369EF9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14,551.4</w:t>
            </w:r>
          </w:p>
        </w:tc>
        <w:tc>
          <w:tcPr>
            <w:tcW w:w="960" w:type="dxa"/>
            <w:tcBorders>
              <w:top w:val="nil"/>
              <w:left w:val="nil"/>
              <w:bottom w:val="nil"/>
              <w:right w:val="nil"/>
            </w:tcBorders>
            <w:shd w:val="clear" w:color="auto" w:fill="auto"/>
            <w:noWrap/>
            <w:vAlign w:val="bottom"/>
            <w:hideMark/>
          </w:tcPr>
          <w:p w14:paraId="2219AC2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275</w:t>
            </w:r>
          </w:p>
        </w:tc>
        <w:tc>
          <w:tcPr>
            <w:tcW w:w="1261" w:type="dxa"/>
            <w:tcBorders>
              <w:top w:val="nil"/>
              <w:left w:val="nil"/>
              <w:bottom w:val="nil"/>
              <w:right w:val="nil"/>
            </w:tcBorders>
            <w:shd w:val="clear" w:color="auto" w:fill="auto"/>
            <w:noWrap/>
            <w:vAlign w:val="bottom"/>
            <w:hideMark/>
          </w:tcPr>
          <w:p w14:paraId="4DEF344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18,408.1</w:t>
            </w:r>
          </w:p>
        </w:tc>
        <w:tc>
          <w:tcPr>
            <w:tcW w:w="960" w:type="dxa"/>
            <w:tcBorders>
              <w:top w:val="nil"/>
              <w:left w:val="nil"/>
              <w:bottom w:val="nil"/>
              <w:right w:val="nil"/>
            </w:tcBorders>
            <w:shd w:val="clear" w:color="auto" w:fill="auto"/>
            <w:noWrap/>
            <w:vAlign w:val="bottom"/>
            <w:hideMark/>
          </w:tcPr>
          <w:p w14:paraId="6CB48FC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348</w:t>
            </w:r>
          </w:p>
        </w:tc>
        <w:tc>
          <w:tcPr>
            <w:tcW w:w="1261" w:type="dxa"/>
            <w:tcBorders>
              <w:top w:val="nil"/>
              <w:left w:val="nil"/>
              <w:bottom w:val="nil"/>
              <w:right w:val="nil"/>
            </w:tcBorders>
            <w:shd w:val="clear" w:color="auto" w:fill="auto"/>
            <w:noWrap/>
            <w:vAlign w:val="bottom"/>
            <w:hideMark/>
          </w:tcPr>
          <w:p w14:paraId="65FBDFC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16,399.8</w:t>
            </w:r>
          </w:p>
        </w:tc>
        <w:tc>
          <w:tcPr>
            <w:tcW w:w="960" w:type="dxa"/>
            <w:tcBorders>
              <w:top w:val="nil"/>
              <w:left w:val="nil"/>
              <w:bottom w:val="nil"/>
              <w:right w:val="nil"/>
            </w:tcBorders>
            <w:shd w:val="clear" w:color="auto" w:fill="auto"/>
            <w:noWrap/>
            <w:vAlign w:val="bottom"/>
            <w:hideMark/>
          </w:tcPr>
          <w:p w14:paraId="0AC4376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310</w:t>
            </w:r>
          </w:p>
        </w:tc>
      </w:tr>
      <w:tr w:rsidR="00EE4837" w:rsidRPr="007239A6" w14:paraId="2FABB3F9" w14:textId="77777777" w:rsidTr="00181ACD">
        <w:trPr>
          <w:trHeight w:val="288"/>
        </w:trPr>
        <w:tc>
          <w:tcPr>
            <w:tcW w:w="1586" w:type="dxa"/>
            <w:tcBorders>
              <w:top w:val="nil"/>
              <w:left w:val="nil"/>
              <w:bottom w:val="nil"/>
              <w:right w:val="nil"/>
            </w:tcBorders>
            <w:shd w:val="clear" w:color="auto" w:fill="auto"/>
            <w:noWrap/>
            <w:vAlign w:val="bottom"/>
            <w:hideMark/>
          </w:tcPr>
          <w:p w14:paraId="78632B49"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Monroe</w:t>
            </w:r>
          </w:p>
        </w:tc>
        <w:tc>
          <w:tcPr>
            <w:tcW w:w="1261" w:type="dxa"/>
            <w:tcBorders>
              <w:top w:val="nil"/>
              <w:left w:val="nil"/>
              <w:bottom w:val="nil"/>
              <w:right w:val="nil"/>
            </w:tcBorders>
            <w:shd w:val="clear" w:color="auto" w:fill="auto"/>
            <w:noWrap/>
            <w:vAlign w:val="bottom"/>
            <w:hideMark/>
          </w:tcPr>
          <w:p w14:paraId="0F80933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7,011.5</w:t>
            </w:r>
          </w:p>
        </w:tc>
        <w:tc>
          <w:tcPr>
            <w:tcW w:w="960" w:type="dxa"/>
            <w:tcBorders>
              <w:top w:val="nil"/>
              <w:left w:val="nil"/>
              <w:bottom w:val="nil"/>
              <w:right w:val="nil"/>
            </w:tcBorders>
            <w:shd w:val="clear" w:color="auto" w:fill="auto"/>
            <w:noWrap/>
            <w:vAlign w:val="bottom"/>
            <w:hideMark/>
          </w:tcPr>
          <w:p w14:paraId="529D97F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357</w:t>
            </w:r>
          </w:p>
        </w:tc>
        <w:tc>
          <w:tcPr>
            <w:tcW w:w="1261" w:type="dxa"/>
            <w:tcBorders>
              <w:top w:val="nil"/>
              <w:left w:val="nil"/>
              <w:bottom w:val="nil"/>
              <w:right w:val="nil"/>
            </w:tcBorders>
            <w:shd w:val="clear" w:color="auto" w:fill="auto"/>
            <w:noWrap/>
            <w:vAlign w:val="bottom"/>
            <w:hideMark/>
          </w:tcPr>
          <w:p w14:paraId="02DB2AB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7,257.5</w:t>
            </w:r>
          </w:p>
        </w:tc>
        <w:tc>
          <w:tcPr>
            <w:tcW w:w="960" w:type="dxa"/>
            <w:tcBorders>
              <w:top w:val="nil"/>
              <w:left w:val="nil"/>
              <w:bottom w:val="nil"/>
              <w:right w:val="nil"/>
            </w:tcBorders>
            <w:shd w:val="clear" w:color="auto" w:fill="auto"/>
            <w:noWrap/>
            <w:vAlign w:val="bottom"/>
            <w:hideMark/>
          </w:tcPr>
          <w:p w14:paraId="2D031F8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370</w:t>
            </w:r>
          </w:p>
        </w:tc>
        <w:tc>
          <w:tcPr>
            <w:tcW w:w="1261" w:type="dxa"/>
            <w:tcBorders>
              <w:top w:val="nil"/>
              <w:left w:val="nil"/>
              <w:bottom w:val="nil"/>
              <w:right w:val="nil"/>
            </w:tcBorders>
            <w:shd w:val="clear" w:color="auto" w:fill="auto"/>
            <w:noWrap/>
            <w:vAlign w:val="bottom"/>
            <w:hideMark/>
          </w:tcPr>
          <w:p w14:paraId="6BDD3E7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2,900.0</w:t>
            </w:r>
          </w:p>
        </w:tc>
        <w:tc>
          <w:tcPr>
            <w:tcW w:w="960" w:type="dxa"/>
            <w:tcBorders>
              <w:top w:val="nil"/>
              <w:left w:val="nil"/>
              <w:bottom w:val="nil"/>
              <w:right w:val="nil"/>
            </w:tcBorders>
            <w:shd w:val="clear" w:color="auto" w:fill="auto"/>
            <w:noWrap/>
            <w:vAlign w:val="bottom"/>
            <w:hideMark/>
          </w:tcPr>
          <w:p w14:paraId="21B2ED9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148</w:t>
            </w:r>
          </w:p>
        </w:tc>
        <w:tc>
          <w:tcPr>
            <w:tcW w:w="1261" w:type="dxa"/>
            <w:tcBorders>
              <w:top w:val="nil"/>
              <w:left w:val="nil"/>
              <w:bottom w:val="nil"/>
              <w:right w:val="nil"/>
            </w:tcBorders>
            <w:shd w:val="clear" w:color="auto" w:fill="auto"/>
            <w:noWrap/>
            <w:vAlign w:val="bottom"/>
            <w:hideMark/>
          </w:tcPr>
          <w:p w14:paraId="6852A6D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8,528.3</w:t>
            </w:r>
          </w:p>
        </w:tc>
        <w:tc>
          <w:tcPr>
            <w:tcW w:w="960" w:type="dxa"/>
            <w:tcBorders>
              <w:top w:val="nil"/>
              <w:left w:val="nil"/>
              <w:bottom w:val="nil"/>
              <w:right w:val="nil"/>
            </w:tcBorders>
            <w:shd w:val="clear" w:color="auto" w:fill="auto"/>
            <w:noWrap/>
            <w:vAlign w:val="bottom"/>
            <w:hideMark/>
          </w:tcPr>
          <w:p w14:paraId="45D70A7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434</w:t>
            </w:r>
          </w:p>
        </w:tc>
        <w:tc>
          <w:tcPr>
            <w:tcW w:w="1261" w:type="dxa"/>
            <w:tcBorders>
              <w:top w:val="nil"/>
              <w:left w:val="nil"/>
              <w:bottom w:val="nil"/>
              <w:right w:val="nil"/>
            </w:tcBorders>
            <w:shd w:val="clear" w:color="auto" w:fill="auto"/>
            <w:noWrap/>
            <w:vAlign w:val="bottom"/>
            <w:hideMark/>
          </w:tcPr>
          <w:p w14:paraId="65B8CC2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5,503.5</w:t>
            </w:r>
          </w:p>
        </w:tc>
        <w:tc>
          <w:tcPr>
            <w:tcW w:w="960" w:type="dxa"/>
            <w:tcBorders>
              <w:top w:val="nil"/>
              <w:left w:val="nil"/>
              <w:bottom w:val="nil"/>
              <w:right w:val="nil"/>
            </w:tcBorders>
            <w:shd w:val="clear" w:color="auto" w:fill="auto"/>
            <w:noWrap/>
            <w:vAlign w:val="bottom"/>
            <w:hideMark/>
          </w:tcPr>
          <w:p w14:paraId="7D7C96A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280</w:t>
            </w:r>
          </w:p>
        </w:tc>
      </w:tr>
      <w:tr w:rsidR="00EE4837" w:rsidRPr="007239A6" w14:paraId="1831F18E" w14:textId="77777777" w:rsidTr="00181ACD">
        <w:trPr>
          <w:trHeight w:val="288"/>
        </w:trPr>
        <w:tc>
          <w:tcPr>
            <w:tcW w:w="1586" w:type="dxa"/>
            <w:tcBorders>
              <w:top w:val="nil"/>
              <w:left w:val="nil"/>
              <w:bottom w:val="nil"/>
              <w:right w:val="nil"/>
            </w:tcBorders>
            <w:shd w:val="clear" w:color="auto" w:fill="auto"/>
            <w:noWrap/>
            <w:vAlign w:val="bottom"/>
            <w:hideMark/>
          </w:tcPr>
          <w:p w14:paraId="69241951"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Montville</w:t>
            </w:r>
          </w:p>
        </w:tc>
        <w:tc>
          <w:tcPr>
            <w:tcW w:w="1261" w:type="dxa"/>
            <w:tcBorders>
              <w:top w:val="nil"/>
              <w:left w:val="nil"/>
              <w:bottom w:val="nil"/>
              <w:right w:val="nil"/>
            </w:tcBorders>
            <w:shd w:val="clear" w:color="auto" w:fill="auto"/>
            <w:noWrap/>
            <w:vAlign w:val="bottom"/>
            <w:hideMark/>
          </w:tcPr>
          <w:p w14:paraId="28EC2BA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3,519.5</w:t>
            </w:r>
          </w:p>
        </w:tc>
        <w:tc>
          <w:tcPr>
            <w:tcW w:w="960" w:type="dxa"/>
            <w:tcBorders>
              <w:top w:val="nil"/>
              <w:left w:val="nil"/>
              <w:bottom w:val="nil"/>
              <w:right w:val="nil"/>
            </w:tcBorders>
            <w:shd w:val="clear" w:color="auto" w:fill="auto"/>
            <w:noWrap/>
            <w:vAlign w:val="bottom"/>
            <w:hideMark/>
          </w:tcPr>
          <w:p w14:paraId="0754008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179</w:t>
            </w:r>
          </w:p>
        </w:tc>
        <w:tc>
          <w:tcPr>
            <w:tcW w:w="1261" w:type="dxa"/>
            <w:tcBorders>
              <w:top w:val="nil"/>
              <w:left w:val="nil"/>
              <w:bottom w:val="nil"/>
              <w:right w:val="nil"/>
            </w:tcBorders>
            <w:shd w:val="clear" w:color="auto" w:fill="auto"/>
            <w:noWrap/>
            <w:vAlign w:val="bottom"/>
            <w:hideMark/>
          </w:tcPr>
          <w:p w14:paraId="3CA5513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3,064.2</w:t>
            </w:r>
          </w:p>
        </w:tc>
        <w:tc>
          <w:tcPr>
            <w:tcW w:w="960" w:type="dxa"/>
            <w:tcBorders>
              <w:top w:val="nil"/>
              <w:left w:val="nil"/>
              <w:bottom w:val="nil"/>
              <w:right w:val="nil"/>
            </w:tcBorders>
            <w:shd w:val="clear" w:color="auto" w:fill="auto"/>
            <w:noWrap/>
            <w:vAlign w:val="bottom"/>
            <w:hideMark/>
          </w:tcPr>
          <w:p w14:paraId="2D28EBA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w:t>
            </w:r>
          </w:p>
        </w:tc>
        <w:tc>
          <w:tcPr>
            <w:tcW w:w="1261" w:type="dxa"/>
            <w:tcBorders>
              <w:top w:val="nil"/>
              <w:left w:val="nil"/>
              <w:bottom w:val="nil"/>
              <w:right w:val="nil"/>
            </w:tcBorders>
            <w:shd w:val="clear" w:color="auto" w:fill="auto"/>
            <w:noWrap/>
            <w:vAlign w:val="bottom"/>
            <w:hideMark/>
          </w:tcPr>
          <w:p w14:paraId="15E5C64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5,161.8</w:t>
            </w:r>
          </w:p>
        </w:tc>
        <w:tc>
          <w:tcPr>
            <w:tcW w:w="960" w:type="dxa"/>
            <w:tcBorders>
              <w:top w:val="nil"/>
              <w:left w:val="nil"/>
              <w:bottom w:val="nil"/>
              <w:right w:val="nil"/>
            </w:tcBorders>
            <w:shd w:val="clear" w:color="auto" w:fill="auto"/>
            <w:noWrap/>
            <w:vAlign w:val="bottom"/>
            <w:hideMark/>
          </w:tcPr>
          <w:p w14:paraId="2AF5673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263</w:t>
            </w:r>
          </w:p>
        </w:tc>
        <w:tc>
          <w:tcPr>
            <w:tcW w:w="1261" w:type="dxa"/>
            <w:tcBorders>
              <w:top w:val="nil"/>
              <w:left w:val="nil"/>
              <w:bottom w:val="nil"/>
              <w:right w:val="nil"/>
            </w:tcBorders>
            <w:shd w:val="clear" w:color="auto" w:fill="auto"/>
            <w:noWrap/>
            <w:vAlign w:val="bottom"/>
            <w:hideMark/>
          </w:tcPr>
          <w:p w14:paraId="2386854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4,371.4</w:t>
            </w:r>
          </w:p>
        </w:tc>
        <w:tc>
          <w:tcPr>
            <w:tcW w:w="960" w:type="dxa"/>
            <w:tcBorders>
              <w:top w:val="nil"/>
              <w:left w:val="nil"/>
              <w:bottom w:val="nil"/>
              <w:right w:val="nil"/>
            </w:tcBorders>
            <w:shd w:val="clear" w:color="auto" w:fill="auto"/>
            <w:noWrap/>
            <w:vAlign w:val="bottom"/>
            <w:hideMark/>
          </w:tcPr>
          <w:p w14:paraId="7AB2A5E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223</w:t>
            </w:r>
          </w:p>
        </w:tc>
        <w:tc>
          <w:tcPr>
            <w:tcW w:w="1261" w:type="dxa"/>
            <w:tcBorders>
              <w:top w:val="nil"/>
              <w:left w:val="nil"/>
              <w:bottom w:val="nil"/>
              <w:right w:val="nil"/>
            </w:tcBorders>
            <w:shd w:val="clear" w:color="auto" w:fill="auto"/>
            <w:noWrap/>
            <w:vAlign w:val="bottom"/>
            <w:hideMark/>
          </w:tcPr>
          <w:p w14:paraId="3293EEA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4,771.7</w:t>
            </w:r>
          </w:p>
        </w:tc>
        <w:tc>
          <w:tcPr>
            <w:tcW w:w="960" w:type="dxa"/>
            <w:tcBorders>
              <w:top w:val="nil"/>
              <w:left w:val="nil"/>
              <w:bottom w:val="nil"/>
              <w:right w:val="nil"/>
            </w:tcBorders>
            <w:shd w:val="clear" w:color="auto" w:fill="auto"/>
            <w:noWrap/>
            <w:vAlign w:val="bottom"/>
            <w:hideMark/>
          </w:tcPr>
          <w:p w14:paraId="7037653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243</w:t>
            </w:r>
          </w:p>
        </w:tc>
      </w:tr>
      <w:tr w:rsidR="00EE4837" w:rsidRPr="007239A6" w14:paraId="71508382" w14:textId="77777777" w:rsidTr="00181ACD">
        <w:trPr>
          <w:trHeight w:val="288"/>
        </w:trPr>
        <w:tc>
          <w:tcPr>
            <w:tcW w:w="1586" w:type="dxa"/>
            <w:tcBorders>
              <w:top w:val="nil"/>
              <w:left w:val="nil"/>
              <w:bottom w:val="nil"/>
              <w:right w:val="nil"/>
            </w:tcBorders>
            <w:shd w:val="clear" w:color="auto" w:fill="auto"/>
            <w:noWrap/>
            <w:vAlign w:val="bottom"/>
            <w:hideMark/>
          </w:tcPr>
          <w:p w14:paraId="4F0C85AA"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Morris</w:t>
            </w:r>
          </w:p>
        </w:tc>
        <w:tc>
          <w:tcPr>
            <w:tcW w:w="1261" w:type="dxa"/>
            <w:tcBorders>
              <w:top w:val="nil"/>
              <w:left w:val="nil"/>
              <w:bottom w:val="nil"/>
              <w:right w:val="nil"/>
            </w:tcBorders>
            <w:shd w:val="clear" w:color="auto" w:fill="auto"/>
            <w:noWrap/>
            <w:vAlign w:val="bottom"/>
            <w:hideMark/>
          </w:tcPr>
          <w:p w14:paraId="2E70A3A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632.4</w:t>
            </w:r>
          </w:p>
        </w:tc>
        <w:tc>
          <w:tcPr>
            <w:tcW w:w="960" w:type="dxa"/>
            <w:tcBorders>
              <w:top w:val="nil"/>
              <w:left w:val="nil"/>
              <w:bottom w:val="nil"/>
              <w:right w:val="nil"/>
            </w:tcBorders>
            <w:shd w:val="clear" w:color="auto" w:fill="auto"/>
            <w:noWrap/>
            <w:vAlign w:val="bottom"/>
            <w:hideMark/>
          </w:tcPr>
          <w:p w14:paraId="3241F4F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266</w:t>
            </w:r>
          </w:p>
        </w:tc>
        <w:tc>
          <w:tcPr>
            <w:tcW w:w="1261" w:type="dxa"/>
            <w:tcBorders>
              <w:top w:val="nil"/>
              <w:left w:val="nil"/>
              <w:bottom w:val="nil"/>
              <w:right w:val="nil"/>
            </w:tcBorders>
            <w:shd w:val="clear" w:color="auto" w:fill="auto"/>
            <w:noWrap/>
            <w:vAlign w:val="bottom"/>
            <w:hideMark/>
          </w:tcPr>
          <w:p w14:paraId="275E5D6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646.7</w:t>
            </w:r>
          </w:p>
        </w:tc>
        <w:tc>
          <w:tcPr>
            <w:tcW w:w="960" w:type="dxa"/>
            <w:tcBorders>
              <w:top w:val="nil"/>
              <w:left w:val="nil"/>
              <w:bottom w:val="nil"/>
              <w:right w:val="nil"/>
            </w:tcBorders>
            <w:shd w:val="clear" w:color="auto" w:fill="auto"/>
            <w:noWrap/>
            <w:vAlign w:val="bottom"/>
            <w:hideMark/>
          </w:tcPr>
          <w:p w14:paraId="6A32E7F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272</w:t>
            </w:r>
          </w:p>
        </w:tc>
        <w:tc>
          <w:tcPr>
            <w:tcW w:w="1261" w:type="dxa"/>
            <w:tcBorders>
              <w:top w:val="nil"/>
              <w:left w:val="nil"/>
              <w:bottom w:val="nil"/>
              <w:right w:val="nil"/>
            </w:tcBorders>
            <w:shd w:val="clear" w:color="auto" w:fill="auto"/>
            <w:noWrap/>
            <w:vAlign w:val="bottom"/>
            <w:hideMark/>
          </w:tcPr>
          <w:p w14:paraId="3DF94E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182.2</w:t>
            </w:r>
          </w:p>
        </w:tc>
        <w:tc>
          <w:tcPr>
            <w:tcW w:w="960" w:type="dxa"/>
            <w:tcBorders>
              <w:top w:val="nil"/>
              <w:left w:val="nil"/>
              <w:bottom w:val="nil"/>
              <w:right w:val="nil"/>
            </w:tcBorders>
            <w:shd w:val="clear" w:color="auto" w:fill="auto"/>
            <w:noWrap/>
            <w:vAlign w:val="bottom"/>
            <w:hideMark/>
          </w:tcPr>
          <w:p w14:paraId="20514CD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77</w:t>
            </w:r>
          </w:p>
        </w:tc>
        <w:tc>
          <w:tcPr>
            <w:tcW w:w="1261" w:type="dxa"/>
            <w:tcBorders>
              <w:top w:val="nil"/>
              <w:left w:val="nil"/>
              <w:bottom w:val="nil"/>
              <w:right w:val="nil"/>
            </w:tcBorders>
            <w:shd w:val="clear" w:color="auto" w:fill="auto"/>
            <w:noWrap/>
            <w:vAlign w:val="bottom"/>
            <w:hideMark/>
          </w:tcPr>
          <w:p w14:paraId="69FEA92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697.0</w:t>
            </w:r>
          </w:p>
        </w:tc>
        <w:tc>
          <w:tcPr>
            <w:tcW w:w="960" w:type="dxa"/>
            <w:tcBorders>
              <w:top w:val="nil"/>
              <w:left w:val="nil"/>
              <w:bottom w:val="nil"/>
              <w:right w:val="nil"/>
            </w:tcBorders>
            <w:shd w:val="clear" w:color="auto" w:fill="auto"/>
            <w:noWrap/>
            <w:vAlign w:val="bottom"/>
            <w:hideMark/>
          </w:tcPr>
          <w:p w14:paraId="69AD1CF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293</w:t>
            </w:r>
          </w:p>
        </w:tc>
        <w:tc>
          <w:tcPr>
            <w:tcW w:w="1261" w:type="dxa"/>
            <w:tcBorders>
              <w:top w:val="nil"/>
              <w:left w:val="nil"/>
              <w:bottom w:val="nil"/>
              <w:right w:val="nil"/>
            </w:tcBorders>
            <w:shd w:val="clear" w:color="auto" w:fill="auto"/>
            <w:noWrap/>
            <w:vAlign w:val="bottom"/>
            <w:hideMark/>
          </w:tcPr>
          <w:p w14:paraId="313CB54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412.0</w:t>
            </w:r>
          </w:p>
        </w:tc>
        <w:tc>
          <w:tcPr>
            <w:tcW w:w="960" w:type="dxa"/>
            <w:tcBorders>
              <w:top w:val="nil"/>
              <w:left w:val="nil"/>
              <w:bottom w:val="nil"/>
              <w:right w:val="nil"/>
            </w:tcBorders>
            <w:shd w:val="clear" w:color="auto" w:fill="auto"/>
            <w:noWrap/>
            <w:vAlign w:val="bottom"/>
            <w:hideMark/>
          </w:tcPr>
          <w:p w14:paraId="0103293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173</w:t>
            </w:r>
          </w:p>
        </w:tc>
      </w:tr>
      <w:tr w:rsidR="00EE4837" w:rsidRPr="007239A6" w14:paraId="5C89B3B5" w14:textId="77777777" w:rsidTr="00181ACD">
        <w:trPr>
          <w:trHeight w:val="288"/>
        </w:trPr>
        <w:tc>
          <w:tcPr>
            <w:tcW w:w="1586" w:type="dxa"/>
            <w:tcBorders>
              <w:top w:val="nil"/>
              <w:left w:val="nil"/>
              <w:bottom w:val="nil"/>
              <w:right w:val="nil"/>
            </w:tcBorders>
            <w:shd w:val="clear" w:color="auto" w:fill="auto"/>
            <w:noWrap/>
            <w:vAlign w:val="bottom"/>
            <w:hideMark/>
          </w:tcPr>
          <w:p w14:paraId="38D20757"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Naugatuck</w:t>
            </w:r>
          </w:p>
        </w:tc>
        <w:tc>
          <w:tcPr>
            <w:tcW w:w="1261" w:type="dxa"/>
            <w:tcBorders>
              <w:top w:val="nil"/>
              <w:left w:val="nil"/>
              <w:bottom w:val="nil"/>
              <w:right w:val="nil"/>
            </w:tcBorders>
            <w:shd w:val="clear" w:color="auto" w:fill="auto"/>
            <w:noWrap/>
            <w:vAlign w:val="bottom"/>
            <w:hideMark/>
          </w:tcPr>
          <w:p w14:paraId="6C70766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5,770.1</w:t>
            </w:r>
          </w:p>
        </w:tc>
        <w:tc>
          <w:tcPr>
            <w:tcW w:w="960" w:type="dxa"/>
            <w:tcBorders>
              <w:top w:val="nil"/>
              <w:left w:val="nil"/>
              <w:bottom w:val="nil"/>
              <w:right w:val="nil"/>
            </w:tcBorders>
            <w:shd w:val="clear" w:color="auto" w:fill="auto"/>
            <w:noWrap/>
            <w:vAlign w:val="bottom"/>
            <w:hideMark/>
          </w:tcPr>
          <w:p w14:paraId="317A8F6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182</w:t>
            </w:r>
          </w:p>
        </w:tc>
        <w:tc>
          <w:tcPr>
            <w:tcW w:w="1261" w:type="dxa"/>
            <w:tcBorders>
              <w:top w:val="nil"/>
              <w:left w:val="nil"/>
              <w:bottom w:val="nil"/>
              <w:right w:val="nil"/>
            </w:tcBorders>
            <w:shd w:val="clear" w:color="auto" w:fill="auto"/>
            <w:noWrap/>
            <w:vAlign w:val="bottom"/>
            <w:hideMark/>
          </w:tcPr>
          <w:p w14:paraId="45DB46C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4,962.1</w:t>
            </w:r>
          </w:p>
        </w:tc>
        <w:tc>
          <w:tcPr>
            <w:tcW w:w="960" w:type="dxa"/>
            <w:tcBorders>
              <w:top w:val="nil"/>
              <w:left w:val="nil"/>
              <w:bottom w:val="nil"/>
              <w:right w:val="nil"/>
            </w:tcBorders>
            <w:shd w:val="clear" w:color="auto" w:fill="auto"/>
            <w:noWrap/>
            <w:vAlign w:val="bottom"/>
            <w:hideMark/>
          </w:tcPr>
          <w:p w14:paraId="0837A95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w:t>
            </w:r>
          </w:p>
        </w:tc>
        <w:tc>
          <w:tcPr>
            <w:tcW w:w="1261" w:type="dxa"/>
            <w:tcBorders>
              <w:top w:val="nil"/>
              <w:left w:val="nil"/>
              <w:bottom w:val="nil"/>
              <w:right w:val="nil"/>
            </w:tcBorders>
            <w:shd w:val="clear" w:color="auto" w:fill="auto"/>
            <w:noWrap/>
            <w:vAlign w:val="bottom"/>
            <w:hideMark/>
          </w:tcPr>
          <w:p w14:paraId="5A6784E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3,593.2</w:t>
            </w:r>
          </w:p>
        </w:tc>
        <w:tc>
          <w:tcPr>
            <w:tcW w:w="960" w:type="dxa"/>
            <w:tcBorders>
              <w:top w:val="nil"/>
              <w:left w:val="nil"/>
              <w:bottom w:val="nil"/>
              <w:right w:val="nil"/>
            </w:tcBorders>
            <w:shd w:val="clear" w:color="auto" w:fill="auto"/>
            <w:noWrap/>
            <w:vAlign w:val="bottom"/>
            <w:hideMark/>
          </w:tcPr>
          <w:p w14:paraId="5061A0A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113</w:t>
            </w:r>
          </w:p>
        </w:tc>
        <w:tc>
          <w:tcPr>
            <w:tcW w:w="1261" w:type="dxa"/>
            <w:tcBorders>
              <w:top w:val="nil"/>
              <w:left w:val="nil"/>
              <w:bottom w:val="nil"/>
              <w:right w:val="nil"/>
            </w:tcBorders>
            <w:shd w:val="clear" w:color="auto" w:fill="auto"/>
            <w:noWrap/>
            <w:vAlign w:val="bottom"/>
            <w:hideMark/>
          </w:tcPr>
          <w:p w14:paraId="4C5C01C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7,668.1</w:t>
            </w:r>
          </w:p>
        </w:tc>
        <w:tc>
          <w:tcPr>
            <w:tcW w:w="960" w:type="dxa"/>
            <w:tcBorders>
              <w:top w:val="nil"/>
              <w:left w:val="nil"/>
              <w:bottom w:val="nil"/>
              <w:right w:val="nil"/>
            </w:tcBorders>
            <w:shd w:val="clear" w:color="auto" w:fill="auto"/>
            <w:noWrap/>
            <w:vAlign w:val="bottom"/>
            <w:hideMark/>
          </w:tcPr>
          <w:p w14:paraId="00BC049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241</w:t>
            </w:r>
          </w:p>
        </w:tc>
        <w:tc>
          <w:tcPr>
            <w:tcW w:w="1261" w:type="dxa"/>
            <w:tcBorders>
              <w:top w:val="nil"/>
              <w:left w:val="nil"/>
              <w:bottom w:val="nil"/>
              <w:right w:val="nil"/>
            </w:tcBorders>
            <w:shd w:val="clear" w:color="auto" w:fill="auto"/>
            <w:noWrap/>
            <w:vAlign w:val="bottom"/>
            <w:hideMark/>
          </w:tcPr>
          <w:p w14:paraId="480990B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5,559.2</w:t>
            </w:r>
          </w:p>
        </w:tc>
        <w:tc>
          <w:tcPr>
            <w:tcW w:w="960" w:type="dxa"/>
            <w:tcBorders>
              <w:top w:val="nil"/>
              <w:left w:val="nil"/>
              <w:bottom w:val="nil"/>
              <w:right w:val="nil"/>
            </w:tcBorders>
            <w:shd w:val="clear" w:color="auto" w:fill="auto"/>
            <w:noWrap/>
            <w:vAlign w:val="bottom"/>
            <w:hideMark/>
          </w:tcPr>
          <w:p w14:paraId="32009CB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175</w:t>
            </w:r>
          </w:p>
        </w:tc>
      </w:tr>
      <w:tr w:rsidR="00EE4837" w:rsidRPr="007239A6" w14:paraId="6AC5F0ED" w14:textId="77777777" w:rsidTr="00181ACD">
        <w:trPr>
          <w:trHeight w:val="288"/>
        </w:trPr>
        <w:tc>
          <w:tcPr>
            <w:tcW w:w="1586" w:type="dxa"/>
            <w:tcBorders>
              <w:top w:val="nil"/>
              <w:left w:val="nil"/>
              <w:bottom w:val="nil"/>
              <w:right w:val="nil"/>
            </w:tcBorders>
            <w:shd w:val="clear" w:color="auto" w:fill="auto"/>
            <w:noWrap/>
            <w:vAlign w:val="bottom"/>
            <w:hideMark/>
          </w:tcPr>
          <w:p w14:paraId="29C017A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New Britain</w:t>
            </w:r>
          </w:p>
        </w:tc>
        <w:tc>
          <w:tcPr>
            <w:tcW w:w="1261" w:type="dxa"/>
            <w:tcBorders>
              <w:top w:val="nil"/>
              <w:left w:val="nil"/>
              <w:bottom w:val="nil"/>
              <w:right w:val="nil"/>
            </w:tcBorders>
            <w:shd w:val="clear" w:color="auto" w:fill="auto"/>
            <w:noWrap/>
            <w:vAlign w:val="bottom"/>
            <w:hideMark/>
          </w:tcPr>
          <w:p w14:paraId="4958F10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8,807.8</w:t>
            </w:r>
          </w:p>
        </w:tc>
        <w:tc>
          <w:tcPr>
            <w:tcW w:w="960" w:type="dxa"/>
            <w:tcBorders>
              <w:top w:val="nil"/>
              <w:left w:val="nil"/>
              <w:bottom w:val="nil"/>
              <w:right w:val="nil"/>
            </w:tcBorders>
            <w:shd w:val="clear" w:color="auto" w:fill="auto"/>
            <w:noWrap/>
            <w:vAlign w:val="bottom"/>
            <w:hideMark/>
          </w:tcPr>
          <w:p w14:paraId="7424A28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120</w:t>
            </w:r>
          </w:p>
        </w:tc>
        <w:tc>
          <w:tcPr>
            <w:tcW w:w="1261" w:type="dxa"/>
            <w:tcBorders>
              <w:top w:val="nil"/>
              <w:left w:val="nil"/>
              <w:bottom w:val="nil"/>
              <w:right w:val="nil"/>
            </w:tcBorders>
            <w:shd w:val="clear" w:color="auto" w:fill="auto"/>
            <w:noWrap/>
            <w:vAlign w:val="bottom"/>
            <w:hideMark/>
          </w:tcPr>
          <w:p w14:paraId="3C7C7D0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6,226.5</w:t>
            </w:r>
          </w:p>
        </w:tc>
        <w:tc>
          <w:tcPr>
            <w:tcW w:w="960" w:type="dxa"/>
            <w:tcBorders>
              <w:top w:val="nil"/>
              <w:left w:val="nil"/>
              <w:bottom w:val="nil"/>
              <w:right w:val="nil"/>
            </w:tcBorders>
            <w:shd w:val="clear" w:color="auto" w:fill="auto"/>
            <w:noWrap/>
            <w:vAlign w:val="bottom"/>
            <w:hideMark/>
          </w:tcPr>
          <w:p w14:paraId="0ED5107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85</w:t>
            </w:r>
          </w:p>
        </w:tc>
        <w:tc>
          <w:tcPr>
            <w:tcW w:w="1261" w:type="dxa"/>
            <w:tcBorders>
              <w:top w:val="nil"/>
              <w:left w:val="nil"/>
              <w:bottom w:val="nil"/>
              <w:right w:val="nil"/>
            </w:tcBorders>
            <w:shd w:val="clear" w:color="auto" w:fill="auto"/>
            <w:noWrap/>
            <w:vAlign w:val="bottom"/>
            <w:hideMark/>
          </w:tcPr>
          <w:p w14:paraId="1EE4A0E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14,311.7</w:t>
            </w:r>
          </w:p>
        </w:tc>
        <w:tc>
          <w:tcPr>
            <w:tcW w:w="960" w:type="dxa"/>
            <w:tcBorders>
              <w:top w:val="nil"/>
              <w:left w:val="nil"/>
              <w:bottom w:val="nil"/>
              <w:right w:val="nil"/>
            </w:tcBorders>
            <w:shd w:val="clear" w:color="auto" w:fill="auto"/>
            <w:noWrap/>
            <w:vAlign w:val="bottom"/>
            <w:hideMark/>
          </w:tcPr>
          <w:p w14:paraId="43FDC6A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196</w:t>
            </w:r>
          </w:p>
        </w:tc>
        <w:tc>
          <w:tcPr>
            <w:tcW w:w="1261" w:type="dxa"/>
            <w:tcBorders>
              <w:top w:val="nil"/>
              <w:left w:val="nil"/>
              <w:bottom w:val="nil"/>
              <w:right w:val="nil"/>
            </w:tcBorders>
            <w:shd w:val="clear" w:color="auto" w:fill="auto"/>
            <w:noWrap/>
            <w:vAlign w:val="bottom"/>
            <w:hideMark/>
          </w:tcPr>
          <w:p w14:paraId="79BB2E3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11,485.1</w:t>
            </w:r>
          </w:p>
        </w:tc>
        <w:tc>
          <w:tcPr>
            <w:tcW w:w="960" w:type="dxa"/>
            <w:tcBorders>
              <w:top w:val="nil"/>
              <w:left w:val="nil"/>
              <w:bottom w:val="nil"/>
              <w:right w:val="nil"/>
            </w:tcBorders>
            <w:shd w:val="clear" w:color="auto" w:fill="auto"/>
            <w:noWrap/>
            <w:vAlign w:val="bottom"/>
            <w:hideMark/>
          </w:tcPr>
          <w:p w14:paraId="1CE7DDC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157</w:t>
            </w:r>
          </w:p>
        </w:tc>
        <w:tc>
          <w:tcPr>
            <w:tcW w:w="1261" w:type="dxa"/>
            <w:tcBorders>
              <w:top w:val="nil"/>
              <w:left w:val="nil"/>
              <w:bottom w:val="nil"/>
              <w:right w:val="nil"/>
            </w:tcBorders>
            <w:shd w:val="clear" w:color="auto" w:fill="auto"/>
            <w:noWrap/>
            <w:vAlign w:val="bottom"/>
            <w:hideMark/>
          </w:tcPr>
          <w:p w14:paraId="0632E16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12,957.9</w:t>
            </w:r>
          </w:p>
        </w:tc>
        <w:tc>
          <w:tcPr>
            <w:tcW w:w="960" w:type="dxa"/>
            <w:tcBorders>
              <w:top w:val="nil"/>
              <w:left w:val="nil"/>
              <w:bottom w:val="nil"/>
              <w:right w:val="nil"/>
            </w:tcBorders>
            <w:shd w:val="clear" w:color="auto" w:fill="auto"/>
            <w:noWrap/>
            <w:vAlign w:val="bottom"/>
            <w:hideMark/>
          </w:tcPr>
          <w:p w14:paraId="68FDC6F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177</w:t>
            </w:r>
          </w:p>
        </w:tc>
      </w:tr>
      <w:tr w:rsidR="00EE4837" w:rsidRPr="007239A6" w14:paraId="4F5EF774" w14:textId="77777777" w:rsidTr="00181ACD">
        <w:trPr>
          <w:trHeight w:val="288"/>
        </w:trPr>
        <w:tc>
          <w:tcPr>
            <w:tcW w:w="1586" w:type="dxa"/>
            <w:tcBorders>
              <w:top w:val="nil"/>
              <w:left w:val="nil"/>
              <w:bottom w:val="nil"/>
              <w:right w:val="nil"/>
            </w:tcBorders>
            <w:shd w:val="clear" w:color="auto" w:fill="auto"/>
            <w:noWrap/>
            <w:vAlign w:val="bottom"/>
            <w:hideMark/>
          </w:tcPr>
          <w:p w14:paraId="46B8AB1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New Canaan</w:t>
            </w:r>
          </w:p>
        </w:tc>
        <w:tc>
          <w:tcPr>
            <w:tcW w:w="1261" w:type="dxa"/>
            <w:tcBorders>
              <w:top w:val="nil"/>
              <w:left w:val="nil"/>
              <w:bottom w:val="nil"/>
              <w:right w:val="nil"/>
            </w:tcBorders>
            <w:shd w:val="clear" w:color="auto" w:fill="auto"/>
            <w:noWrap/>
            <w:vAlign w:val="bottom"/>
            <w:hideMark/>
          </w:tcPr>
          <w:p w14:paraId="35882F8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34,492.7</w:t>
            </w:r>
          </w:p>
        </w:tc>
        <w:tc>
          <w:tcPr>
            <w:tcW w:w="960" w:type="dxa"/>
            <w:tcBorders>
              <w:top w:val="nil"/>
              <w:left w:val="nil"/>
              <w:bottom w:val="nil"/>
              <w:right w:val="nil"/>
            </w:tcBorders>
            <w:shd w:val="clear" w:color="auto" w:fill="auto"/>
            <w:noWrap/>
            <w:vAlign w:val="bottom"/>
            <w:hideMark/>
          </w:tcPr>
          <w:p w14:paraId="449515C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1730</w:t>
            </w:r>
          </w:p>
        </w:tc>
        <w:tc>
          <w:tcPr>
            <w:tcW w:w="1261" w:type="dxa"/>
            <w:tcBorders>
              <w:top w:val="nil"/>
              <w:left w:val="nil"/>
              <w:bottom w:val="nil"/>
              <w:right w:val="nil"/>
            </w:tcBorders>
            <w:shd w:val="clear" w:color="auto" w:fill="auto"/>
            <w:noWrap/>
            <w:vAlign w:val="bottom"/>
            <w:hideMark/>
          </w:tcPr>
          <w:p w14:paraId="2671602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36,224.2</w:t>
            </w:r>
          </w:p>
        </w:tc>
        <w:tc>
          <w:tcPr>
            <w:tcW w:w="960" w:type="dxa"/>
            <w:tcBorders>
              <w:top w:val="nil"/>
              <w:left w:val="nil"/>
              <w:bottom w:val="nil"/>
              <w:right w:val="nil"/>
            </w:tcBorders>
            <w:shd w:val="clear" w:color="auto" w:fill="auto"/>
            <w:noWrap/>
            <w:vAlign w:val="bottom"/>
            <w:hideMark/>
          </w:tcPr>
          <w:p w14:paraId="6683022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1817</w:t>
            </w:r>
          </w:p>
        </w:tc>
        <w:tc>
          <w:tcPr>
            <w:tcW w:w="1261" w:type="dxa"/>
            <w:tcBorders>
              <w:top w:val="nil"/>
              <w:left w:val="nil"/>
              <w:bottom w:val="nil"/>
              <w:right w:val="nil"/>
            </w:tcBorders>
            <w:shd w:val="clear" w:color="auto" w:fill="auto"/>
            <w:noWrap/>
            <w:vAlign w:val="bottom"/>
            <w:hideMark/>
          </w:tcPr>
          <w:p w14:paraId="4AF746C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4,736.8</w:t>
            </w:r>
          </w:p>
        </w:tc>
        <w:tc>
          <w:tcPr>
            <w:tcW w:w="960" w:type="dxa"/>
            <w:tcBorders>
              <w:top w:val="nil"/>
              <w:left w:val="nil"/>
              <w:bottom w:val="nil"/>
              <w:right w:val="nil"/>
            </w:tcBorders>
            <w:shd w:val="clear" w:color="auto" w:fill="auto"/>
            <w:noWrap/>
            <w:vAlign w:val="bottom"/>
            <w:hideMark/>
          </w:tcPr>
          <w:p w14:paraId="0B63E0C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238</w:t>
            </w:r>
          </w:p>
        </w:tc>
        <w:tc>
          <w:tcPr>
            <w:tcW w:w="1261" w:type="dxa"/>
            <w:tcBorders>
              <w:top w:val="nil"/>
              <w:left w:val="nil"/>
              <w:bottom w:val="nil"/>
              <w:right w:val="nil"/>
            </w:tcBorders>
            <w:shd w:val="clear" w:color="auto" w:fill="auto"/>
            <w:noWrap/>
            <w:vAlign w:val="bottom"/>
            <w:hideMark/>
          </w:tcPr>
          <w:p w14:paraId="11B2A52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14,169.5</w:t>
            </w:r>
          </w:p>
        </w:tc>
        <w:tc>
          <w:tcPr>
            <w:tcW w:w="960" w:type="dxa"/>
            <w:tcBorders>
              <w:top w:val="nil"/>
              <w:left w:val="nil"/>
              <w:bottom w:val="nil"/>
              <w:right w:val="nil"/>
            </w:tcBorders>
            <w:shd w:val="clear" w:color="auto" w:fill="auto"/>
            <w:noWrap/>
            <w:vAlign w:val="bottom"/>
            <w:hideMark/>
          </w:tcPr>
          <w:p w14:paraId="0D77B7B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711</w:t>
            </w:r>
          </w:p>
        </w:tc>
        <w:tc>
          <w:tcPr>
            <w:tcW w:w="1261" w:type="dxa"/>
            <w:tcBorders>
              <w:top w:val="nil"/>
              <w:left w:val="nil"/>
              <w:bottom w:val="nil"/>
              <w:right w:val="nil"/>
            </w:tcBorders>
            <w:shd w:val="clear" w:color="auto" w:fill="auto"/>
            <w:noWrap/>
            <w:vAlign w:val="bottom"/>
            <w:hideMark/>
          </w:tcPr>
          <w:p w14:paraId="44CFD7C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9,204.6</w:t>
            </w:r>
          </w:p>
        </w:tc>
        <w:tc>
          <w:tcPr>
            <w:tcW w:w="960" w:type="dxa"/>
            <w:tcBorders>
              <w:top w:val="nil"/>
              <w:left w:val="nil"/>
              <w:bottom w:val="nil"/>
              <w:right w:val="nil"/>
            </w:tcBorders>
            <w:shd w:val="clear" w:color="auto" w:fill="auto"/>
            <w:noWrap/>
            <w:vAlign w:val="bottom"/>
            <w:hideMark/>
          </w:tcPr>
          <w:p w14:paraId="749691A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462</w:t>
            </w:r>
          </w:p>
        </w:tc>
      </w:tr>
      <w:tr w:rsidR="00EE4837" w:rsidRPr="007239A6" w14:paraId="1D2AE9F1" w14:textId="77777777" w:rsidTr="00181ACD">
        <w:trPr>
          <w:trHeight w:val="288"/>
        </w:trPr>
        <w:tc>
          <w:tcPr>
            <w:tcW w:w="1586" w:type="dxa"/>
            <w:tcBorders>
              <w:top w:val="nil"/>
              <w:left w:val="nil"/>
              <w:bottom w:val="nil"/>
              <w:right w:val="nil"/>
            </w:tcBorders>
            <w:shd w:val="clear" w:color="auto" w:fill="auto"/>
            <w:noWrap/>
            <w:vAlign w:val="bottom"/>
            <w:hideMark/>
          </w:tcPr>
          <w:p w14:paraId="09480F1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New Fairfield</w:t>
            </w:r>
          </w:p>
        </w:tc>
        <w:tc>
          <w:tcPr>
            <w:tcW w:w="1261" w:type="dxa"/>
            <w:tcBorders>
              <w:top w:val="nil"/>
              <w:left w:val="nil"/>
              <w:bottom w:val="nil"/>
              <w:right w:val="nil"/>
            </w:tcBorders>
            <w:shd w:val="clear" w:color="auto" w:fill="auto"/>
            <w:noWrap/>
            <w:vAlign w:val="bottom"/>
            <w:hideMark/>
          </w:tcPr>
          <w:p w14:paraId="2C78633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4,488.1</w:t>
            </w:r>
          </w:p>
        </w:tc>
        <w:tc>
          <w:tcPr>
            <w:tcW w:w="960" w:type="dxa"/>
            <w:tcBorders>
              <w:top w:val="nil"/>
              <w:left w:val="nil"/>
              <w:bottom w:val="nil"/>
              <w:right w:val="nil"/>
            </w:tcBorders>
            <w:shd w:val="clear" w:color="auto" w:fill="auto"/>
            <w:noWrap/>
            <w:vAlign w:val="bottom"/>
            <w:hideMark/>
          </w:tcPr>
          <w:p w14:paraId="2182F7B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320</w:t>
            </w:r>
          </w:p>
        </w:tc>
        <w:tc>
          <w:tcPr>
            <w:tcW w:w="1261" w:type="dxa"/>
            <w:tcBorders>
              <w:top w:val="nil"/>
              <w:left w:val="nil"/>
              <w:bottom w:val="nil"/>
              <w:right w:val="nil"/>
            </w:tcBorders>
            <w:shd w:val="clear" w:color="auto" w:fill="auto"/>
            <w:noWrap/>
            <w:vAlign w:val="bottom"/>
            <w:hideMark/>
          </w:tcPr>
          <w:p w14:paraId="386707C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3,325.6</w:t>
            </w:r>
          </w:p>
        </w:tc>
        <w:tc>
          <w:tcPr>
            <w:tcW w:w="960" w:type="dxa"/>
            <w:tcBorders>
              <w:top w:val="nil"/>
              <w:left w:val="nil"/>
              <w:bottom w:val="nil"/>
              <w:right w:val="nil"/>
            </w:tcBorders>
            <w:shd w:val="clear" w:color="auto" w:fill="auto"/>
            <w:noWrap/>
            <w:vAlign w:val="bottom"/>
            <w:hideMark/>
          </w:tcPr>
          <w:p w14:paraId="63A2D36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237</w:t>
            </w:r>
          </w:p>
        </w:tc>
        <w:tc>
          <w:tcPr>
            <w:tcW w:w="1261" w:type="dxa"/>
            <w:tcBorders>
              <w:top w:val="nil"/>
              <w:left w:val="nil"/>
              <w:bottom w:val="nil"/>
              <w:right w:val="nil"/>
            </w:tcBorders>
            <w:shd w:val="clear" w:color="auto" w:fill="auto"/>
            <w:noWrap/>
            <w:vAlign w:val="bottom"/>
            <w:hideMark/>
          </w:tcPr>
          <w:p w14:paraId="7896173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808.0</w:t>
            </w:r>
          </w:p>
        </w:tc>
        <w:tc>
          <w:tcPr>
            <w:tcW w:w="960" w:type="dxa"/>
            <w:tcBorders>
              <w:top w:val="nil"/>
              <w:left w:val="nil"/>
              <w:bottom w:val="nil"/>
              <w:right w:val="nil"/>
            </w:tcBorders>
            <w:shd w:val="clear" w:color="auto" w:fill="auto"/>
            <w:noWrap/>
            <w:vAlign w:val="bottom"/>
            <w:hideMark/>
          </w:tcPr>
          <w:p w14:paraId="3106C87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w:t>
            </w:r>
          </w:p>
        </w:tc>
        <w:tc>
          <w:tcPr>
            <w:tcW w:w="1261" w:type="dxa"/>
            <w:tcBorders>
              <w:top w:val="nil"/>
              <w:left w:val="nil"/>
              <w:bottom w:val="nil"/>
              <w:right w:val="nil"/>
            </w:tcBorders>
            <w:shd w:val="clear" w:color="auto" w:fill="auto"/>
            <w:noWrap/>
            <w:vAlign w:val="bottom"/>
            <w:hideMark/>
          </w:tcPr>
          <w:p w14:paraId="6C46664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3,585.3</w:t>
            </w:r>
          </w:p>
        </w:tc>
        <w:tc>
          <w:tcPr>
            <w:tcW w:w="960" w:type="dxa"/>
            <w:tcBorders>
              <w:top w:val="nil"/>
              <w:left w:val="nil"/>
              <w:bottom w:val="nil"/>
              <w:right w:val="nil"/>
            </w:tcBorders>
            <w:shd w:val="clear" w:color="auto" w:fill="auto"/>
            <w:noWrap/>
            <w:vAlign w:val="bottom"/>
            <w:hideMark/>
          </w:tcPr>
          <w:p w14:paraId="63CFCB0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256</w:t>
            </w:r>
          </w:p>
        </w:tc>
        <w:tc>
          <w:tcPr>
            <w:tcW w:w="1261" w:type="dxa"/>
            <w:tcBorders>
              <w:top w:val="nil"/>
              <w:left w:val="nil"/>
              <w:bottom w:val="nil"/>
              <w:right w:val="nil"/>
            </w:tcBorders>
            <w:shd w:val="clear" w:color="auto" w:fill="auto"/>
            <w:noWrap/>
            <w:vAlign w:val="bottom"/>
            <w:hideMark/>
          </w:tcPr>
          <w:p w14:paraId="35AD905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2,136.5</w:t>
            </w:r>
          </w:p>
        </w:tc>
        <w:tc>
          <w:tcPr>
            <w:tcW w:w="960" w:type="dxa"/>
            <w:tcBorders>
              <w:top w:val="nil"/>
              <w:left w:val="nil"/>
              <w:bottom w:val="nil"/>
              <w:right w:val="nil"/>
            </w:tcBorders>
            <w:shd w:val="clear" w:color="auto" w:fill="auto"/>
            <w:noWrap/>
            <w:vAlign w:val="bottom"/>
            <w:hideMark/>
          </w:tcPr>
          <w:p w14:paraId="5E87DCB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153</w:t>
            </w:r>
          </w:p>
        </w:tc>
      </w:tr>
      <w:tr w:rsidR="00EE4837" w:rsidRPr="007239A6" w14:paraId="3D71E39E" w14:textId="77777777" w:rsidTr="00181ACD">
        <w:trPr>
          <w:trHeight w:val="288"/>
        </w:trPr>
        <w:tc>
          <w:tcPr>
            <w:tcW w:w="1586" w:type="dxa"/>
            <w:tcBorders>
              <w:top w:val="nil"/>
              <w:left w:val="nil"/>
              <w:bottom w:val="nil"/>
              <w:right w:val="nil"/>
            </w:tcBorders>
            <w:shd w:val="clear" w:color="auto" w:fill="auto"/>
            <w:noWrap/>
            <w:vAlign w:val="bottom"/>
            <w:hideMark/>
          </w:tcPr>
          <w:p w14:paraId="125D826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lastRenderedPageBreak/>
              <w:t>New Hartford</w:t>
            </w:r>
          </w:p>
        </w:tc>
        <w:tc>
          <w:tcPr>
            <w:tcW w:w="1261" w:type="dxa"/>
            <w:tcBorders>
              <w:top w:val="nil"/>
              <w:left w:val="nil"/>
              <w:bottom w:val="nil"/>
              <w:right w:val="nil"/>
            </w:tcBorders>
            <w:shd w:val="clear" w:color="auto" w:fill="auto"/>
            <w:noWrap/>
            <w:vAlign w:val="bottom"/>
            <w:hideMark/>
          </w:tcPr>
          <w:p w14:paraId="286006E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2,003.0</w:t>
            </w:r>
          </w:p>
        </w:tc>
        <w:tc>
          <w:tcPr>
            <w:tcW w:w="960" w:type="dxa"/>
            <w:tcBorders>
              <w:top w:val="nil"/>
              <w:left w:val="nil"/>
              <w:bottom w:val="nil"/>
              <w:right w:val="nil"/>
            </w:tcBorders>
            <w:shd w:val="clear" w:color="auto" w:fill="auto"/>
            <w:noWrap/>
            <w:vAlign w:val="bottom"/>
            <w:hideMark/>
          </w:tcPr>
          <w:p w14:paraId="06F4A35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289</w:t>
            </w:r>
          </w:p>
        </w:tc>
        <w:tc>
          <w:tcPr>
            <w:tcW w:w="1261" w:type="dxa"/>
            <w:tcBorders>
              <w:top w:val="nil"/>
              <w:left w:val="nil"/>
              <w:bottom w:val="nil"/>
              <w:right w:val="nil"/>
            </w:tcBorders>
            <w:shd w:val="clear" w:color="auto" w:fill="auto"/>
            <w:noWrap/>
            <w:vAlign w:val="bottom"/>
            <w:hideMark/>
          </w:tcPr>
          <w:p w14:paraId="722AB33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2,110.5</w:t>
            </w:r>
          </w:p>
        </w:tc>
        <w:tc>
          <w:tcPr>
            <w:tcW w:w="960" w:type="dxa"/>
            <w:tcBorders>
              <w:top w:val="nil"/>
              <w:left w:val="nil"/>
              <w:bottom w:val="nil"/>
              <w:right w:val="nil"/>
            </w:tcBorders>
            <w:shd w:val="clear" w:color="auto" w:fill="auto"/>
            <w:noWrap/>
            <w:vAlign w:val="bottom"/>
            <w:hideMark/>
          </w:tcPr>
          <w:p w14:paraId="6B294B4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304</w:t>
            </w:r>
          </w:p>
        </w:tc>
        <w:tc>
          <w:tcPr>
            <w:tcW w:w="1261" w:type="dxa"/>
            <w:tcBorders>
              <w:top w:val="nil"/>
              <w:left w:val="nil"/>
              <w:bottom w:val="nil"/>
              <w:right w:val="nil"/>
            </w:tcBorders>
            <w:shd w:val="clear" w:color="auto" w:fill="auto"/>
            <w:noWrap/>
            <w:vAlign w:val="bottom"/>
            <w:hideMark/>
          </w:tcPr>
          <w:p w14:paraId="2A3A7D0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631.7</w:t>
            </w:r>
          </w:p>
        </w:tc>
        <w:tc>
          <w:tcPr>
            <w:tcW w:w="960" w:type="dxa"/>
            <w:tcBorders>
              <w:top w:val="nil"/>
              <w:left w:val="nil"/>
              <w:bottom w:val="nil"/>
              <w:right w:val="nil"/>
            </w:tcBorders>
            <w:shd w:val="clear" w:color="auto" w:fill="auto"/>
            <w:noWrap/>
            <w:vAlign w:val="bottom"/>
            <w:hideMark/>
          </w:tcPr>
          <w:p w14:paraId="20DC187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91</w:t>
            </w:r>
          </w:p>
        </w:tc>
        <w:tc>
          <w:tcPr>
            <w:tcW w:w="1261" w:type="dxa"/>
            <w:tcBorders>
              <w:top w:val="nil"/>
              <w:left w:val="nil"/>
              <w:bottom w:val="nil"/>
              <w:right w:val="nil"/>
            </w:tcBorders>
            <w:shd w:val="clear" w:color="auto" w:fill="auto"/>
            <w:noWrap/>
            <w:vAlign w:val="bottom"/>
            <w:hideMark/>
          </w:tcPr>
          <w:p w14:paraId="36A4592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2,546.3</w:t>
            </w:r>
          </w:p>
        </w:tc>
        <w:tc>
          <w:tcPr>
            <w:tcW w:w="960" w:type="dxa"/>
            <w:tcBorders>
              <w:top w:val="nil"/>
              <w:left w:val="nil"/>
              <w:bottom w:val="nil"/>
              <w:right w:val="nil"/>
            </w:tcBorders>
            <w:shd w:val="clear" w:color="auto" w:fill="auto"/>
            <w:noWrap/>
            <w:vAlign w:val="bottom"/>
            <w:hideMark/>
          </w:tcPr>
          <w:p w14:paraId="59FD6D5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367</w:t>
            </w:r>
          </w:p>
        </w:tc>
        <w:tc>
          <w:tcPr>
            <w:tcW w:w="1261" w:type="dxa"/>
            <w:tcBorders>
              <w:top w:val="nil"/>
              <w:left w:val="nil"/>
              <w:bottom w:val="nil"/>
              <w:right w:val="nil"/>
            </w:tcBorders>
            <w:shd w:val="clear" w:color="auto" w:fill="auto"/>
            <w:noWrap/>
            <w:vAlign w:val="bottom"/>
            <w:hideMark/>
          </w:tcPr>
          <w:p w14:paraId="6A5938B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1,500.1</w:t>
            </w:r>
          </w:p>
        </w:tc>
        <w:tc>
          <w:tcPr>
            <w:tcW w:w="960" w:type="dxa"/>
            <w:tcBorders>
              <w:top w:val="nil"/>
              <w:left w:val="nil"/>
              <w:bottom w:val="nil"/>
              <w:right w:val="nil"/>
            </w:tcBorders>
            <w:shd w:val="clear" w:color="auto" w:fill="auto"/>
            <w:noWrap/>
            <w:vAlign w:val="bottom"/>
            <w:hideMark/>
          </w:tcPr>
          <w:p w14:paraId="7BE28E1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216</w:t>
            </w:r>
          </w:p>
        </w:tc>
      </w:tr>
      <w:tr w:rsidR="00EE4837" w:rsidRPr="007239A6" w14:paraId="01FFAC83" w14:textId="77777777" w:rsidTr="00181ACD">
        <w:trPr>
          <w:trHeight w:val="288"/>
        </w:trPr>
        <w:tc>
          <w:tcPr>
            <w:tcW w:w="1586" w:type="dxa"/>
            <w:tcBorders>
              <w:top w:val="nil"/>
              <w:left w:val="nil"/>
              <w:bottom w:val="nil"/>
              <w:right w:val="nil"/>
            </w:tcBorders>
            <w:shd w:val="clear" w:color="auto" w:fill="auto"/>
            <w:noWrap/>
            <w:vAlign w:val="bottom"/>
            <w:hideMark/>
          </w:tcPr>
          <w:p w14:paraId="55360787"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New Haven</w:t>
            </w:r>
          </w:p>
        </w:tc>
        <w:tc>
          <w:tcPr>
            <w:tcW w:w="1261" w:type="dxa"/>
            <w:tcBorders>
              <w:top w:val="nil"/>
              <w:left w:val="nil"/>
              <w:bottom w:val="nil"/>
              <w:right w:val="nil"/>
            </w:tcBorders>
            <w:shd w:val="clear" w:color="auto" w:fill="auto"/>
            <w:noWrap/>
            <w:vAlign w:val="bottom"/>
            <w:hideMark/>
          </w:tcPr>
          <w:p w14:paraId="14CBABC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16,840.0</w:t>
            </w:r>
          </w:p>
        </w:tc>
        <w:tc>
          <w:tcPr>
            <w:tcW w:w="960" w:type="dxa"/>
            <w:tcBorders>
              <w:top w:val="nil"/>
              <w:left w:val="nil"/>
              <w:bottom w:val="nil"/>
              <w:right w:val="nil"/>
            </w:tcBorders>
            <w:shd w:val="clear" w:color="auto" w:fill="auto"/>
            <w:noWrap/>
            <w:vAlign w:val="bottom"/>
            <w:hideMark/>
          </w:tcPr>
          <w:p w14:paraId="648A7E3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129</w:t>
            </w:r>
          </w:p>
        </w:tc>
        <w:tc>
          <w:tcPr>
            <w:tcW w:w="1261" w:type="dxa"/>
            <w:tcBorders>
              <w:top w:val="nil"/>
              <w:left w:val="nil"/>
              <w:bottom w:val="nil"/>
              <w:right w:val="nil"/>
            </w:tcBorders>
            <w:shd w:val="clear" w:color="auto" w:fill="auto"/>
            <w:noWrap/>
            <w:vAlign w:val="bottom"/>
            <w:hideMark/>
          </w:tcPr>
          <w:p w14:paraId="3018B3F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14,237.6</w:t>
            </w:r>
          </w:p>
        </w:tc>
        <w:tc>
          <w:tcPr>
            <w:tcW w:w="960" w:type="dxa"/>
            <w:tcBorders>
              <w:top w:val="nil"/>
              <w:left w:val="nil"/>
              <w:bottom w:val="nil"/>
              <w:right w:val="nil"/>
            </w:tcBorders>
            <w:shd w:val="clear" w:color="auto" w:fill="auto"/>
            <w:noWrap/>
            <w:vAlign w:val="bottom"/>
            <w:hideMark/>
          </w:tcPr>
          <w:p w14:paraId="3EBBBB4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109</w:t>
            </w:r>
          </w:p>
        </w:tc>
        <w:tc>
          <w:tcPr>
            <w:tcW w:w="1261" w:type="dxa"/>
            <w:tcBorders>
              <w:top w:val="nil"/>
              <w:left w:val="nil"/>
              <w:bottom w:val="nil"/>
              <w:right w:val="nil"/>
            </w:tcBorders>
            <w:shd w:val="clear" w:color="auto" w:fill="auto"/>
            <w:noWrap/>
            <w:vAlign w:val="bottom"/>
            <w:hideMark/>
          </w:tcPr>
          <w:p w14:paraId="430B87E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54,987.4</w:t>
            </w:r>
          </w:p>
        </w:tc>
        <w:tc>
          <w:tcPr>
            <w:tcW w:w="960" w:type="dxa"/>
            <w:tcBorders>
              <w:top w:val="nil"/>
              <w:left w:val="nil"/>
              <w:bottom w:val="nil"/>
              <w:right w:val="nil"/>
            </w:tcBorders>
            <w:shd w:val="clear" w:color="auto" w:fill="auto"/>
            <w:noWrap/>
            <w:vAlign w:val="bottom"/>
            <w:hideMark/>
          </w:tcPr>
          <w:p w14:paraId="2C687F5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422</w:t>
            </w:r>
          </w:p>
        </w:tc>
        <w:tc>
          <w:tcPr>
            <w:tcW w:w="1261" w:type="dxa"/>
            <w:tcBorders>
              <w:top w:val="nil"/>
              <w:left w:val="nil"/>
              <w:bottom w:val="nil"/>
              <w:right w:val="nil"/>
            </w:tcBorders>
            <w:shd w:val="clear" w:color="auto" w:fill="auto"/>
            <w:noWrap/>
            <w:vAlign w:val="bottom"/>
            <w:hideMark/>
          </w:tcPr>
          <w:p w14:paraId="3FEA9DE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19,832.9</w:t>
            </w:r>
          </w:p>
        </w:tc>
        <w:tc>
          <w:tcPr>
            <w:tcW w:w="960" w:type="dxa"/>
            <w:tcBorders>
              <w:top w:val="nil"/>
              <w:left w:val="nil"/>
              <w:bottom w:val="nil"/>
              <w:right w:val="nil"/>
            </w:tcBorders>
            <w:shd w:val="clear" w:color="auto" w:fill="auto"/>
            <w:noWrap/>
            <w:vAlign w:val="bottom"/>
            <w:hideMark/>
          </w:tcPr>
          <w:p w14:paraId="26B76FB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152</w:t>
            </w:r>
          </w:p>
        </w:tc>
        <w:tc>
          <w:tcPr>
            <w:tcW w:w="1261" w:type="dxa"/>
            <w:tcBorders>
              <w:top w:val="nil"/>
              <w:left w:val="nil"/>
              <w:bottom w:val="nil"/>
              <w:right w:val="nil"/>
            </w:tcBorders>
            <w:shd w:val="clear" w:color="auto" w:fill="auto"/>
            <w:noWrap/>
            <w:vAlign w:val="bottom"/>
            <w:hideMark/>
          </w:tcPr>
          <w:p w14:paraId="6645BB6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38,151.5</w:t>
            </w:r>
          </w:p>
        </w:tc>
        <w:tc>
          <w:tcPr>
            <w:tcW w:w="960" w:type="dxa"/>
            <w:tcBorders>
              <w:top w:val="nil"/>
              <w:left w:val="nil"/>
              <w:bottom w:val="nil"/>
              <w:right w:val="nil"/>
            </w:tcBorders>
            <w:shd w:val="clear" w:color="auto" w:fill="auto"/>
            <w:noWrap/>
            <w:vAlign w:val="bottom"/>
            <w:hideMark/>
          </w:tcPr>
          <w:p w14:paraId="1C33959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293</w:t>
            </w:r>
          </w:p>
        </w:tc>
      </w:tr>
      <w:tr w:rsidR="00EE4837" w:rsidRPr="007239A6" w14:paraId="6249D1DA" w14:textId="77777777" w:rsidTr="00181ACD">
        <w:trPr>
          <w:trHeight w:val="288"/>
        </w:trPr>
        <w:tc>
          <w:tcPr>
            <w:tcW w:w="1586" w:type="dxa"/>
            <w:tcBorders>
              <w:top w:val="nil"/>
              <w:left w:val="nil"/>
              <w:bottom w:val="nil"/>
              <w:right w:val="nil"/>
            </w:tcBorders>
            <w:shd w:val="clear" w:color="auto" w:fill="auto"/>
            <w:noWrap/>
            <w:vAlign w:val="bottom"/>
            <w:hideMark/>
          </w:tcPr>
          <w:p w14:paraId="4889D676"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New London</w:t>
            </w:r>
          </w:p>
        </w:tc>
        <w:tc>
          <w:tcPr>
            <w:tcW w:w="1261" w:type="dxa"/>
            <w:tcBorders>
              <w:top w:val="nil"/>
              <w:left w:val="nil"/>
              <w:bottom w:val="nil"/>
              <w:right w:val="nil"/>
            </w:tcBorders>
            <w:shd w:val="clear" w:color="auto" w:fill="auto"/>
            <w:noWrap/>
            <w:vAlign w:val="bottom"/>
            <w:hideMark/>
          </w:tcPr>
          <w:p w14:paraId="6AF5418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3,181.3</w:t>
            </w:r>
          </w:p>
        </w:tc>
        <w:tc>
          <w:tcPr>
            <w:tcW w:w="960" w:type="dxa"/>
            <w:tcBorders>
              <w:top w:val="nil"/>
              <w:left w:val="nil"/>
              <w:bottom w:val="nil"/>
              <w:right w:val="nil"/>
            </w:tcBorders>
            <w:shd w:val="clear" w:color="auto" w:fill="auto"/>
            <w:noWrap/>
            <w:vAlign w:val="bottom"/>
            <w:hideMark/>
          </w:tcPr>
          <w:p w14:paraId="5DE01F5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115</w:t>
            </w:r>
          </w:p>
        </w:tc>
        <w:tc>
          <w:tcPr>
            <w:tcW w:w="1261" w:type="dxa"/>
            <w:tcBorders>
              <w:top w:val="nil"/>
              <w:left w:val="nil"/>
              <w:bottom w:val="nil"/>
              <w:right w:val="nil"/>
            </w:tcBorders>
            <w:shd w:val="clear" w:color="auto" w:fill="auto"/>
            <w:noWrap/>
            <w:vAlign w:val="bottom"/>
            <w:hideMark/>
          </w:tcPr>
          <w:p w14:paraId="7A1F9FD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2,338.9</w:t>
            </w:r>
          </w:p>
        </w:tc>
        <w:tc>
          <w:tcPr>
            <w:tcW w:w="960" w:type="dxa"/>
            <w:tcBorders>
              <w:top w:val="nil"/>
              <w:left w:val="nil"/>
              <w:bottom w:val="nil"/>
              <w:right w:val="nil"/>
            </w:tcBorders>
            <w:shd w:val="clear" w:color="auto" w:fill="auto"/>
            <w:noWrap/>
            <w:vAlign w:val="bottom"/>
            <w:hideMark/>
          </w:tcPr>
          <w:p w14:paraId="2A43639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85</w:t>
            </w:r>
          </w:p>
        </w:tc>
        <w:tc>
          <w:tcPr>
            <w:tcW w:w="1261" w:type="dxa"/>
            <w:tcBorders>
              <w:top w:val="nil"/>
              <w:left w:val="nil"/>
              <w:bottom w:val="nil"/>
              <w:right w:val="nil"/>
            </w:tcBorders>
            <w:shd w:val="clear" w:color="auto" w:fill="auto"/>
            <w:noWrap/>
            <w:vAlign w:val="bottom"/>
            <w:hideMark/>
          </w:tcPr>
          <w:p w14:paraId="764FFD6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7,796.2</w:t>
            </w:r>
          </w:p>
        </w:tc>
        <w:tc>
          <w:tcPr>
            <w:tcW w:w="960" w:type="dxa"/>
            <w:tcBorders>
              <w:top w:val="nil"/>
              <w:left w:val="nil"/>
              <w:bottom w:val="nil"/>
              <w:right w:val="nil"/>
            </w:tcBorders>
            <w:shd w:val="clear" w:color="auto" w:fill="auto"/>
            <w:noWrap/>
            <w:vAlign w:val="bottom"/>
            <w:hideMark/>
          </w:tcPr>
          <w:p w14:paraId="75B9540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283</w:t>
            </w:r>
          </w:p>
        </w:tc>
        <w:tc>
          <w:tcPr>
            <w:tcW w:w="1261" w:type="dxa"/>
            <w:tcBorders>
              <w:top w:val="nil"/>
              <w:left w:val="nil"/>
              <w:bottom w:val="nil"/>
              <w:right w:val="nil"/>
            </w:tcBorders>
            <w:shd w:val="clear" w:color="auto" w:fill="auto"/>
            <w:noWrap/>
            <w:vAlign w:val="bottom"/>
            <w:hideMark/>
          </w:tcPr>
          <w:p w14:paraId="61DA457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4,225.3</w:t>
            </w:r>
          </w:p>
        </w:tc>
        <w:tc>
          <w:tcPr>
            <w:tcW w:w="960" w:type="dxa"/>
            <w:tcBorders>
              <w:top w:val="nil"/>
              <w:left w:val="nil"/>
              <w:bottom w:val="nil"/>
              <w:right w:val="nil"/>
            </w:tcBorders>
            <w:shd w:val="clear" w:color="auto" w:fill="auto"/>
            <w:noWrap/>
            <w:vAlign w:val="bottom"/>
            <w:hideMark/>
          </w:tcPr>
          <w:p w14:paraId="0DA8093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153</w:t>
            </w:r>
          </w:p>
        </w:tc>
        <w:tc>
          <w:tcPr>
            <w:tcW w:w="1261" w:type="dxa"/>
            <w:tcBorders>
              <w:top w:val="nil"/>
              <w:left w:val="nil"/>
              <w:bottom w:val="nil"/>
              <w:right w:val="nil"/>
            </w:tcBorders>
            <w:shd w:val="clear" w:color="auto" w:fill="auto"/>
            <w:noWrap/>
            <w:vAlign w:val="bottom"/>
            <w:hideMark/>
          </w:tcPr>
          <w:p w14:paraId="0275C5F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6,115.5</w:t>
            </w:r>
          </w:p>
        </w:tc>
        <w:tc>
          <w:tcPr>
            <w:tcW w:w="960" w:type="dxa"/>
            <w:tcBorders>
              <w:top w:val="nil"/>
              <w:left w:val="nil"/>
              <w:bottom w:val="nil"/>
              <w:right w:val="nil"/>
            </w:tcBorders>
            <w:shd w:val="clear" w:color="auto" w:fill="auto"/>
            <w:noWrap/>
            <w:vAlign w:val="bottom"/>
            <w:hideMark/>
          </w:tcPr>
          <w:p w14:paraId="7B395A4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222</w:t>
            </w:r>
          </w:p>
        </w:tc>
      </w:tr>
      <w:tr w:rsidR="00EE4837" w:rsidRPr="007239A6" w14:paraId="629999B7" w14:textId="77777777" w:rsidTr="00181ACD">
        <w:trPr>
          <w:trHeight w:val="288"/>
        </w:trPr>
        <w:tc>
          <w:tcPr>
            <w:tcW w:w="1586" w:type="dxa"/>
            <w:tcBorders>
              <w:top w:val="nil"/>
              <w:left w:val="nil"/>
              <w:bottom w:val="nil"/>
              <w:right w:val="nil"/>
            </w:tcBorders>
            <w:shd w:val="clear" w:color="auto" w:fill="auto"/>
            <w:noWrap/>
            <w:vAlign w:val="bottom"/>
            <w:hideMark/>
          </w:tcPr>
          <w:p w14:paraId="45048A9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New Milford</w:t>
            </w:r>
          </w:p>
        </w:tc>
        <w:tc>
          <w:tcPr>
            <w:tcW w:w="1261" w:type="dxa"/>
            <w:tcBorders>
              <w:top w:val="nil"/>
              <w:left w:val="nil"/>
              <w:bottom w:val="nil"/>
              <w:right w:val="nil"/>
            </w:tcBorders>
            <w:shd w:val="clear" w:color="auto" w:fill="auto"/>
            <w:noWrap/>
            <w:vAlign w:val="bottom"/>
            <w:hideMark/>
          </w:tcPr>
          <w:p w14:paraId="5A466A8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6,843.7</w:t>
            </w:r>
          </w:p>
        </w:tc>
        <w:tc>
          <w:tcPr>
            <w:tcW w:w="960" w:type="dxa"/>
            <w:tcBorders>
              <w:top w:val="nil"/>
              <w:left w:val="nil"/>
              <w:bottom w:val="nil"/>
              <w:right w:val="nil"/>
            </w:tcBorders>
            <w:shd w:val="clear" w:color="auto" w:fill="auto"/>
            <w:noWrap/>
            <w:vAlign w:val="bottom"/>
            <w:hideMark/>
          </w:tcPr>
          <w:p w14:paraId="5A71671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245</w:t>
            </w:r>
          </w:p>
        </w:tc>
        <w:tc>
          <w:tcPr>
            <w:tcW w:w="1261" w:type="dxa"/>
            <w:tcBorders>
              <w:top w:val="nil"/>
              <w:left w:val="nil"/>
              <w:bottom w:val="nil"/>
              <w:right w:val="nil"/>
            </w:tcBorders>
            <w:shd w:val="clear" w:color="auto" w:fill="auto"/>
            <w:noWrap/>
            <w:vAlign w:val="bottom"/>
            <w:hideMark/>
          </w:tcPr>
          <w:p w14:paraId="4B8C404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5,910.1</w:t>
            </w:r>
          </w:p>
        </w:tc>
        <w:tc>
          <w:tcPr>
            <w:tcW w:w="960" w:type="dxa"/>
            <w:tcBorders>
              <w:top w:val="nil"/>
              <w:left w:val="nil"/>
              <w:bottom w:val="nil"/>
              <w:right w:val="nil"/>
            </w:tcBorders>
            <w:shd w:val="clear" w:color="auto" w:fill="auto"/>
            <w:noWrap/>
            <w:vAlign w:val="bottom"/>
            <w:hideMark/>
          </w:tcPr>
          <w:p w14:paraId="5E8AF81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211</w:t>
            </w:r>
          </w:p>
        </w:tc>
        <w:tc>
          <w:tcPr>
            <w:tcW w:w="1261" w:type="dxa"/>
            <w:tcBorders>
              <w:top w:val="nil"/>
              <w:left w:val="nil"/>
              <w:bottom w:val="nil"/>
              <w:right w:val="nil"/>
            </w:tcBorders>
            <w:shd w:val="clear" w:color="auto" w:fill="auto"/>
            <w:noWrap/>
            <w:vAlign w:val="bottom"/>
            <w:hideMark/>
          </w:tcPr>
          <w:p w14:paraId="145BDCA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3,778.3</w:t>
            </w:r>
          </w:p>
        </w:tc>
        <w:tc>
          <w:tcPr>
            <w:tcW w:w="960" w:type="dxa"/>
            <w:tcBorders>
              <w:top w:val="nil"/>
              <w:left w:val="nil"/>
              <w:bottom w:val="nil"/>
              <w:right w:val="nil"/>
            </w:tcBorders>
            <w:shd w:val="clear" w:color="auto" w:fill="auto"/>
            <w:noWrap/>
            <w:vAlign w:val="bottom"/>
            <w:hideMark/>
          </w:tcPr>
          <w:p w14:paraId="232CADC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135</w:t>
            </w:r>
          </w:p>
        </w:tc>
        <w:tc>
          <w:tcPr>
            <w:tcW w:w="1261" w:type="dxa"/>
            <w:tcBorders>
              <w:top w:val="nil"/>
              <w:left w:val="nil"/>
              <w:bottom w:val="nil"/>
              <w:right w:val="nil"/>
            </w:tcBorders>
            <w:shd w:val="clear" w:color="auto" w:fill="auto"/>
            <w:noWrap/>
            <w:vAlign w:val="bottom"/>
            <w:hideMark/>
          </w:tcPr>
          <w:p w14:paraId="0413DDE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8,248.5</w:t>
            </w:r>
          </w:p>
        </w:tc>
        <w:tc>
          <w:tcPr>
            <w:tcW w:w="960" w:type="dxa"/>
            <w:tcBorders>
              <w:top w:val="nil"/>
              <w:left w:val="nil"/>
              <w:bottom w:val="nil"/>
              <w:right w:val="nil"/>
            </w:tcBorders>
            <w:shd w:val="clear" w:color="auto" w:fill="auto"/>
            <w:noWrap/>
            <w:vAlign w:val="bottom"/>
            <w:hideMark/>
          </w:tcPr>
          <w:p w14:paraId="093581C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295</w:t>
            </w:r>
          </w:p>
        </w:tc>
        <w:tc>
          <w:tcPr>
            <w:tcW w:w="1261" w:type="dxa"/>
            <w:tcBorders>
              <w:top w:val="nil"/>
              <w:left w:val="nil"/>
              <w:bottom w:val="nil"/>
              <w:right w:val="nil"/>
            </w:tcBorders>
            <w:shd w:val="clear" w:color="auto" w:fill="auto"/>
            <w:noWrap/>
            <w:vAlign w:val="bottom"/>
            <w:hideMark/>
          </w:tcPr>
          <w:p w14:paraId="64C0570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5,878.2</w:t>
            </w:r>
          </w:p>
        </w:tc>
        <w:tc>
          <w:tcPr>
            <w:tcW w:w="960" w:type="dxa"/>
            <w:tcBorders>
              <w:top w:val="nil"/>
              <w:left w:val="nil"/>
              <w:bottom w:val="nil"/>
              <w:right w:val="nil"/>
            </w:tcBorders>
            <w:shd w:val="clear" w:color="auto" w:fill="auto"/>
            <w:noWrap/>
            <w:vAlign w:val="bottom"/>
            <w:hideMark/>
          </w:tcPr>
          <w:p w14:paraId="41D6A58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210</w:t>
            </w:r>
          </w:p>
        </w:tc>
      </w:tr>
      <w:tr w:rsidR="00EE4837" w:rsidRPr="007239A6" w14:paraId="11D310A7" w14:textId="77777777" w:rsidTr="00181ACD">
        <w:trPr>
          <w:trHeight w:val="288"/>
        </w:trPr>
        <w:tc>
          <w:tcPr>
            <w:tcW w:w="1586" w:type="dxa"/>
            <w:tcBorders>
              <w:top w:val="nil"/>
              <w:left w:val="nil"/>
              <w:bottom w:val="nil"/>
              <w:right w:val="nil"/>
            </w:tcBorders>
            <w:shd w:val="clear" w:color="auto" w:fill="auto"/>
            <w:noWrap/>
            <w:vAlign w:val="bottom"/>
            <w:hideMark/>
          </w:tcPr>
          <w:p w14:paraId="39AAE19D"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Newington</w:t>
            </w:r>
          </w:p>
        </w:tc>
        <w:tc>
          <w:tcPr>
            <w:tcW w:w="1261" w:type="dxa"/>
            <w:tcBorders>
              <w:top w:val="nil"/>
              <w:left w:val="nil"/>
              <w:bottom w:val="nil"/>
              <w:right w:val="nil"/>
            </w:tcBorders>
            <w:shd w:val="clear" w:color="auto" w:fill="auto"/>
            <w:noWrap/>
            <w:vAlign w:val="bottom"/>
            <w:hideMark/>
          </w:tcPr>
          <w:p w14:paraId="6B9E1F9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7,302.3</w:t>
            </w:r>
          </w:p>
        </w:tc>
        <w:tc>
          <w:tcPr>
            <w:tcW w:w="960" w:type="dxa"/>
            <w:tcBorders>
              <w:top w:val="nil"/>
              <w:left w:val="nil"/>
              <w:bottom w:val="nil"/>
              <w:right w:val="nil"/>
            </w:tcBorders>
            <w:shd w:val="clear" w:color="auto" w:fill="auto"/>
            <w:noWrap/>
            <w:vAlign w:val="bottom"/>
            <w:hideMark/>
          </w:tcPr>
          <w:p w14:paraId="2C2F091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239</w:t>
            </w:r>
          </w:p>
        </w:tc>
        <w:tc>
          <w:tcPr>
            <w:tcW w:w="1261" w:type="dxa"/>
            <w:tcBorders>
              <w:top w:val="nil"/>
              <w:left w:val="nil"/>
              <w:bottom w:val="nil"/>
              <w:right w:val="nil"/>
            </w:tcBorders>
            <w:shd w:val="clear" w:color="auto" w:fill="auto"/>
            <w:noWrap/>
            <w:vAlign w:val="bottom"/>
            <w:hideMark/>
          </w:tcPr>
          <w:p w14:paraId="237BE55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6,950.6</w:t>
            </w:r>
          </w:p>
        </w:tc>
        <w:tc>
          <w:tcPr>
            <w:tcW w:w="960" w:type="dxa"/>
            <w:tcBorders>
              <w:top w:val="nil"/>
              <w:left w:val="nil"/>
              <w:bottom w:val="nil"/>
              <w:right w:val="nil"/>
            </w:tcBorders>
            <w:shd w:val="clear" w:color="auto" w:fill="auto"/>
            <w:noWrap/>
            <w:vAlign w:val="bottom"/>
            <w:hideMark/>
          </w:tcPr>
          <w:p w14:paraId="6318E58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227</w:t>
            </w:r>
          </w:p>
        </w:tc>
        <w:tc>
          <w:tcPr>
            <w:tcW w:w="1261" w:type="dxa"/>
            <w:tcBorders>
              <w:top w:val="nil"/>
              <w:left w:val="nil"/>
              <w:bottom w:val="nil"/>
              <w:right w:val="nil"/>
            </w:tcBorders>
            <w:shd w:val="clear" w:color="auto" w:fill="auto"/>
            <w:noWrap/>
            <w:vAlign w:val="bottom"/>
            <w:hideMark/>
          </w:tcPr>
          <w:p w14:paraId="4D2995F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9,734.5</w:t>
            </w:r>
          </w:p>
        </w:tc>
        <w:tc>
          <w:tcPr>
            <w:tcW w:w="960" w:type="dxa"/>
            <w:tcBorders>
              <w:top w:val="nil"/>
              <w:left w:val="nil"/>
              <w:bottom w:val="nil"/>
              <w:right w:val="nil"/>
            </w:tcBorders>
            <w:shd w:val="clear" w:color="auto" w:fill="auto"/>
            <w:noWrap/>
            <w:vAlign w:val="bottom"/>
            <w:hideMark/>
          </w:tcPr>
          <w:p w14:paraId="4F6A706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318</w:t>
            </w:r>
          </w:p>
        </w:tc>
        <w:tc>
          <w:tcPr>
            <w:tcW w:w="1261" w:type="dxa"/>
            <w:tcBorders>
              <w:top w:val="nil"/>
              <w:left w:val="nil"/>
              <w:bottom w:val="nil"/>
              <w:right w:val="nil"/>
            </w:tcBorders>
            <w:shd w:val="clear" w:color="auto" w:fill="auto"/>
            <w:noWrap/>
            <w:vAlign w:val="bottom"/>
            <w:hideMark/>
          </w:tcPr>
          <w:p w14:paraId="41680E0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9,017.1</w:t>
            </w:r>
          </w:p>
        </w:tc>
        <w:tc>
          <w:tcPr>
            <w:tcW w:w="960" w:type="dxa"/>
            <w:tcBorders>
              <w:top w:val="nil"/>
              <w:left w:val="nil"/>
              <w:bottom w:val="nil"/>
              <w:right w:val="nil"/>
            </w:tcBorders>
            <w:shd w:val="clear" w:color="auto" w:fill="auto"/>
            <w:noWrap/>
            <w:vAlign w:val="bottom"/>
            <w:hideMark/>
          </w:tcPr>
          <w:p w14:paraId="4FEF8CE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295</w:t>
            </w:r>
          </w:p>
        </w:tc>
        <w:tc>
          <w:tcPr>
            <w:tcW w:w="1261" w:type="dxa"/>
            <w:tcBorders>
              <w:top w:val="nil"/>
              <w:left w:val="nil"/>
              <w:bottom w:val="nil"/>
              <w:right w:val="nil"/>
            </w:tcBorders>
            <w:shd w:val="clear" w:color="auto" w:fill="auto"/>
            <w:noWrap/>
            <w:vAlign w:val="bottom"/>
            <w:hideMark/>
          </w:tcPr>
          <w:p w14:paraId="33FDF3C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9,390.0</w:t>
            </w:r>
          </w:p>
        </w:tc>
        <w:tc>
          <w:tcPr>
            <w:tcW w:w="960" w:type="dxa"/>
            <w:tcBorders>
              <w:top w:val="nil"/>
              <w:left w:val="nil"/>
              <w:bottom w:val="nil"/>
              <w:right w:val="nil"/>
            </w:tcBorders>
            <w:shd w:val="clear" w:color="auto" w:fill="auto"/>
            <w:noWrap/>
            <w:vAlign w:val="bottom"/>
            <w:hideMark/>
          </w:tcPr>
          <w:p w14:paraId="307EF6E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307</w:t>
            </w:r>
          </w:p>
        </w:tc>
      </w:tr>
      <w:tr w:rsidR="00EE4837" w:rsidRPr="007239A6" w14:paraId="79CC011E" w14:textId="77777777" w:rsidTr="00181ACD">
        <w:trPr>
          <w:trHeight w:val="288"/>
        </w:trPr>
        <w:tc>
          <w:tcPr>
            <w:tcW w:w="1586" w:type="dxa"/>
            <w:tcBorders>
              <w:top w:val="nil"/>
              <w:left w:val="nil"/>
              <w:bottom w:val="nil"/>
              <w:right w:val="nil"/>
            </w:tcBorders>
            <w:shd w:val="clear" w:color="auto" w:fill="auto"/>
            <w:noWrap/>
            <w:vAlign w:val="bottom"/>
            <w:hideMark/>
          </w:tcPr>
          <w:p w14:paraId="69329F7F"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Newtown</w:t>
            </w:r>
          </w:p>
        </w:tc>
        <w:tc>
          <w:tcPr>
            <w:tcW w:w="1261" w:type="dxa"/>
            <w:tcBorders>
              <w:top w:val="nil"/>
              <w:left w:val="nil"/>
              <w:bottom w:val="nil"/>
              <w:right w:val="nil"/>
            </w:tcBorders>
            <w:shd w:val="clear" w:color="auto" w:fill="auto"/>
            <w:noWrap/>
            <w:vAlign w:val="bottom"/>
            <w:hideMark/>
          </w:tcPr>
          <w:p w14:paraId="561DBA4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10,777.5</w:t>
            </w:r>
          </w:p>
        </w:tc>
        <w:tc>
          <w:tcPr>
            <w:tcW w:w="960" w:type="dxa"/>
            <w:tcBorders>
              <w:top w:val="nil"/>
              <w:left w:val="nil"/>
              <w:bottom w:val="nil"/>
              <w:right w:val="nil"/>
            </w:tcBorders>
            <w:shd w:val="clear" w:color="auto" w:fill="auto"/>
            <w:noWrap/>
            <w:vAlign w:val="bottom"/>
            <w:hideMark/>
          </w:tcPr>
          <w:p w14:paraId="4D7F37C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388</w:t>
            </w:r>
          </w:p>
        </w:tc>
        <w:tc>
          <w:tcPr>
            <w:tcW w:w="1261" w:type="dxa"/>
            <w:tcBorders>
              <w:top w:val="nil"/>
              <w:left w:val="nil"/>
              <w:bottom w:val="nil"/>
              <w:right w:val="nil"/>
            </w:tcBorders>
            <w:shd w:val="clear" w:color="auto" w:fill="auto"/>
            <w:noWrap/>
            <w:vAlign w:val="bottom"/>
            <w:hideMark/>
          </w:tcPr>
          <w:p w14:paraId="248B201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11,534.5</w:t>
            </w:r>
          </w:p>
        </w:tc>
        <w:tc>
          <w:tcPr>
            <w:tcW w:w="960" w:type="dxa"/>
            <w:tcBorders>
              <w:top w:val="nil"/>
              <w:left w:val="nil"/>
              <w:bottom w:val="nil"/>
              <w:right w:val="nil"/>
            </w:tcBorders>
            <w:shd w:val="clear" w:color="auto" w:fill="auto"/>
            <w:noWrap/>
            <w:vAlign w:val="bottom"/>
            <w:hideMark/>
          </w:tcPr>
          <w:p w14:paraId="085BBE1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415</w:t>
            </w:r>
          </w:p>
        </w:tc>
        <w:tc>
          <w:tcPr>
            <w:tcW w:w="1261" w:type="dxa"/>
            <w:tcBorders>
              <w:top w:val="nil"/>
              <w:left w:val="nil"/>
              <w:bottom w:val="nil"/>
              <w:right w:val="nil"/>
            </w:tcBorders>
            <w:shd w:val="clear" w:color="auto" w:fill="auto"/>
            <w:noWrap/>
            <w:vAlign w:val="bottom"/>
            <w:hideMark/>
          </w:tcPr>
          <w:p w14:paraId="4297819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5,275.0</w:t>
            </w:r>
          </w:p>
        </w:tc>
        <w:tc>
          <w:tcPr>
            <w:tcW w:w="960" w:type="dxa"/>
            <w:tcBorders>
              <w:top w:val="nil"/>
              <w:left w:val="nil"/>
              <w:bottom w:val="nil"/>
              <w:right w:val="nil"/>
            </w:tcBorders>
            <w:shd w:val="clear" w:color="auto" w:fill="auto"/>
            <w:noWrap/>
            <w:vAlign w:val="bottom"/>
            <w:hideMark/>
          </w:tcPr>
          <w:p w14:paraId="495381E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190</w:t>
            </w:r>
          </w:p>
        </w:tc>
        <w:tc>
          <w:tcPr>
            <w:tcW w:w="1261" w:type="dxa"/>
            <w:tcBorders>
              <w:top w:val="nil"/>
              <w:left w:val="nil"/>
              <w:bottom w:val="nil"/>
              <w:right w:val="nil"/>
            </w:tcBorders>
            <w:shd w:val="clear" w:color="auto" w:fill="auto"/>
            <w:noWrap/>
            <w:vAlign w:val="bottom"/>
            <w:hideMark/>
          </w:tcPr>
          <w:p w14:paraId="23AA708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12,160.0</w:t>
            </w:r>
          </w:p>
        </w:tc>
        <w:tc>
          <w:tcPr>
            <w:tcW w:w="960" w:type="dxa"/>
            <w:tcBorders>
              <w:top w:val="nil"/>
              <w:left w:val="nil"/>
              <w:bottom w:val="nil"/>
              <w:right w:val="nil"/>
            </w:tcBorders>
            <w:shd w:val="clear" w:color="auto" w:fill="auto"/>
            <w:noWrap/>
            <w:vAlign w:val="bottom"/>
            <w:hideMark/>
          </w:tcPr>
          <w:p w14:paraId="5CABB21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438</w:t>
            </w:r>
          </w:p>
        </w:tc>
        <w:tc>
          <w:tcPr>
            <w:tcW w:w="1261" w:type="dxa"/>
            <w:tcBorders>
              <w:top w:val="nil"/>
              <w:left w:val="nil"/>
              <w:bottom w:val="nil"/>
              <w:right w:val="nil"/>
            </w:tcBorders>
            <w:shd w:val="clear" w:color="auto" w:fill="auto"/>
            <w:noWrap/>
            <w:vAlign w:val="bottom"/>
            <w:hideMark/>
          </w:tcPr>
          <w:p w14:paraId="41DB643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8,474.6</w:t>
            </w:r>
          </w:p>
        </w:tc>
        <w:tc>
          <w:tcPr>
            <w:tcW w:w="960" w:type="dxa"/>
            <w:tcBorders>
              <w:top w:val="nil"/>
              <w:left w:val="nil"/>
              <w:bottom w:val="nil"/>
              <w:right w:val="nil"/>
            </w:tcBorders>
            <w:shd w:val="clear" w:color="auto" w:fill="auto"/>
            <w:noWrap/>
            <w:vAlign w:val="bottom"/>
            <w:hideMark/>
          </w:tcPr>
          <w:p w14:paraId="18A129C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305</w:t>
            </w:r>
          </w:p>
        </w:tc>
      </w:tr>
      <w:tr w:rsidR="00EE4837" w:rsidRPr="007239A6" w14:paraId="3572C816" w14:textId="77777777" w:rsidTr="00181ACD">
        <w:trPr>
          <w:trHeight w:val="288"/>
        </w:trPr>
        <w:tc>
          <w:tcPr>
            <w:tcW w:w="1586" w:type="dxa"/>
            <w:tcBorders>
              <w:top w:val="nil"/>
              <w:left w:val="nil"/>
              <w:bottom w:val="nil"/>
              <w:right w:val="nil"/>
            </w:tcBorders>
            <w:shd w:val="clear" w:color="auto" w:fill="auto"/>
            <w:noWrap/>
            <w:vAlign w:val="bottom"/>
            <w:hideMark/>
          </w:tcPr>
          <w:p w14:paraId="2253CF97"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Norfolk</w:t>
            </w:r>
          </w:p>
        </w:tc>
        <w:tc>
          <w:tcPr>
            <w:tcW w:w="1261" w:type="dxa"/>
            <w:tcBorders>
              <w:top w:val="nil"/>
              <w:left w:val="nil"/>
              <w:bottom w:val="nil"/>
              <w:right w:val="nil"/>
            </w:tcBorders>
            <w:shd w:val="clear" w:color="auto" w:fill="auto"/>
            <w:noWrap/>
            <w:vAlign w:val="bottom"/>
            <w:hideMark/>
          </w:tcPr>
          <w:p w14:paraId="044F98B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425.2</w:t>
            </w:r>
          </w:p>
        </w:tc>
        <w:tc>
          <w:tcPr>
            <w:tcW w:w="960" w:type="dxa"/>
            <w:tcBorders>
              <w:top w:val="nil"/>
              <w:left w:val="nil"/>
              <w:bottom w:val="nil"/>
              <w:right w:val="nil"/>
            </w:tcBorders>
            <w:shd w:val="clear" w:color="auto" w:fill="auto"/>
            <w:noWrap/>
            <w:vAlign w:val="bottom"/>
            <w:hideMark/>
          </w:tcPr>
          <w:p w14:paraId="7CA27B8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284</w:t>
            </w:r>
          </w:p>
        </w:tc>
        <w:tc>
          <w:tcPr>
            <w:tcW w:w="1261" w:type="dxa"/>
            <w:tcBorders>
              <w:top w:val="nil"/>
              <w:left w:val="nil"/>
              <w:bottom w:val="nil"/>
              <w:right w:val="nil"/>
            </w:tcBorders>
            <w:shd w:val="clear" w:color="auto" w:fill="auto"/>
            <w:noWrap/>
            <w:vAlign w:val="bottom"/>
            <w:hideMark/>
          </w:tcPr>
          <w:p w14:paraId="006A864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434.7</w:t>
            </w:r>
          </w:p>
        </w:tc>
        <w:tc>
          <w:tcPr>
            <w:tcW w:w="960" w:type="dxa"/>
            <w:tcBorders>
              <w:top w:val="nil"/>
              <w:left w:val="nil"/>
              <w:bottom w:val="nil"/>
              <w:right w:val="nil"/>
            </w:tcBorders>
            <w:shd w:val="clear" w:color="auto" w:fill="auto"/>
            <w:noWrap/>
            <w:vAlign w:val="bottom"/>
            <w:hideMark/>
          </w:tcPr>
          <w:p w14:paraId="11ACF76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290</w:t>
            </w:r>
          </w:p>
        </w:tc>
        <w:tc>
          <w:tcPr>
            <w:tcW w:w="1261" w:type="dxa"/>
            <w:tcBorders>
              <w:top w:val="nil"/>
              <w:left w:val="nil"/>
              <w:bottom w:val="nil"/>
              <w:right w:val="nil"/>
            </w:tcBorders>
            <w:shd w:val="clear" w:color="auto" w:fill="auto"/>
            <w:noWrap/>
            <w:vAlign w:val="bottom"/>
            <w:hideMark/>
          </w:tcPr>
          <w:p w14:paraId="339B0B9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136.4</w:t>
            </w:r>
          </w:p>
        </w:tc>
        <w:tc>
          <w:tcPr>
            <w:tcW w:w="960" w:type="dxa"/>
            <w:tcBorders>
              <w:top w:val="nil"/>
              <w:left w:val="nil"/>
              <w:bottom w:val="nil"/>
              <w:right w:val="nil"/>
            </w:tcBorders>
            <w:shd w:val="clear" w:color="auto" w:fill="auto"/>
            <w:noWrap/>
            <w:vAlign w:val="bottom"/>
            <w:hideMark/>
          </w:tcPr>
          <w:p w14:paraId="5E17C26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91</w:t>
            </w:r>
          </w:p>
        </w:tc>
        <w:tc>
          <w:tcPr>
            <w:tcW w:w="1261" w:type="dxa"/>
            <w:tcBorders>
              <w:top w:val="nil"/>
              <w:left w:val="nil"/>
              <w:bottom w:val="nil"/>
              <w:right w:val="nil"/>
            </w:tcBorders>
            <w:shd w:val="clear" w:color="auto" w:fill="auto"/>
            <w:noWrap/>
            <w:vAlign w:val="bottom"/>
            <w:hideMark/>
          </w:tcPr>
          <w:p w14:paraId="5088FFB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384.6</w:t>
            </w:r>
          </w:p>
        </w:tc>
        <w:tc>
          <w:tcPr>
            <w:tcW w:w="960" w:type="dxa"/>
            <w:tcBorders>
              <w:top w:val="nil"/>
              <w:left w:val="nil"/>
              <w:bottom w:val="nil"/>
              <w:right w:val="nil"/>
            </w:tcBorders>
            <w:shd w:val="clear" w:color="auto" w:fill="auto"/>
            <w:noWrap/>
            <w:vAlign w:val="bottom"/>
            <w:hideMark/>
          </w:tcPr>
          <w:p w14:paraId="32C78E1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257</w:t>
            </w:r>
          </w:p>
        </w:tc>
        <w:tc>
          <w:tcPr>
            <w:tcW w:w="1261" w:type="dxa"/>
            <w:tcBorders>
              <w:top w:val="nil"/>
              <w:left w:val="nil"/>
              <w:bottom w:val="nil"/>
              <w:right w:val="nil"/>
            </w:tcBorders>
            <w:shd w:val="clear" w:color="auto" w:fill="auto"/>
            <w:noWrap/>
            <w:vAlign w:val="bottom"/>
            <w:hideMark/>
          </w:tcPr>
          <w:p w14:paraId="2CA2C41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249.5</w:t>
            </w:r>
          </w:p>
        </w:tc>
        <w:tc>
          <w:tcPr>
            <w:tcW w:w="960" w:type="dxa"/>
            <w:tcBorders>
              <w:top w:val="nil"/>
              <w:left w:val="nil"/>
              <w:bottom w:val="nil"/>
              <w:right w:val="nil"/>
            </w:tcBorders>
            <w:shd w:val="clear" w:color="auto" w:fill="auto"/>
            <w:noWrap/>
            <w:vAlign w:val="bottom"/>
            <w:hideMark/>
          </w:tcPr>
          <w:p w14:paraId="7B48DDD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167</w:t>
            </w:r>
          </w:p>
        </w:tc>
      </w:tr>
      <w:tr w:rsidR="00EE4837" w:rsidRPr="007239A6" w14:paraId="7644F97C" w14:textId="77777777" w:rsidTr="00181ACD">
        <w:trPr>
          <w:trHeight w:val="288"/>
        </w:trPr>
        <w:tc>
          <w:tcPr>
            <w:tcW w:w="1586" w:type="dxa"/>
            <w:tcBorders>
              <w:top w:val="nil"/>
              <w:left w:val="nil"/>
              <w:bottom w:val="nil"/>
              <w:right w:val="nil"/>
            </w:tcBorders>
            <w:shd w:val="clear" w:color="auto" w:fill="auto"/>
            <w:noWrap/>
            <w:vAlign w:val="bottom"/>
            <w:hideMark/>
          </w:tcPr>
          <w:p w14:paraId="0F72C52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North Branford</w:t>
            </w:r>
          </w:p>
        </w:tc>
        <w:tc>
          <w:tcPr>
            <w:tcW w:w="1261" w:type="dxa"/>
            <w:tcBorders>
              <w:top w:val="nil"/>
              <w:left w:val="nil"/>
              <w:bottom w:val="nil"/>
              <w:right w:val="nil"/>
            </w:tcBorders>
            <w:shd w:val="clear" w:color="auto" w:fill="auto"/>
            <w:noWrap/>
            <w:vAlign w:val="bottom"/>
            <w:hideMark/>
          </w:tcPr>
          <w:p w14:paraId="4101C50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3,829.5</w:t>
            </w:r>
          </w:p>
        </w:tc>
        <w:tc>
          <w:tcPr>
            <w:tcW w:w="960" w:type="dxa"/>
            <w:tcBorders>
              <w:top w:val="nil"/>
              <w:left w:val="nil"/>
              <w:bottom w:val="nil"/>
              <w:right w:val="nil"/>
            </w:tcBorders>
            <w:shd w:val="clear" w:color="auto" w:fill="auto"/>
            <w:noWrap/>
            <w:vAlign w:val="bottom"/>
            <w:hideMark/>
          </w:tcPr>
          <w:p w14:paraId="7BF16EC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266</w:t>
            </w:r>
          </w:p>
        </w:tc>
        <w:tc>
          <w:tcPr>
            <w:tcW w:w="1261" w:type="dxa"/>
            <w:tcBorders>
              <w:top w:val="nil"/>
              <w:left w:val="nil"/>
              <w:bottom w:val="nil"/>
              <w:right w:val="nil"/>
            </w:tcBorders>
            <w:shd w:val="clear" w:color="auto" w:fill="auto"/>
            <w:noWrap/>
            <w:vAlign w:val="bottom"/>
            <w:hideMark/>
          </w:tcPr>
          <w:p w14:paraId="7834513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3,913.2</w:t>
            </w:r>
          </w:p>
        </w:tc>
        <w:tc>
          <w:tcPr>
            <w:tcW w:w="960" w:type="dxa"/>
            <w:tcBorders>
              <w:top w:val="nil"/>
              <w:left w:val="nil"/>
              <w:bottom w:val="nil"/>
              <w:right w:val="nil"/>
            </w:tcBorders>
            <w:shd w:val="clear" w:color="auto" w:fill="auto"/>
            <w:noWrap/>
            <w:vAlign w:val="bottom"/>
            <w:hideMark/>
          </w:tcPr>
          <w:p w14:paraId="0A1D75C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272</w:t>
            </w:r>
          </w:p>
        </w:tc>
        <w:tc>
          <w:tcPr>
            <w:tcW w:w="1261" w:type="dxa"/>
            <w:tcBorders>
              <w:top w:val="nil"/>
              <w:left w:val="nil"/>
              <w:bottom w:val="nil"/>
              <w:right w:val="nil"/>
            </w:tcBorders>
            <w:shd w:val="clear" w:color="auto" w:fill="auto"/>
            <w:noWrap/>
            <w:vAlign w:val="bottom"/>
            <w:hideMark/>
          </w:tcPr>
          <w:p w14:paraId="273C9E2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2,201.3</w:t>
            </w:r>
          </w:p>
        </w:tc>
        <w:tc>
          <w:tcPr>
            <w:tcW w:w="960" w:type="dxa"/>
            <w:tcBorders>
              <w:top w:val="nil"/>
              <w:left w:val="nil"/>
              <w:bottom w:val="nil"/>
              <w:right w:val="nil"/>
            </w:tcBorders>
            <w:shd w:val="clear" w:color="auto" w:fill="auto"/>
            <w:noWrap/>
            <w:vAlign w:val="bottom"/>
            <w:hideMark/>
          </w:tcPr>
          <w:p w14:paraId="5B8B000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153</w:t>
            </w:r>
          </w:p>
        </w:tc>
        <w:tc>
          <w:tcPr>
            <w:tcW w:w="1261" w:type="dxa"/>
            <w:tcBorders>
              <w:top w:val="nil"/>
              <w:left w:val="nil"/>
              <w:bottom w:val="nil"/>
              <w:right w:val="nil"/>
            </w:tcBorders>
            <w:shd w:val="clear" w:color="auto" w:fill="auto"/>
            <w:noWrap/>
            <w:vAlign w:val="bottom"/>
            <w:hideMark/>
          </w:tcPr>
          <w:p w14:paraId="7E8BD9B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4,485.5</w:t>
            </w:r>
          </w:p>
        </w:tc>
        <w:tc>
          <w:tcPr>
            <w:tcW w:w="960" w:type="dxa"/>
            <w:tcBorders>
              <w:top w:val="nil"/>
              <w:left w:val="nil"/>
              <w:bottom w:val="nil"/>
              <w:right w:val="nil"/>
            </w:tcBorders>
            <w:shd w:val="clear" w:color="auto" w:fill="auto"/>
            <w:noWrap/>
            <w:vAlign w:val="bottom"/>
            <w:hideMark/>
          </w:tcPr>
          <w:p w14:paraId="562B1F0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312</w:t>
            </w:r>
          </w:p>
        </w:tc>
        <w:tc>
          <w:tcPr>
            <w:tcW w:w="1261" w:type="dxa"/>
            <w:tcBorders>
              <w:top w:val="nil"/>
              <w:left w:val="nil"/>
              <w:bottom w:val="nil"/>
              <w:right w:val="nil"/>
            </w:tcBorders>
            <w:shd w:val="clear" w:color="auto" w:fill="auto"/>
            <w:noWrap/>
            <w:vAlign w:val="bottom"/>
            <w:hideMark/>
          </w:tcPr>
          <w:p w14:paraId="4F527DE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3,263.6</w:t>
            </w:r>
          </w:p>
        </w:tc>
        <w:tc>
          <w:tcPr>
            <w:tcW w:w="960" w:type="dxa"/>
            <w:tcBorders>
              <w:top w:val="nil"/>
              <w:left w:val="nil"/>
              <w:bottom w:val="nil"/>
              <w:right w:val="nil"/>
            </w:tcBorders>
            <w:shd w:val="clear" w:color="auto" w:fill="auto"/>
            <w:noWrap/>
            <w:vAlign w:val="bottom"/>
            <w:hideMark/>
          </w:tcPr>
          <w:p w14:paraId="2AB4D46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227</w:t>
            </w:r>
          </w:p>
        </w:tc>
      </w:tr>
      <w:tr w:rsidR="00EE4837" w:rsidRPr="007239A6" w14:paraId="29177CD6" w14:textId="77777777" w:rsidTr="00181ACD">
        <w:trPr>
          <w:trHeight w:val="288"/>
        </w:trPr>
        <w:tc>
          <w:tcPr>
            <w:tcW w:w="1586" w:type="dxa"/>
            <w:tcBorders>
              <w:top w:val="nil"/>
              <w:left w:val="nil"/>
              <w:bottom w:val="nil"/>
              <w:right w:val="nil"/>
            </w:tcBorders>
            <w:shd w:val="clear" w:color="auto" w:fill="auto"/>
            <w:noWrap/>
            <w:vAlign w:val="bottom"/>
            <w:hideMark/>
          </w:tcPr>
          <w:p w14:paraId="4F23FF3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North Canaan</w:t>
            </w:r>
          </w:p>
        </w:tc>
        <w:tc>
          <w:tcPr>
            <w:tcW w:w="1261" w:type="dxa"/>
            <w:tcBorders>
              <w:top w:val="nil"/>
              <w:left w:val="nil"/>
              <w:bottom w:val="nil"/>
              <w:right w:val="nil"/>
            </w:tcBorders>
            <w:shd w:val="clear" w:color="auto" w:fill="auto"/>
            <w:noWrap/>
            <w:vAlign w:val="bottom"/>
            <w:hideMark/>
          </w:tcPr>
          <w:p w14:paraId="33037DE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132.6</w:t>
            </w:r>
          </w:p>
        </w:tc>
        <w:tc>
          <w:tcPr>
            <w:tcW w:w="960" w:type="dxa"/>
            <w:tcBorders>
              <w:top w:val="nil"/>
              <w:left w:val="nil"/>
              <w:bottom w:val="nil"/>
              <w:right w:val="nil"/>
            </w:tcBorders>
            <w:shd w:val="clear" w:color="auto" w:fill="auto"/>
            <w:noWrap/>
            <w:vAlign w:val="bottom"/>
            <w:hideMark/>
          </w:tcPr>
          <w:p w14:paraId="28030B3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w:t>
            </w:r>
          </w:p>
        </w:tc>
        <w:tc>
          <w:tcPr>
            <w:tcW w:w="1261" w:type="dxa"/>
            <w:tcBorders>
              <w:top w:val="nil"/>
              <w:left w:val="nil"/>
              <w:bottom w:val="nil"/>
              <w:right w:val="nil"/>
            </w:tcBorders>
            <w:shd w:val="clear" w:color="auto" w:fill="auto"/>
            <w:noWrap/>
            <w:vAlign w:val="bottom"/>
            <w:hideMark/>
          </w:tcPr>
          <w:p w14:paraId="17D1610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102.8</w:t>
            </w:r>
          </w:p>
        </w:tc>
        <w:tc>
          <w:tcPr>
            <w:tcW w:w="960" w:type="dxa"/>
            <w:tcBorders>
              <w:top w:val="nil"/>
              <w:left w:val="nil"/>
              <w:bottom w:val="nil"/>
              <w:right w:val="nil"/>
            </w:tcBorders>
            <w:shd w:val="clear" w:color="auto" w:fill="auto"/>
            <w:noWrap/>
            <w:vAlign w:val="bottom"/>
            <w:hideMark/>
          </w:tcPr>
          <w:p w14:paraId="5684C1B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w:t>
            </w:r>
          </w:p>
        </w:tc>
        <w:tc>
          <w:tcPr>
            <w:tcW w:w="1261" w:type="dxa"/>
            <w:tcBorders>
              <w:top w:val="nil"/>
              <w:left w:val="nil"/>
              <w:bottom w:val="nil"/>
              <w:right w:val="nil"/>
            </w:tcBorders>
            <w:shd w:val="clear" w:color="auto" w:fill="auto"/>
            <w:noWrap/>
            <w:vAlign w:val="bottom"/>
            <w:hideMark/>
          </w:tcPr>
          <w:p w14:paraId="3E08070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996.1</w:t>
            </w:r>
          </w:p>
        </w:tc>
        <w:tc>
          <w:tcPr>
            <w:tcW w:w="960" w:type="dxa"/>
            <w:tcBorders>
              <w:top w:val="nil"/>
              <w:left w:val="nil"/>
              <w:bottom w:val="nil"/>
              <w:right w:val="nil"/>
            </w:tcBorders>
            <w:shd w:val="clear" w:color="auto" w:fill="auto"/>
            <w:noWrap/>
            <w:vAlign w:val="bottom"/>
            <w:hideMark/>
          </w:tcPr>
          <w:p w14:paraId="5501B1C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303</w:t>
            </w:r>
          </w:p>
        </w:tc>
        <w:tc>
          <w:tcPr>
            <w:tcW w:w="1261" w:type="dxa"/>
            <w:tcBorders>
              <w:top w:val="nil"/>
              <w:left w:val="nil"/>
              <w:bottom w:val="nil"/>
              <w:right w:val="nil"/>
            </w:tcBorders>
            <w:shd w:val="clear" w:color="auto" w:fill="auto"/>
            <w:noWrap/>
            <w:vAlign w:val="bottom"/>
            <w:hideMark/>
          </w:tcPr>
          <w:p w14:paraId="3D0E78F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240.4</w:t>
            </w:r>
          </w:p>
        </w:tc>
        <w:tc>
          <w:tcPr>
            <w:tcW w:w="960" w:type="dxa"/>
            <w:tcBorders>
              <w:top w:val="nil"/>
              <w:left w:val="nil"/>
              <w:bottom w:val="nil"/>
              <w:right w:val="nil"/>
            </w:tcBorders>
            <w:shd w:val="clear" w:color="auto" w:fill="auto"/>
            <w:noWrap/>
            <w:vAlign w:val="bottom"/>
            <w:hideMark/>
          </w:tcPr>
          <w:p w14:paraId="6F43426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73</w:t>
            </w:r>
          </w:p>
        </w:tc>
        <w:tc>
          <w:tcPr>
            <w:tcW w:w="1261" w:type="dxa"/>
            <w:tcBorders>
              <w:top w:val="nil"/>
              <w:left w:val="nil"/>
              <w:bottom w:val="nil"/>
              <w:right w:val="nil"/>
            </w:tcBorders>
            <w:shd w:val="clear" w:color="auto" w:fill="auto"/>
            <w:noWrap/>
            <w:vAlign w:val="bottom"/>
            <w:hideMark/>
          </w:tcPr>
          <w:p w14:paraId="0256EC0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668.2</w:t>
            </w:r>
          </w:p>
        </w:tc>
        <w:tc>
          <w:tcPr>
            <w:tcW w:w="960" w:type="dxa"/>
            <w:tcBorders>
              <w:top w:val="nil"/>
              <w:left w:val="nil"/>
              <w:bottom w:val="nil"/>
              <w:right w:val="nil"/>
            </w:tcBorders>
            <w:shd w:val="clear" w:color="auto" w:fill="auto"/>
            <w:noWrap/>
            <w:vAlign w:val="bottom"/>
            <w:hideMark/>
          </w:tcPr>
          <w:p w14:paraId="5BAA234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203</w:t>
            </w:r>
          </w:p>
        </w:tc>
      </w:tr>
      <w:tr w:rsidR="00EE4837" w:rsidRPr="007239A6" w14:paraId="1468B304" w14:textId="77777777" w:rsidTr="00181ACD">
        <w:trPr>
          <w:trHeight w:val="288"/>
        </w:trPr>
        <w:tc>
          <w:tcPr>
            <w:tcW w:w="1586" w:type="dxa"/>
            <w:tcBorders>
              <w:top w:val="nil"/>
              <w:left w:val="nil"/>
              <w:bottom w:val="nil"/>
              <w:right w:val="nil"/>
            </w:tcBorders>
            <w:shd w:val="clear" w:color="auto" w:fill="auto"/>
            <w:noWrap/>
            <w:vAlign w:val="bottom"/>
            <w:hideMark/>
          </w:tcPr>
          <w:p w14:paraId="051CF0C4"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North Haven</w:t>
            </w:r>
          </w:p>
        </w:tc>
        <w:tc>
          <w:tcPr>
            <w:tcW w:w="1261" w:type="dxa"/>
            <w:tcBorders>
              <w:top w:val="nil"/>
              <w:left w:val="nil"/>
              <w:bottom w:val="nil"/>
              <w:right w:val="nil"/>
            </w:tcBorders>
            <w:shd w:val="clear" w:color="auto" w:fill="auto"/>
            <w:noWrap/>
            <w:vAlign w:val="bottom"/>
            <w:hideMark/>
          </w:tcPr>
          <w:p w14:paraId="424D4C9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6,875.2</w:t>
            </w:r>
          </w:p>
        </w:tc>
        <w:tc>
          <w:tcPr>
            <w:tcW w:w="960" w:type="dxa"/>
            <w:tcBorders>
              <w:top w:val="nil"/>
              <w:left w:val="nil"/>
              <w:bottom w:val="nil"/>
              <w:right w:val="nil"/>
            </w:tcBorders>
            <w:shd w:val="clear" w:color="auto" w:fill="auto"/>
            <w:noWrap/>
            <w:vAlign w:val="bottom"/>
            <w:hideMark/>
          </w:tcPr>
          <w:p w14:paraId="2A7F4D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286</w:t>
            </w:r>
          </w:p>
        </w:tc>
        <w:tc>
          <w:tcPr>
            <w:tcW w:w="1261" w:type="dxa"/>
            <w:tcBorders>
              <w:top w:val="nil"/>
              <w:left w:val="nil"/>
              <w:bottom w:val="nil"/>
              <w:right w:val="nil"/>
            </w:tcBorders>
            <w:shd w:val="clear" w:color="auto" w:fill="auto"/>
            <w:noWrap/>
            <w:vAlign w:val="bottom"/>
            <w:hideMark/>
          </w:tcPr>
          <w:p w14:paraId="70D8F70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7,181.0</w:t>
            </w:r>
          </w:p>
        </w:tc>
        <w:tc>
          <w:tcPr>
            <w:tcW w:w="960" w:type="dxa"/>
            <w:tcBorders>
              <w:top w:val="nil"/>
              <w:left w:val="nil"/>
              <w:bottom w:val="nil"/>
              <w:right w:val="nil"/>
            </w:tcBorders>
            <w:shd w:val="clear" w:color="auto" w:fill="auto"/>
            <w:noWrap/>
            <w:vAlign w:val="bottom"/>
            <w:hideMark/>
          </w:tcPr>
          <w:p w14:paraId="4E8AD3C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299</w:t>
            </w:r>
          </w:p>
        </w:tc>
        <w:tc>
          <w:tcPr>
            <w:tcW w:w="1261" w:type="dxa"/>
            <w:tcBorders>
              <w:top w:val="nil"/>
              <w:left w:val="nil"/>
              <w:bottom w:val="nil"/>
              <w:right w:val="nil"/>
            </w:tcBorders>
            <w:shd w:val="clear" w:color="auto" w:fill="auto"/>
            <w:noWrap/>
            <w:vAlign w:val="bottom"/>
            <w:hideMark/>
          </w:tcPr>
          <w:p w14:paraId="3EEACD7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9,625.0</w:t>
            </w:r>
          </w:p>
        </w:tc>
        <w:tc>
          <w:tcPr>
            <w:tcW w:w="960" w:type="dxa"/>
            <w:tcBorders>
              <w:top w:val="nil"/>
              <w:left w:val="nil"/>
              <w:bottom w:val="nil"/>
              <w:right w:val="nil"/>
            </w:tcBorders>
            <w:shd w:val="clear" w:color="auto" w:fill="auto"/>
            <w:noWrap/>
            <w:vAlign w:val="bottom"/>
            <w:hideMark/>
          </w:tcPr>
          <w:p w14:paraId="50D8F7B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401</w:t>
            </w:r>
          </w:p>
        </w:tc>
        <w:tc>
          <w:tcPr>
            <w:tcW w:w="1261" w:type="dxa"/>
            <w:tcBorders>
              <w:top w:val="nil"/>
              <w:left w:val="nil"/>
              <w:bottom w:val="nil"/>
              <w:right w:val="nil"/>
            </w:tcBorders>
            <w:shd w:val="clear" w:color="auto" w:fill="auto"/>
            <w:noWrap/>
            <w:vAlign w:val="bottom"/>
            <w:hideMark/>
          </w:tcPr>
          <w:p w14:paraId="2EA4FFA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7,983.5</w:t>
            </w:r>
          </w:p>
        </w:tc>
        <w:tc>
          <w:tcPr>
            <w:tcW w:w="960" w:type="dxa"/>
            <w:tcBorders>
              <w:top w:val="nil"/>
              <w:left w:val="nil"/>
              <w:bottom w:val="nil"/>
              <w:right w:val="nil"/>
            </w:tcBorders>
            <w:shd w:val="clear" w:color="auto" w:fill="auto"/>
            <w:noWrap/>
            <w:vAlign w:val="bottom"/>
            <w:hideMark/>
          </w:tcPr>
          <w:p w14:paraId="0AEF818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332</w:t>
            </w:r>
          </w:p>
        </w:tc>
        <w:tc>
          <w:tcPr>
            <w:tcW w:w="1261" w:type="dxa"/>
            <w:tcBorders>
              <w:top w:val="nil"/>
              <w:left w:val="nil"/>
              <w:bottom w:val="nil"/>
              <w:right w:val="nil"/>
            </w:tcBorders>
            <w:shd w:val="clear" w:color="auto" w:fill="auto"/>
            <w:noWrap/>
            <w:vAlign w:val="bottom"/>
            <w:hideMark/>
          </w:tcPr>
          <w:p w14:paraId="2149012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8,870.7</w:t>
            </w:r>
          </w:p>
        </w:tc>
        <w:tc>
          <w:tcPr>
            <w:tcW w:w="960" w:type="dxa"/>
            <w:tcBorders>
              <w:top w:val="nil"/>
              <w:left w:val="nil"/>
              <w:bottom w:val="nil"/>
              <w:right w:val="nil"/>
            </w:tcBorders>
            <w:shd w:val="clear" w:color="auto" w:fill="auto"/>
            <w:noWrap/>
            <w:vAlign w:val="bottom"/>
            <w:hideMark/>
          </w:tcPr>
          <w:p w14:paraId="08BEA26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369</w:t>
            </w:r>
          </w:p>
        </w:tc>
      </w:tr>
      <w:tr w:rsidR="00EE4837" w:rsidRPr="007239A6" w14:paraId="7C186FF2" w14:textId="77777777" w:rsidTr="00181ACD">
        <w:trPr>
          <w:trHeight w:val="288"/>
        </w:trPr>
        <w:tc>
          <w:tcPr>
            <w:tcW w:w="1586" w:type="dxa"/>
            <w:tcBorders>
              <w:top w:val="nil"/>
              <w:left w:val="nil"/>
              <w:bottom w:val="nil"/>
              <w:right w:val="nil"/>
            </w:tcBorders>
            <w:shd w:val="clear" w:color="auto" w:fill="auto"/>
            <w:noWrap/>
            <w:vAlign w:val="bottom"/>
            <w:hideMark/>
          </w:tcPr>
          <w:p w14:paraId="0FA86E6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North Stonington</w:t>
            </w:r>
          </w:p>
        </w:tc>
        <w:tc>
          <w:tcPr>
            <w:tcW w:w="1261" w:type="dxa"/>
            <w:tcBorders>
              <w:top w:val="nil"/>
              <w:left w:val="nil"/>
              <w:bottom w:val="nil"/>
              <w:right w:val="nil"/>
            </w:tcBorders>
            <w:shd w:val="clear" w:color="auto" w:fill="auto"/>
            <w:noWrap/>
            <w:vAlign w:val="bottom"/>
            <w:hideMark/>
          </w:tcPr>
          <w:p w14:paraId="4B9F557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1,348.5</w:t>
            </w:r>
          </w:p>
        </w:tc>
        <w:tc>
          <w:tcPr>
            <w:tcW w:w="960" w:type="dxa"/>
            <w:tcBorders>
              <w:top w:val="nil"/>
              <w:left w:val="nil"/>
              <w:bottom w:val="nil"/>
              <w:right w:val="nil"/>
            </w:tcBorders>
            <w:shd w:val="clear" w:color="auto" w:fill="auto"/>
            <w:noWrap/>
            <w:vAlign w:val="bottom"/>
            <w:hideMark/>
          </w:tcPr>
          <w:p w14:paraId="3A9F2C2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255</w:t>
            </w:r>
          </w:p>
        </w:tc>
        <w:tc>
          <w:tcPr>
            <w:tcW w:w="1261" w:type="dxa"/>
            <w:tcBorders>
              <w:top w:val="nil"/>
              <w:left w:val="nil"/>
              <w:bottom w:val="nil"/>
              <w:right w:val="nil"/>
            </w:tcBorders>
            <w:shd w:val="clear" w:color="auto" w:fill="auto"/>
            <w:noWrap/>
            <w:vAlign w:val="bottom"/>
            <w:hideMark/>
          </w:tcPr>
          <w:p w14:paraId="076D66D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1,243.3</w:t>
            </w:r>
          </w:p>
        </w:tc>
        <w:tc>
          <w:tcPr>
            <w:tcW w:w="960" w:type="dxa"/>
            <w:tcBorders>
              <w:top w:val="nil"/>
              <w:left w:val="nil"/>
              <w:bottom w:val="nil"/>
              <w:right w:val="nil"/>
            </w:tcBorders>
            <w:shd w:val="clear" w:color="auto" w:fill="auto"/>
            <w:noWrap/>
            <w:vAlign w:val="bottom"/>
            <w:hideMark/>
          </w:tcPr>
          <w:p w14:paraId="0B0E8F4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235</w:t>
            </w:r>
          </w:p>
        </w:tc>
        <w:tc>
          <w:tcPr>
            <w:tcW w:w="1261" w:type="dxa"/>
            <w:tcBorders>
              <w:top w:val="nil"/>
              <w:left w:val="nil"/>
              <w:bottom w:val="nil"/>
              <w:right w:val="nil"/>
            </w:tcBorders>
            <w:shd w:val="clear" w:color="auto" w:fill="auto"/>
            <w:noWrap/>
            <w:vAlign w:val="bottom"/>
            <w:hideMark/>
          </w:tcPr>
          <w:p w14:paraId="489AB25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674.5</w:t>
            </w:r>
          </w:p>
        </w:tc>
        <w:tc>
          <w:tcPr>
            <w:tcW w:w="960" w:type="dxa"/>
            <w:tcBorders>
              <w:top w:val="nil"/>
              <w:left w:val="nil"/>
              <w:bottom w:val="nil"/>
              <w:right w:val="nil"/>
            </w:tcBorders>
            <w:shd w:val="clear" w:color="auto" w:fill="auto"/>
            <w:noWrap/>
            <w:vAlign w:val="bottom"/>
            <w:hideMark/>
          </w:tcPr>
          <w:p w14:paraId="71B7910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127</w:t>
            </w:r>
          </w:p>
        </w:tc>
        <w:tc>
          <w:tcPr>
            <w:tcW w:w="1261" w:type="dxa"/>
            <w:tcBorders>
              <w:top w:val="nil"/>
              <w:left w:val="nil"/>
              <w:bottom w:val="nil"/>
              <w:right w:val="nil"/>
            </w:tcBorders>
            <w:shd w:val="clear" w:color="auto" w:fill="auto"/>
            <w:noWrap/>
            <w:vAlign w:val="bottom"/>
            <w:hideMark/>
          </w:tcPr>
          <w:p w14:paraId="2A42F3C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1,459.0</w:t>
            </w:r>
          </w:p>
        </w:tc>
        <w:tc>
          <w:tcPr>
            <w:tcW w:w="960" w:type="dxa"/>
            <w:tcBorders>
              <w:top w:val="nil"/>
              <w:left w:val="nil"/>
              <w:bottom w:val="nil"/>
              <w:right w:val="nil"/>
            </w:tcBorders>
            <w:shd w:val="clear" w:color="auto" w:fill="auto"/>
            <w:noWrap/>
            <w:vAlign w:val="bottom"/>
            <w:hideMark/>
          </w:tcPr>
          <w:p w14:paraId="658F3BC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276</w:t>
            </w:r>
          </w:p>
        </w:tc>
        <w:tc>
          <w:tcPr>
            <w:tcW w:w="1261" w:type="dxa"/>
            <w:tcBorders>
              <w:top w:val="nil"/>
              <w:left w:val="nil"/>
              <w:bottom w:val="nil"/>
              <w:right w:val="nil"/>
            </w:tcBorders>
            <w:shd w:val="clear" w:color="auto" w:fill="auto"/>
            <w:noWrap/>
            <w:vAlign w:val="bottom"/>
            <w:hideMark/>
          </w:tcPr>
          <w:p w14:paraId="42F6739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1,048.5</w:t>
            </w:r>
          </w:p>
        </w:tc>
        <w:tc>
          <w:tcPr>
            <w:tcW w:w="960" w:type="dxa"/>
            <w:tcBorders>
              <w:top w:val="nil"/>
              <w:left w:val="nil"/>
              <w:bottom w:val="nil"/>
              <w:right w:val="nil"/>
            </w:tcBorders>
            <w:shd w:val="clear" w:color="auto" w:fill="auto"/>
            <w:noWrap/>
            <w:vAlign w:val="bottom"/>
            <w:hideMark/>
          </w:tcPr>
          <w:p w14:paraId="03BCC68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198</w:t>
            </w:r>
          </w:p>
        </w:tc>
      </w:tr>
      <w:tr w:rsidR="00EE4837" w:rsidRPr="007239A6" w14:paraId="146C5603" w14:textId="77777777" w:rsidTr="00181ACD">
        <w:trPr>
          <w:trHeight w:val="288"/>
        </w:trPr>
        <w:tc>
          <w:tcPr>
            <w:tcW w:w="1586" w:type="dxa"/>
            <w:tcBorders>
              <w:top w:val="nil"/>
              <w:left w:val="nil"/>
              <w:bottom w:val="nil"/>
              <w:right w:val="nil"/>
            </w:tcBorders>
            <w:shd w:val="clear" w:color="auto" w:fill="auto"/>
            <w:noWrap/>
            <w:vAlign w:val="bottom"/>
            <w:hideMark/>
          </w:tcPr>
          <w:p w14:paraId="508B8761"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Norwalk</w:t>
            </w:r>
          </w:p>
        </w:tc>
        <w:tc>
          <w:tcPr>
            <w:tcW w:w="1261" w:type="dxa"/>
            <w:tcBorders>
              <w:top w:val="nil"/>
              <w:left w:val="nil"/>
              <w:bottom w:val="nil"/>
              <w:right w:val="nil"/>
            </w:tcBorders>
            <w:shd w:val="clear" w:color="auto" w:fill="auto"/>
            <w:noWrap/>
            <w:vAlign w:val="bottom"/>
            <w:hideMark/>
          </w:tcPr>
          <w:p w14:paraId="13D586C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26,815.2</w:t>
            </w:r>
          </w:p>
        </w:tc>
        <w:tc>
          <w:tcPr>
            <w:tcW w:w="960" w:type="dxa"/>
            <w:tcBorders>
              <w:top w:val="nil"/>
              <w:left w:val="nil"/>
              <w:bottom w:val="nil"/>
              <w:right w:val="nil"/>
            </w:tcBorders>
            <w:shd w:val="clear" w:color="auto" w:fill="auto"/>
            <w:noWrap/>
            <w:vAlign w:val="bottom"/>
            <w:hideMark/>
          </w:tcPr>
          <w:p w14:paraId="01A15C4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310</w:t>
            </w:r>
          </w:p>
        </w:tc>
        <w:tc>
          <w:tcPr>
            <w:tcW w:w="1261" w:type="dxa"/>
            <w:tcBorders>
              <w:top w:val="nil"/>
              <w:left w:val="nil"/>
              <w:bottom w:val="nil"/>
              <w:right w:val="nil"/>
            </w:tcBorders>
            <w:shd w:val="clear" w:color="auto" w:fill="auto"/>
            <w:noWrap/>
            <w:vAlign w:val="bottom"/>
            <w:hideMark/>
          </w:tcPr>
          <w:p w14:paraId="265D3E7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23,992.2</w:t>
            </w:r>
          </w:p>
        </w:tc>
        <w:tc>
          <w:tcPr>
            <w:tcW w:w="960" w:type="dxa"/>
            <w:tcBorders>
              <w:top w:val="nil"/>
              <w:left w:val="nil"/>
              <w:bottom w:val="nil"/>
              <w:right w:val="nil"/>
            </w:tcBorders>
            <w:shd w:val="clear" w:color="auto" w:fill="auto"/>
            <w:noWrap/>
            <w:vAlign w:val="bottom"/>
            <w:hideMark/>
          </w:tcPr>
          <w:p w14:paraId="623364E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277</w:t>
            </w:r>
          </w:p>
        </w:tc>
        <w:tc>
          <w:tcPr>
            <w:tcW w:w="1261" w:type="dxa"/>
            <w:tcBorders>
              <w:top w:val="nil"/>
              <w:left w:val="nil"/>
              <w:bottom w:val="nil"/>
              <w:right w:val="nil"/>
            </w:tcBorders>
            <w:shd w:val="clear" w:color="auto" w:fill="auto"/>
            <w:noWrap/>
            <w:vAlign w:val="bottom"/>
            <w:hideMark/>
          </w:tcPr>
          <w:p w14:paraId="68B2E44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45,913.3</w:t>
            </w:r>
          </w:p>
        </w:tc>
        <w:tc>
          <w:tcPr>
            <w:tcW w:w="960" w:type="dxa"/>
            <w:tcBorders>
              <w:top w:val="nil"/>
              <w:left w:val="nil"/>
              <w:bottom w:val="nil"/>
              <w:right w:val="nil"/>
            </w:tcBorders>
            <w:shd w:val="clear" w:color="auto" w:fill="auto"/>
            <w:noWrap/>
            <w:vAlign w:val="bottom"/>
            <w:hideMark/>
          </w:tcPr>
          <w:p w14:paraId="31ED08D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531</w:t>
            </w:r>
          </w:p>
        </w:tc>
        <w:tc>
          <w:tcPr>
            <w:tcW w:w="1261" w:type="dxa"/>
            <w:tcBorders>
              <w:top w:val="nil"/>
              <w:left w:val="nil"/>
              <w:bottom w:val="nil"/>
              <w:right w:val="nil"/>
            </w:tcBorders>
            <w:shd w:val="clear" w:color="auto" w:fill="auto"/>
            <w:noWrap/>
            <w:vAlign w:val="bottom"/>
            <w:hideMark/>
          </w:tcPr>
          <w:p w14:paraId="6D78A95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28,640.7</w:t>
            </w:r>
          </w:p>
        </w:tc>
        <w:tc>
          <w:tcPr>
            <w:tcW w:w="960" w:type="dxa"/>
            <w:tcBorders>
              <w:top w:val="nil"/>
              <w:left w:val="nil"/>
              <w:bottom w:val="nil"/>
              <w:right w:val="nil"/>
            </w:tcBorders>
            <w:shd w:val="clear" w:color="auto" w:fill="auto"/>
            <w:noWrap/>
            <w:vAlign w:val="bottom"/>
            <w:hideMark/>
          </w:tcPr>
          <w:p w14:paraId="490495B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331</w:t>
            </w:r>
          </w:p>
        </w:tc>
        <w:tc>
          <w:tcPr>
            <w:tcW w:w="1261" w:type="dxa"/>
            <w:tcBorders>
              <w:top w:val="nil"/>
              <w:left w:val="nil"/>
              <w:bottom w:val="nil"/>
              <w:right w:val="nil"/>
            </w:tcBorders>
            <w:shd w:val="clear" w:color="auto" w:fill="auto"/>
            <w:noWrap/>
            <w:vAlign w:val="bottom"/>
            <w:hideMark/>
          </w:tcPr>
          <w:p w14:paraId="4FF163A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37,941.3</w:t>
            </w:r>
          </w:p>
        </w:tc>
        <w:tc>
          <w:tcPr>
            <w:tcW w:w="960" w:type="dxa"/>
            <w:tcBorders>
              <w:top w:val="nil"/>
              <w:left w:val="nil"/>
              <w:bottom w:val="nil"/>
              <w:right w:val="nil"/>
            </w:tcBorders>
            <w:shd w:val="clear" w:color="auto" w:fill="auto"/>
            <w:noWrap/>
            <w:vAlign w:val="bottom"/>
            <w:hideMark/>
          </w:tcPr>
          <w:p w14:paraId="7A89D2E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439</w:t>
            </w:r>
          </w:p>
        </w:tc>
      </w:tr>
      <w:tr w:rsidR="00EE4837" w:rsidRPr="007239A6" w14:paraId="32467D20" w14:textId="77777777" w:rsidTr="00181ACD">
        <w:trPr>
          <w:trHeight w:val="288"/>
        </w:trPr>
        <w:tc>
          <w:tcPr>
            <w:tcW w:w="1586" w:type="dxa"/>
            <w:tcBorders>
              <w:top w:val="nil"/>
              <w:left w:val="nil"/>
              <w:bottom w:val="nil"/>
              <w:right w:val="nil"/>
            </w:tcBorders>
            <w:shd w:val="clear" w:color="auto" w:fill="auto"/>
            <w:noWrap/>
            <w:vAlign w:val="bottom"/>
            <w:hideMark/>
          </w:tcPr>
          <w:p w14:paraId="1B2C7B3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Norwich</w:t>
            </w:r>
          </w:p>
        </w:tc>
        <w:tc>
          <w:tcPr>
            <w:tcW w:w="1261" w:type="dxa"/>
            <w:tcBorders>
              <w:top w:val="nil"/>
              <w:left w:val="nil"/>
              <w:bottom w:val="nil"/>
              <w:right w:val="nil"/>
            </w:tcBorders>
            <w:shd w:val="clear" w:color="auto" w:fill="auto"/>
            <w:noWrap/>
            <w:vAlign w:val="bottom"/>
            <w:hideMark/>
          </w:tcPr>
          <w:p w14:paraId="147EF94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5,770.4</w:t>
            </w:r>
          </w:p>
        </w:tc>
        <w:tc>
          <w:tcPr>
            <w:tcW w:w="960" w:type="dxa"/>
            <w:tcBorders>
              <w:top w:val="nil"/>
              <w:left w:val="nil"/>
              <w:bottom w:val="nil"/>
              <w:right w:val="nil"/>
            </w:tcBorders>
            <w:shd w:val="clear" w:color="auto" w:fill="auto"/>
            <w:noWrap/>
            <w:vAlign w:val="bottom"/>
            <w:hideMark/>
          </w:tcPr>
          <w:p w14:paraId="662E7AB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143</w:t>
            </w:r>
          </w:p>
        </w:tc>
        <w:tc>
          <w:tcPr>
            <w:tcW w:w="1261" w:type="dxa"/>
            <w:tcBorders>
              <w:top w:val="nil"/>
              <w:left w:val="nil"/>
              <w:bottom w:val="nil"/>
              <w:right w:val="nil"/>
            </w:tcBorders>
            <w:shd w:val="clear" w:color="auto" w:fill="auto"/>
            <w:noWrap/>
            <w:vAlign w:val="bottom"/>
            <w:hideMark/>
          </w:tcPr>
          <w:p w14:paraId="202617A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4,464.8</w:t>
            </w:r>
          </w:p>
        </w:tc>
        <w:tc>
          <w:tcPr>
            <w:tcW w:w="960" w:type="dxa"/>
            <w:tcBorders>
              <w:top w:val="nil"/>
              <w:left w:val="nil"/>
              <w:bottom w:val="nil"/>
              <w:right w:val="nil"/>
            </w:tcBorders>
            <w:shd w:val="clear" w:color="auto" w:fill="auto"/>
            <w:noWrap/>
            <w:vAlign w:val="bottom"/>
            <w:hideMark/>
          </w:tcPr>
          <w:p w14:paraId="7066D18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110</w:t>
            </w:r>
          </w:p>
        </w:tc>
        <w:tc>
          <w:tcPr>
            <w:tcW w:w="1261" w:type="dxa"/>
            <w:tcBorders>
              <w:top w:val="nil"/>
              <w:left w:val="nil"/>
              <w:bottom w:val="nil"/>
              <w:right w:val="nil"/>
            </w:tcBorders>
            <w:shd w:val="clear" w:color="auto" w:fill="auto"/>
            <w:noWrap/>
            <w:vAlign w:val="bottom"/>
            <w:hideMark/>
          </w:tcPr>
          <w:p w14:paraId="338078F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8,048.7</w:t>
            </w:r>
          </w:p>
        </w:tc>
        <w:tc>
          <w:tcPr>
            <w:tcW w:w="960" w:type="dxa"/>
            <w:tcBorders>
              <w:top w:val="nil"/>
              <w:left w:val="nil"/>
              <w:bottom w:val="nil"/>
              <w:right w:val="nil"/>
            </w:tcBorders>
            <w:shd w:val="clear" w:color="auto" w:fill="auto"/>
            <w:noWrap/>
            <w:vAlign w:val="bottom"/>
            <w:hideMark/>
          </w:tcPr>
          <w:p w14:paraId="62AE590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199</w:t>
            </w:r>
          </w:p>
        </w:tc>
        <w:tc>
          <w:tcPr>
            <w:tcW w:w="1261" w:type="dxa"/>
            <w:tcBorders>
              <w:top w:val="nil"/>
              <w:left w:val="nil"/>
              <w:bottom w:val="nil"/>
              <w:right w:val="nil"/>
            </w:tcBorders>
            <w:shd w:val="clear" w:color="auto" w:fill="auto"/>
            <w:noWrap/>
            <w:vAlign w:val="bottom"/>
            <w:hideMark/>
          </w:tcPr>
          <w:p w14:paraId="559B2B1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7,355.3</w:t>
            </w:r>
          </w:p>
        </w:tc>
        <w:tc>
          <w:tcPr>
            <w:tcW w:w="960" w:type="dxa"/>
            <w:tcBorders>
              <w:top w:val="nil"/>
              <w:left w:val="nil"/>
              <w:bottom w:val="nil"/>
              <w:right w:val="nil"/>
            </w:tcBorders>
            <w:shd w:val="clear" w:color="auto" w:fill="auto"/>
            <w:noWrap/>
            <w:vAlign w:val="bottom"/>
            <w:hideMark/>
          </w:tcPr>
          <w:p w14:paraId="3CD0728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182</w:t>
            </w:r>
          </w:p>
        </w:tc>
        <w:tc>
          <w:tcPr>
            <w:tcW w:w="1261" w:type="dxa"/>
            <w:tcBorders>
              <w:top w:val="nil"/>
              <w:left w:val="nil"/>
              <w:bottom w:val="nil"/>
              <w:right w:val="nil"/>
            </w:tcBorders>
            <w:shd w:val="clear" w:color="auto" w:fill="auto"/>
            <w:noWrap/>
            <w:vAlign w:val="bottom"/>
            <w:hideMark/>
          </w:tcPr>
          <w:p w14:paraId="23C7BF0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7,717.5</w:t>
            </w:r>
          </w:p>
        </w:tc>
        <w:tc>
          <w:tcPr>
            <w:tcW w:w="960" w:type="dxa"/>
            <w:tcBorders>
              <w:top w:val="nil"/>
              <w:left w:val="nil"/>
              <w:bottom w:val="nil"/>
              <w:right w:val="nil"/>
            </w:tcBorders>
            <w:shd w:val="clear" w:color="auto" w:fill="auto"/>
            <w:noWrap/>
            <w:vAlign w:val="bottom"/>
            <w:hideMark/>
          </w:tcPr>
          <w:p w14:paraId="40F92D2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191</w:t>
            </w:r>
          </w:p>
        </w:tc>
      </w:tr>
      <w:tr w:rsidR="00EE4837" w:rsidRPr="007239A6" w14:paraId="5B110CAD" w14:textId="77777777" w:rsidTr="00181ACD">
        <w:trPr>
          <w:trHeight w:val="288"/>
        </w:trPr>
        <w:tc>
          <w:tcPr>
            <w:tcW w:w="1586" w:type="dxa"/>
            <w:tcBorders>
              <w:top w:val="nil"/>
              <w:left w:val="nil"/>
              <w:bottom w:val="nil"/>
              <w:right w:val="nil"/>
            </w:tcBorders>
            <w:shd w:val="clear" w:color="auto" w:fill="auto"/>
            <w:noWrap/>
            <w:vAlign w:val="bottom"/>
            <w:hideMark/>
          </w:tcPr>
          <w:p w14:paraId="553AF86F"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Old Lyme</w:t>
            </w:r>
          </w:p>
        </w:tc>
        <w:tc>
          <w:tcPr>
            <w:tcW w:w="1261" w:type="dxa"/>
            <w:tcBorders>
              <w:top w:val="nil"/>
              <w:left w:val="nil"/>
              <w:bottom w:val="nil"/>
              <w:right w:val="nil"/>
            </w:tcBorders>
            <w:shd w:val="clear" w:color="auto" w:fill="auto"/>
            <w:noWrap/>
            <w:vAlign w:val="bottom"/>
            <w:hideMark/>
          </w:tcPr>
          <w:p w14:paraId="5259A2E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3,621.1</w:t>
            </w:r>
          </w:p>
        </w:tc>
        <w:tc>
          <w:tcPr>
            <w:tcW w:w="960" w:type="dxa"/>
            <w:tcBorders>
              <w:top w:val="nil"/>
              <w:left w:val="nil"/>
              <w:bottom w:val="nil"/>
              <w:right w:val="nil"/>
            </w:tcBorders>
            <w:shd w:val="clear" w:color="auto" w:fill="auto"/>
            <w:noWrap/>
            <w:vAlign w:val="bottom"/>
            <w:hideMark/>
          </w:tcPr>
          <w:p w14:paraId="53CC277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477</w:t>
            </w:r>
          </w:p>
        </w:tc>
        <w:tc>
          <w:tcPr>
            <w:tcW w:w="1261" w:type="dxa"/>
            <w:tcBorders>
              <w:top w:val="nil"/>
              <w:left w:val="nil"/>
              <w:bottom w:val="nil"/>
              <w:right w:val="nil"/>
            </w:tcBorders>
            <w:shd w:val="clear" w:color="auto" w:fill="auto"/>
            <w:noWrap/>
            <w:vAlign w:val="bottom"/>
            <w:hideMark/>
          </w:tcPr>
          <w:p w14:paraId="5A12604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3,963.5</w:t>
            </w:r>
          </w:p>
        </w:tc>
        <w:tc>
          <w:tcPr>
            <w:tcW w:w="960" w:type="dxa"/>
            <w:tcBorders>
              <w:top w:val="nil"/>
              <w:left w:val="nil"/>
              <w:bottom w:val="nil"/>
              <w:right w:val="nil"/>
            </w:tcBorders>
            <w:shd w:val="clear" w:color="auto" w:fill="auto"/>
            <w:noWrap/>
            <w:vAlign w:val="bottom"/>
            <w:hideMark/>
          </w:tcPr>
          <w:p w14:paraId="0E05A85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522</w:t>
            </w:r>
          </w:p>
        </w:tc>
        <w:tc>
          <w:tcPr>
            <w:tcW w:w="1261" w:type="dxa"/>
            <w:tcBorders>
              <w:top w:val="nil"/>
              <w:left w:val="nil"/>
              <w:bottom w:val="nil"/>
              <w:right w:val="nil"/>
            </w:tcBorders>
            <w:shd w:val="clear" w:color="auto" w:fill="auto"/>
            <w:noWrap/>
            <w:vAlign w:val="bottom"/>
            <w:hideMark/>
          </w:tcPr>
          <w:p w14:paraId="0A18E6A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1,253.7</w:t>
            </w:r>
          </w:p>
        </w:tc>
        <w:tc>
          <w:tcPr>
            <w:tcW w:w="960" w:type="dxa"/>
            <w:tcBorders>
              <w:top w:val="nil"/>
              <w:left w:val="nil"/>
              <w:bottom w:val="nil"/>
              <w:right w:val="nil"/>
            </w:tcBorders>
            <w:shd w:val="clear" w:color="auto" w:fill="auto"/>
            <w:noWrap/>
            <w:vAlign w:val="bottom"/>
            <w:hideMark/>
          </w:tcPr>
          <w:p w14:paraId="7856747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165</w:t>
            </w:r>
          </w:p>
        </w:tc>
        <w:tc>
          <w:tcPr>
            <w:tcW w:w="1261" w:type="dxa"/>
            <w:tcBorders>
              <w:top w:val="nil"/>
              <w:left w:val="nil"/>
              <w:bottom w:val="nil"/>
              <w:right w:val="nil"/>
            </w:tcBorders>
            <w:shd w:val="clear" w:color="auto" w:fill="auto"/>
            <w:noWrap/>
            <w:vAlign w:val="bottom"/>
            <w:hideMark/>
          </w:tcPr>
          <w:p w14:paraId="27BE7EC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3,239.4</w:t>
            </w:r>
          </w:p>
        </w:tc>
        <w:tc>
          <w:tcPr>
            <w:tcW w:w="960" w:type="dxa"/>
            <w:tcBorders>
              <w:top w:val="nil"/>
              <w:left w:val="nil"/>
              <w:bottom w:val="nil"/>
              <w:right w:val="nil"/>
            </w:tcBorders>
            <w:shd w:val="clear" w:color="auto" w:fill="auto"/>
            <w:noWrap/>
            <w:vAlign w:val="bottom"/>
            <w:hideMark/>
          </w:tcPr>
          <w:p w14:paraId="52125CD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426</w:t>
            </w:r>
          </w:p>
        </w:tc>
        <w:tc>
          <w:tcPr>
            <w:tcW w:w="1261" w:type="dxa"/>
            <w:tcBorders>
              <w:top w:val="nil"/>
              <w:left w:val="nil"/>
              <w:bottom w:val="nil"/>
              <w:right w:val="nil"/>
            </w:tcBorders>
            <w:shd w:val="clear" w:color="auto" w:fill="auto"/>
            <w:noWrap/>
            <w:vAlign w:val="bottom"/>
            <w:hideMark/>
          </w:tcPr>
          <w:p w14:paraId="2580F8C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2,133.6</w:t>
            </w:r>
          </w:p>
        </w:tc>
        <w:tc>
          <w:tcPr>
            <w:tcW w:w="960" w:type="dxa"/>
            <w:tcBorders>
              <w:top w:val="nil"/>
              <w:left w:val="nil"/>
              <w:bottom w:val="nil"/>
              <w:right w:val="nil"/>
            </w:tcBorders>
            <w:shd w:val="clear" w:color="auto" w:fill="auto"/>
            <w:noWrap/>
            <w:vAlign w:val="bottom"/>
            <w:hideMark/>
          </w:tcPr>
          <w:p w14:paraId="5FD3CA9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281</w:t>
            </w:r>
          </w:p>
        </w:tc>
      </w:tr>
      <w:tr w:rsidR="00EE4837" w:rsidRPr="007239A6" w14:paraId="2A22233C" w14:textId="77777777" w:rsidTr="00181ACD">
        <w:trPr>
          <w:trHeight w:val="288"/>
        </w:trPr>
        <w:tc>
          <w:tcPr>
            <w:tcW w:w="1586" w:type="dxa"/>
            <w:tcBorders>
              <w:top w:val="nil"/>
              <w:left w:val="nil"/>
              <w:bottom w:val="nil"/>
              <w:right w:val="nil"/>
            </w:tcBorders>
            <w:shd w:val="clear" w:color="auto" w:fill="auto"/>
            <w:noWrap/>
            <w:vAlign w:val="bottom"/>
            <w:hideMark/>
          </w:tcPr>
          <w:p w14:paraId="38203DA9"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Old Saybrook</w:t>
            </w:r>
          </w:p>
        </w:tc>
        <w:tc>
          <w:tcPr>
            <w:tcW w:w="1261" w:type="dxa"/>
            <w:tcBorders>
              <w:top w:val="nil"/>
              <w:left w:val="nil"/>
              <w:bottom w:val="nil"/>
              <w:right w:val="nil"/>
            </w:tcBorders>
            <w:shd w:val="clear" w:color="auto" w:fill="auto"/>
            <w:noWrap/>
            <w:vAlign w:val="bottom"/>
            <w:hideMark/>
          </w:tcPr>
          <w:p w14:paraId="47EA5D0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3,394.4</w:t>
            </w:r>
          </w:p>
        </w:tc>
        <w:tc>
          <w:tcPr>
            <w:tcW w:w="960" w:type="dxa"/>
            <w:tcBorders>
              <w:top w:val="nil"/>
              <w:left w:val="nil"/>
              <w:bottom w:val="nil"/>
              <w:right w:val="nil"/>
            </w:tcBorders>
            <w:shd w:val="clear" w:color="auto" w:fill="auto"/>
            <w:noWrap/>
            <w:vAlign w:val="bottom"/>
            <w:hideMark/>
          </w:tcPr>
          <w:p w14:paraId="0500A1B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331</w:t>
            </w:r>
          </w:p>
        </w:tc>
        <w:tc>
          <w:tcPr>
            <w:tcW w:w="1261" w:type="dxa"/>
            <w:tcBorders>
              <w:top w:val="nil"/>
              <w:left w:val="nil"/>
              <w:bottom w:val="nil"/>
              <w:right w:val="nil"/>
            </w:tcBorders>
            <w:shd w:val="clear" w:color="auto" w:fill="auto"/>
            <w:noWrap/>
            <w:vAlign w:val="bottom"/>
            <w:hideMark/>
          </w:tcPr>
          <w:p w14:paraId="0448320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3,690.9</w:t>
            </w:r>
          </w:p>
        </w:tc>
        <w:tc>
          <w:tcPr>
            <w:tcW w:w="960" w:type="dxa"/>
            <w:tcBorders>
              <w:top w:val="nil"/>
              <w:left w:val="nil"/>
              <w:bottom w:val="nil"/>
              <w:right w:val="nil"/>
            </w:tcBorders>
            <w:shd w:val="clear" w:color="auto" w:fill="auto"/>
            <w:noWrap/>
            <w:vAlign w:val="bottom"/>
            <w:hideMark/>
          </w:tcPr>
          <w:p w14:paraId="60B44D3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360</w:t>
            </w:r>
          </w:p>
        </w:tc>
        <w:tc>
          <w:tcPr>
            <w:tcW w:w="1261" w:type="dxa"/>
            <w:tcBorders>
              <w:top w:val="nil"/>
              <w:left w:val="nil"/>
              <w:bottom w:val="nil"/>
              <w:right w:val="nil"/>
            </w:tcBorders>
            <w:shd w:val="clear" w:color="auto" w:fill="auto"/>
            <w:noWrap/>
            <w:vAlign w:val="bottom"/>
            <w:hideMark/>
          </w:tcPr>
          <w:p w14:paraId="0003684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2,705.0</w:t>
            </w:r>
          </w:p>
        </w:tc>
        <w:tc>
          <w:tcPr>
            <w:tcW w:w="960" w:type="dxa"/>
            <w:tcBorders>
              <w:top w:val="nil"/>
              <w:left w:val="nil"/>
              <w:bottom w:val="nil"/>
              <w:right w:val="nil"/>
            </w:tcBorders>
            <w:shd w:val="clear" w:color="auto" w:fill="auto"/>
            <w:noWrap/>
            <w:vAlign w:val="bottom"/>
            <w:hideMark/>
          </w:tcPr>
          <w:p w14:paraId="1DC3A30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264</w:t>
            </w:r>
          </w:p>
        </w:tc>
        <w:tc>
          <w:tcPr>
            <w:tcW w:w="1261" w:type="dxa"/>
            <w:tcBorders>
              <w:top w:val="nil"/>
              <w:left w:val="nil"/>
              <w:bottom w:val="nil"/>
              <w:right w:val="nil"/>
            </w:tcBorders>
            <w:shd w:val="clear" w:color="auto" w:fill="auto"/>
            <w:noWrap/>
            <w:vAlign w:val="bottom"/>
            <w:hideMark/>
          </w:tcPr>
          <w:p w14:paraId="7552822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3,713.3</w:t>
            </w:r>
          </w:p>
        </w:tc>
        <w:tc>
          <w:tcPr>
            <w:tcW w:w="960" w:type="dxa"/>
            <w:tcBorders>
              <w:top w:val="nil"/>
              <w:left w:val="nil"/>
              <w:bottom w:val="nil"/>
              <w:right w:val="nil"/>
            </w:tcBorders>
            <w:shd w:val="clear" w:color="auto" w:fill="auto"/>
            <w:noWrap/>
            <w:vAlign w:val="bottom"/>
            <w:hideMark/>
          </w:tcPr>
          <w:p w14:paraId="79584A2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362</w:t>
            </w:r>
          </w:p>
        </w:tc>
        <w:tc>
          <w:tcPr>
            <w:tcW w:w="1261" w:type="dxa"/>
            <w:tcBorders>
              <w:top w:val="nil"/>
              <w:left w:val="nil"/>
              <w:bottom w:val="nil"/>
              <w:right w:val="nil"/>
            </w:tcBorders>
            <w:shd w:val="clear" w:color="auto" w:fill="auto"/>
            <w:noWrap/>
            <w:vAlign w:val="bottom"/>
            <w:hideMark/>
          </w:tcPr>
          <w:p w14:paraId="4B21A7F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3,181.8</w:t>
            </w:r>
          </w:p>
        </w:tc>
        <w:tc>
          <w:tcPr>
            <w:tcW w:w="960" w:type="dxa"/>
            <w:tcBorders>
              <w:top w:val="nil"/>
              <w:left w:val="nil"/>
              <w:bottom w:val="nil"/>
              <w:right w:val="nil"/>
            </w:tcBorders>
            <w:shd w:val="clear" w:color="auto" w:fill="auto"/>
            <w:noWrap/>
            <w:vAlign w:val="bottom"/>
            <w:hideMark/>
          </w:tcPr>
          <w:p w14:paraId="6534801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310</w:t>
            </w:r>
          </w:p>
        </w:tc>
      </w:tr>
      <w:tr w:rsidR="00EE4837" w:rsidRPr="007239A6" w14:paraId="5696E8E0" w14:textId="77777777" w:rsidTr="00181ACD">
        <w:trPr>
          <w:trHeight w:val="288"/>
        </w:trPr>
        <w:tc>
          <w:tcPr>
            <w:tcW w:w="1586" w:type="dxa"/>
            <w:tcBorders>
              <w:top w:val="nil"/>
              <w:left w:val="nil"/>
              <w:bottom w:val="nil"/>
              <w:right w:val="nil"/>
            </w:tcBorders>
            <w:shd w:val="clear" w:color="auto" w:fill="auto"/>
            <w:noWrap/>
            <w:vAlign w:val="bottom"/>
            <w:hideMark/>
          </w:tcPr>
          <w:p w14:paraId="7AAE6F76"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Orange</w:t>
            </w:r>
          </w:p>
        </w:tc>
        <w:tc>
          <w:tcPr>
            <w:tcW w:w="1261" w:type="dxa"/>
            <w:tcBorders>
              <w:top w:val="nil"/>
              <w:left w:val="nil"/>
              <w:bottom w:val="nil"/>
              <w:right w:val="nil"/>
            </w:tcBorders>
            <w:shd w:val="clear" w:color="auto" w:fill="auto"/>
            <w:noWrap/>
            <w:vAlign w:val="bottom"/>
            <w:hideMark/>
          </w:tcPr>
          <w:p w14:paraId="10F70AB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5,497.2</w:t>
            </w:r>
          </w:p>
        </w:tc>
        <w:tc>
          <w:tcPr>
            <w:tcW w:w="960" w:type="dxa"/>
            <w:tcBorders>
              <w:top w:val="nil"/>
              <w:left w:val="nil"/>
              <w:bottom w:val="nil"/>
              <w:right w:val="nil"/>
            </w:tcBorders>
            <w:shd w:val="clear" w:color="auto" w:fill="auto"/>
            <w:noWrap/>
            <w:vAlign w:val="bottom"/>
            <w:hideMark/>
          </w:tcPr>
          <w:p w14:paraId="7061CF7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395</w:t>
            </w:r>
          </w:p>
        </w:tc>
        <w:tc>
          <w:tcPr>
            <w:tcW w:w="1261" w:type="dxa"/>
            <w:tcBorders>
              <w:top w:val="nil"/>
              <w:left w:val="nil"/>
              <w:bottom w:val="nil"/>
              <w:right w:val="nil"/>
            </w:tcBorders>
            <w:shd w:val="clear" w:color="auto" w:fill="auto"/>
            <w:noWrap/>
            <w:vAlign w:val="bottom"/>
            <w:hideMark/>
          </w:tcPr>
          <w:p w14:paraId="7361C82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6,368.5</w:t>
            </w:r>
          </w:p>
        </w:tc>
        <w:tc>
          <w:tcPr>
            <w:tcW w:w="960" w:type="dxa"/>
            <w:tcBorders>
              <w:top w:val="nil"/>
              <w:left w:val="nil"/>
              <w:bottom w:val="nil"/>
              <w:right w:val="nil"/>
            </w:tcBorders>
            <w:shd w:val="clear" w:color="auto" w:fill="auto"/>
            <w:noWrap/>
            <w:vAlign w:val="bottom"/>
            <w:hideMark/>
          </w:tcPr>
          <w:p w14:paraId="0949313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457</w:t>
            </w:r>
          </w:p>
        </w:tc>
        <w:tc>
          <w:tcPr>
            <w:tcW w:w="1261" w:type="dxa"/>
            <w:tcBorders>
              <w:top w:val="nil"/>
              <w:left w:val="nil"/>
              <w:bottom w:val="nil"/>
              <w:right w:val="nil"/>
            </w:tcBorders>
            <w:shd w:val="clear" w:color="auto" w:fill="auto"/>
            <w:noWrap/>
            <w:vAlign w:val="bottom"/>
            <w:hideMark/>
          </w:tcPr>
          <w:p w14:paraId="57F15D0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5,066.4</w:t>
            </w:r>
          </w:p>
        </w:tc>
        <w:tc>
          <w:tcPr>
            <w:tcW w:w="960" w:type="dxa"/>
            <w:tcBorders>
              <w:top w:val="nil"/>
              <w:left w:val="nil"/>
              <w:bottom w:val="nil"/>
              <w:right w:val="nil"/>
            </w:tcBorders>
            <w:shd w:val="clear" w:color="auto" w:fill="auto"/>
            <w:noWrap/>
            <w:vAlign w:val="bottom"/>
            <w:hideMark/>
          </w:tcPr>
          <w:p w14:paraId="618B884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364</w:t>
            </w:r>
          </w:p>
        </w:tc>
        <w:tc>
          <w:tcPr>
            <w:tcW w:w="1261" w:type="dxa"/>
            <w:tcBorders>
              <w:top w:val="nil"/>
              <w:left w:val="nil"/>
              <w:bottom w:val="nil"/>
              <w:right w:val="nil"/>
            </w:tcBorders>
            <w:shd w:val="clear" w:color="auto" w:fill="auto"/>
            <w:noWrap/>
            <w:vAlign w:val="bottom"/>
            <w:hideMark/>
          </w:tcPr>
          <w:p w14:paraId="40F8BDE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5,693.9</w:t>
            </w:r>
          </w:p>
        </w:tc>
        <w:tc>
          <w:tcPr>
            <w:tcW w:w="960" w:type="dxa"/>
            <w:tcBorders>
              <w:top w:val="nil"/>
              <w:left w:val="nil"/>
              <w:bottom w:val="nil"/>
              <w:right w:val="nil"/>
            </w:tcBorders>
            <w:shd w:val="clear" w:color="auto" w:fill="auto"/>
            <w:noWrap/>
            <w:vAlign w:val="bottom"/>
            <w:hideMark/>
          </w:tcPr>
          <w:p w14:paraId="2199144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409</w:t>
            </w:r>
          </w:p>
        </w:tc>
        <w:tc>
          <w:tcPr>
            <w:tcW w:w="1261" w:type="dxa"/>
            <w:tcBorders>
              <w:top w:val="nil"/>
              <w:left w:val="nil"/>
              <w:bottom w:val="nil"/>
              <w:right w:val="nil"/>
            </w:tcBorders>
            <w:shd w:val="clear" w:color="auto" w:fill="auto"/>
            <w:noWrap/>
            <w:vAlign w:val="bottom"/>
            <w:hideMark/>
          </w:tcPr>
          <w:p w14:paraId="08AC338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5,372.0</w:t>
            </w:r>
          </w:p>
        </w:tc>
        <w:tc>
          <w:tcPr>
            <w:tcW w:w="960" w:type="dxa"/>
            <w:tcBorders>
              <w:top w:val="nil"/>
              <w:left w:val="nil"/>
              <w:bottom w:val="nil"/>
              <w:right w:val="nil"/>
            </w:tcBorders>
            <w:shd w:val="clear" w:color="auto" w:fill="auto"/>
            <w:noWrap/>
            <w:vAlign w:val="bottom"/>
            <w:hideMark/>
          </w:tcPr>
          <w:p w14:paraId="514170F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386</w:t>
            </w:r>
          </w:p>
        </w:tc>
      </w:tr>
      <w:tr w:rsidR="00EE4837" w:rsidRPr="007239A6" w14:paraId="1C4F0911" w14:textId="77777777" w:rsidTr="00181ACD">
        <w:trPr>
          <w:trHeight w:val="288"/>
        </w:trPr>
        <w:tc>
          <w:tcPr>
            <w:tcW w:w="1586" w:type="dxa"/>
            <w:tcBorders>
              <w:top w:val="nil"/>
              <w:left w:val="nil"/>
              <w:bottom w:val="nil"/>
              <w:right w:val="nil"/>
            </w:tcBorders>
            <w:shd w:val="clear" w:color="auto" w:fill="auto"/>
            <w:noWrap/>
            <w:vAlign w:val="bottom"/>
            <w:hideMark/>
          </w:tcPr>
          <w:p w14:paraId="7670C7F7"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Oxford</w:t>
            </w:r>
          </w:p>
        </w:tc>
        <w:tc>
          <w:tcPr>
            <w:tcW w:w="1261" w:type="dxa"/>
            <w:tcBorders>
              <w:top w:val="nil"/>
              <w:left w:val="nil"/>
              <w:bottom w:val="nil"/>
              <w:right w:val="nil"/>
            </w:tcBorders>
            <w:shd w:val="clear" w:color="auto" w:fill="auto"/>
            <w:noWrap/>
            <w:vAlign w:val="bottom"/>
            <w:hideMark/>
          </w:tcPr>
          <w:p w14:paraId="5FB452D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3,669.7</w:t>
            </w:r>
          </w:p>
        </w:tc>
        <w:tc>
          <w:tcPr>
            <w:tcW w:w="960" w:type="dxa"/>
            <w:tcBorders>
              <w:top w:val="nil"/>
              <w:left w:val="nil"/>
              <w:bottom w:val="nil"/>
              <w:right w:val="nil"/>
            </w:tcBorders>
            <w:shd w:val="clear" w:color="auto" w:fill="auto"/>
            <w:noWrap/>
            <w:vAlign w:val="bottom"/>
            <w:hideMark/>
          </w:tcPr>
          <w:p w14:paraId="23DA71D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288</w:t>
            </w:r>
          </w:p>
        </w:tc>
        <w:tc>
          <w:tcPr>
            <w:tcW w:w="1261" w:type="dxa"/>
            <w:tcBorders>
              <w:top w:val="nil"/>
              <w:left w:val="nil"/>
              <w:bottom w:val="nil"/>
              <w:right w:val="nil"/>
            </w:tcBorders>
            <w:shd w:val="clear" w:color="auto" w:fill="auto"/>
            <w:noWrap/>
            <w:vAlign w:val="bottom"/>
            <w:hideMark/>
          </w:tcPr>
          <w:p w14:paraId="0E4E5BB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3,887.2</w:t>
            </w:r>
          </w:p>
        </w:tc>
        <w:tc>
          <w:tcPr>
            <w:tcW w:w="960" w:type="dxa"/>
            <w:tcBorders>
              <w:top w:val="nil"/>
              <w:left w:val="nil"/>
              <w:bottom w:val="nil"/>
              <w:right w:val="nil"/>
            </w:tcBorders>
            <w:shd w:val="clear" w:color="auto" w:fill="auto"/>
            <w:noWrap/>
            <w:vAlign w:val="bottom"/>
            <w:hideMark/>
          </w:tcPr>
          <w:p w14:paraId="6F2132B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305</w:t>
            </w:r>
          </w:p>
        </w:tc>
        <w:tc>
          <w:tcPr>
            <w:tcW w:w="1261" w:type="dxa"/>
            <w:tcBorders>
              <w:top w:val="nil"/>
              <w:left w:val="nil"/>
              <w:bottom w:val="nil"/>
              <w:right w:val="nil"/>
            </w:tcBorders>
            <w:shd w:val="clear" w:color="auto" w:fill="auto"/>
            <w:noWrap/>
            <w:vAlign w:val="bottom"/>
            <w:hideMark/>
          </w:tcPr>
          <w:p w14:paraId="67A2F83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1,847.8</w:t>
            </w:r>
          </w:p>
        </w:tc>
        <w:tc>
          <w:tcPr>
            <w:tcW w:w="960" w:type="dxa"/>
            <w:tcBorders>
              <w:top w:val="nil"/>
              <w:left w:val="nil"/>
              <w:bottom w:val="nil"/>
              <w:right w:val="nil"/>
            </w:tcBorders>
            <w:shd w:val="clear" w:color="auto" w:fill="auto"/>
            <w:noWrap/>
            <w:vAlign w:val="bottom"/>
            <w:hideMark/>
          </w:tcPr>
          <w:p w14:paraId="7218FAC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145</w:t>
            </w:r>
          </w:p>
        </w:tc>
        <w:tc>
          <w:tcPr>
            <w:tcW w:w="1261" w:type="dxa"/>
            <w:tcBorders>
              <w:top w:val="nil"/>
              <w:left w:val="nil"/>
              <w:bottom w:val="nil"/>
              <w:right w:val="nil"/>
            </w:tcBorders>
            <w:shd w:val="clear" w:color="auto" w:fill="auto"/>
            <w:noWrap/>
            <w:vAlign w:val="bottom"/>
            <w:hideMark/>
          </w:tcPr>
          <w:p w14:paraId="435938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4,805.9</w:t>
            </w:r>
          </w:p>
        </w:tc>
        <w:tc>
          <w:tcPr>
            <w:tcW w:w="960" w:type="dxa"/>
            <w:tcBorders>
              <w:top w:val="nil"/>
              <w:left w:val="nil"/>
              <w:bottom w:val="nil"/>
              <w:right w:val="nil"/>
            </w:tcBorders>
            <w:shd w:val="clear" w:color="auto" w:fill="auto"/>
            <w:noWrap/>
            <w:vAlign w:val="bottom"/>
            <w:hideMark/>
          </w:tcPr>
          <w:p w14:paraId="50DA485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377</w:t>
            </w:r>
          </w:p>
        </w:tc>
        <w:tc>
          <w:tcPr>
            <w:tcW w:w="1261" w:type="dxa"/>
            <w:tcBorders>
              <w:top w:val="nil"/>
              <w:left w:val="nil"/>
              <w:bottom w:val="nil"/>
              <w:right w:val="nil"/>
            </w:tcBorders>
            <w:shd w:val="clear" w:color="auto" w:fill="auto"/>
            <w:noWrap/>
            <w:vAlign w:val="bottom"/>
            <w:hideMark/>
          </w:tcPr>
          <w:p w14:paraId="61152AE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3,263.6</w:t>
            </w:r>
          </w:p>
        </w:tc>
        <w:tc>
          <w:tcPr>
            <w:tcW w:w="960" w:type="dxa"/>
            <w:tcBorders>
              <w:top w:val="nil"/>
              <w:left w:val="nil"/>
              <w:bottom w:val="nil"/>
              <w:right w:val="nil"/>
            </w:tcBorders>
            <w:shd w:val="clear" w:color="auto" w:fill="auto"/>
            <w:noWrap/>
            <w:vAlign w:val="bottom"/>
            <w:hideMark/>
          </w:tcPr>
          <w:p w14:paraId="041B09A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256</w:t>
            </w:r>
          </w:p>
        </w:tc>
      </w:tr>
      <w:tr w:rsidR="00EE4837" w:rsidRPr="007239A6" w14:paraId="4EDF866C" w14:textId="77777777" w:rsidTr="00181ACD">
        <w:trPr>
          <w:trHeight w:val="288"/>
        </w:trPr>
        <w:tc>
          <w:tcPr>
            <w:tcW w:w="1586" w:type="dxa"/>
            <w:tcBorders>
              <w:top w:val="nil"/>
              <w:left w:val="nil"/>
              <w:bottom w:val="nil"/>
              <w:right w:val="nil"/>
            </w:tcBorders>
            <w:shd w:val="clear" w:color="auto" w:fill="auto"/>
            <w:noWrap/>
            <w:vAlign w:val="bottom"/>
            <w:hideMark/>
          </w:tcPr>
          <w:p w14:paraId="1F1B9523"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Plainfield</w:t>
            </w:r>
          </w:p>
        </w:tc>
        <w:tc>
          <w:tcPr>
            <w:tcW w:w="1261" w:type="dxa"/>
            <w:tcBorders>
              <w:top w:val="nil"/>
              <w:left w:val="nil"/>
              <w:bottom w:val="nil"/>
              <w:right w:val="nil"/>
            </w:tcBorders>
            <w:shd w:val="clear" w:color="auto" w:fill="auto"/>
            <w:noWrap/>
            <w:vAlign w:val="bottom"/>
            <w:hideMark/>
          </w:tcPr>
          <w:p w14:paraId="00352FE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2,359.8</w:t>
            </w:r>
          </w:p>
        </w:tc>
        <w:tc>
          <w:tcPr>
            <w:tcW w:w="960" w:type="dxa"/>
            <w:tcBorders>
              <w:top w:val="nil"/>
              <w:left w:val="nil"/>
              <w:bottom w:val="nil"/>
              <w:right w:val="nil"/>
            </w:tcBorders>
            <w:shd w:val="clear" w:color="auto" w:fill="auto"/>
            <w:noWrap/>
            <w:vAlign w:val="bottom"/>
            <w:hideMark/>
          </w:tcPr>
          <w:p w14:paraId="137AFEF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154</w:t>
            </w:r>
          </w:p>
        </w:tc>
        <w:tc>
          <w:tcPr>
            <w:tcW w:w="1261" w:type="dxa"/>
            <w:tcBorders>
              <w:top w:val="nil"/>
              <w:left w:val="nil"/>
              <w:bottom w:val="nil"/>
              <w:right w:val="nil"/>
            </w:tcBorders>
            <w:shd w:val="clear" w:color="auto" w:fill="auto"/>
            <w:noWrap/>
            <w:vAlign w:val="bottom"/>
            <w:hideMark/>
          </w:tcPr>
          <w:p w14:paraId="7093377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1,705.2</w:t>
            </w:r>
          </w:p>
        </w:tc>
        <w:tc>
          <w:tcPr>
            <w:tcW w:w="960" w:type="dxa"/>
            <w:tcBorders>
              <w:top w:val="nil"/>
              <w:left w:val="nil"/>
              <w:bottom w:val="nil"/>
              <w:right w:val="nil"/>
            </w:tcBorders>
            <w:shd w:val="clear" w:color="auto" w:fill="auto"/>
            <w:noWrap/>
            <w:vAlign w:val="bottom"/>
            <w:hideMark/>
          </w:tcPr>
          <w:p w14:paraId="5AC3EF9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111</w:t>
            </w:r>
          </w:p>
        </w:tc>
        <w:tc>
          <w:tcPr>
            <w:tcW w:w="1261" w:type="dxa"/>
            <w:tcBorders>
              <w:top w:val="nil"/>
              <w:left w:val="nil"/>
              <w:bottom w:val="nil"/>
              <w:right w:val="nil"/>
            </w:tcBorders>
            <w:shd w:val="clear" w:color="auto" w:fill="auto"/>
            <w:noWrap/>
            <w:vAlign w:val="bottom"/>
            <w:hideMark/>
          </w:tcPr>
          <w:p w14:paraId="29CB164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1,594.7</w:t>
            </w:r>
          </w:p>
        </w:tc>
        <w:tc>
          <w:tcPr>
            <w:tcW w:w="960" w:type="dxa"/>
            <w:tcBorders>
              <w:top w:val="nil"/>
              <w:left w:val="nil"/>
              <w:bottom w:val="nil"/>
              <w:right w:val="nil"/>
            </w:tcBorders>
            <w:shd w:val="clear" w:color="auto" w:fill="auto"/>
            <w:noWrap/>
            <w:vAlign w:val="bottom"/>
            <w:hideMark/>
          </w:tcPr>
          <w:p w14:paraId="6F21570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104</w:t>
            </w:r>
          </w:p>
        </w:tc>
        <w:tc>
          <w:tcPr>
            <w:tcW w:w="1261" w:type="dxa"/>
            <w:tcBorders>
              <w:top w:val="nil"/>
              <w:left w:val="nil"/>
              <w:bottom w:val="nil"/>
              <w:right w:val="nil"/>
            </w:tcBorders>
            <w:shd w:val="clear" w:color="auto" w:fill="auto"/>
            <w:noWrap/>
            <w:vAlign w:val="bottom"/>
            <w:hideMark/>
          </w:tcPr>
          <w:p w14:paraId="6D14E08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2,916.2</w:t>
            </w:r>
          </w:p>
        </w:tc>
        <w:tc>
          <w:tcPr>
            <w:tcW w:w="960" w:type="dxa"/>
            <w:tcBorders>
              <w:top w:val="nil"/>
              <w:left w:val="nil"/>
              <w:bottom w:val="nil"/>
              <w:right w:val="nil"/>
            </w:tcBorders>
            <w:shd w:val="clear" w:color="auto" w:fill="auto"/>
            <w:noWrap/>
            <w:vAlign w:val="bottom"/>
            <w:hideMark/>
          </w:tcPr>
          <w:p w14:paraId="54F6FA1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190</w:t>
            </w:r>
          </w:p>
        </w:tc>
        <w:tc>
          <w:tcPr>
            <w:tcW w:w="1261" w:type="dxa"/>
            <w:tcBorders>
              <w:top w:val="nil"/>
              <w:left w:val="nil"/>
              <w:bottom w:val="nil"/>
              <w:right w:val="nil"/>
            </w:tcBorders>
            <w:shd w:val="clear" w:color="auto" w:fill="auto"/>
            <w:noWrap/>
            <w:vAlign w:val="bottom"/>
            <w:hideMark/>
          </w:tcPr>
          <w:p w14:paraId="21E5ADE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2,230.4</w:t>
            </w:r>
          </w:p>
        </w:tc>
        <w:tc>
          <w:tcPr>
            <w:tcW w:w="960" w:type="dxa"/>
            <w:tcBorders>
              <w:top w:val="nil"/>
              <w:left w:val="nil"/>
              <w:bottom w:val="nil"/>
              <w:right w:val="nil"/>
            </w:tcBorders>
            <w:shd w:val="clear" w:color="auto" w:fill="auto"/>
            <w:noWrap/>
            <w:vAlign w:val="bottom"/>
            <w:hideMark/>
          </w:tcPr>
          <w:p w14:paraId="034D7DC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146</w:t>
            </w:r>
          </w:p>
        </w:tc>
      </w:tr>
      <w:tr w:rsidR="00EE4837" w:rsidRPr="007239A6" w14:paraId="26938F77" w14:textId="77777777" w:rsidTr="00181ACD">
        <w:trPr>
          <w:trHeight w:val="288"/>
        </w:trPr>
        <w:tc>
          <w:tcPr>
            <w:tcW w:w="1586" w:type="dxa"/>
            <w:tcBorders>
              <w:top w:val="nil"/>
              <w:left w:val="nil"/>
              <w:bottom w:val="nil"/>
              <w:right w:val="nil"/>
            </w:tcBorders>
            <w:shd w:val="clear" w:color="auto" w:fill="auto"/>
            <w:noWrap/>
            <w:vAlign w:val="bottom"/>
            <w:hideMark/>
          </w:tcPr>
          <w:p w14:paraId="7034C77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Plainville</w:t>
            </w:r>
          </w:p>
        </w:tc>
        <w:tc>
          <w:tcPr>
            <w:tcW w:w="1261" w:type="dxa"/>
            <w:tcBorders>
              <w:top w:val="nil"/>
              <w:left w:val="nil"/>
              <w:bottom w:val="nil"/>
              <w:right w:val="nil"/>
            </w:tcBorders>
            <w:shd w:val="clear" w:color="auto" w:fill="auto"/>
            <w:noWrap/>
            <w:vAlign w:val="bottom"/>
            <w:hideMark/>
          </w:tcPr>
          <w:p w14:paraId="33D5C04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3,667.6</w:t>
            </w:r>
          </w:p>
        </w:tc>
        <w:tc>
          <w:tcPr>
            <w:tcW w:w="960" w:type="dxa"/>
            <w:tcBorders>
              <w:top w:val="nil"/>
              <w:left w:val="nil"/>
              <w:bottom w:val="nil"/>
              <w:right w:val="nil"/>
            </w:tcBorders>
            <w:shd w:val="clear" w:color="auto" w:fill="auto"/>
            <w:noWrap/>
            <w:vAlign w:val="bottom"/>
            <w:hideMark/>
          </w:tcPr>
          <w:p w14:paraId="2A3D602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206</w:t>
            </w:r>
          </w:p>
        </w:tc>
        <w:tc>
          <w:tcPr>
            <w:tcW w:w="1261" w:type="dxa"/>
            <w:tcBorders>
              <w:top w:val="nil"/>
              <w:left w:val="nil"/>
              <w:bottom w:val="nil"/>
              <w:right w:val="nil"/>
            </w:tcBorders>
            <w:shd w:val="clear" w:color="auto" w:fill="auto"/>
            <w:noWrap/>
            <w:vAlign w:val="bottom"/>
            <w:hideMark/>
          </w:tcPr>
          <w:p w14:paraId="0F9E3F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3,302.0</w:t>
            </w:r>
          </w:p>
        </w:tc>
        <w:tc>
          <w:tcPr>
            <w:tcW w:w="960" w:type="dxa"/>
            <w:tcBorders>
              <w:top w:val="nil"/>
              <w:left w:val="nil"/>
              <w:bottom w:val="nil"/>
              <w:right w:val="nil"/>
            </w:tcBorders>
            <w:shd w:val="clear" w:color="auto" w:fill="auto"/>
            <w:noWrap/>
            <w:vAlign w:val="bottom"/>
            <w:hideMark/>
          </w:tcPr>
          <w:p w14:paraId="4502D64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186</w:t>
            </w:r>
          </w:p>
        </w:tc>
        <w:tc>
          <w:tcPr>
            <w:tcW w:w="1261" w:type="dxa"/>
            <w:tcBorders>
              <w:top w:val="nil"/>
              <w:left w:val="nil"/>
              <w:bottom w:val="nil"/>
              <w:right w:val="nil"/>
            </w:tcBorders>
            <w:shd w:val="clear" w:color="auto" w:fill="auto"/>
            <w:noWrap/>
            <w:vAlign w:val="bottom"/>
            <w:hideMark/>
          </w:tcPr>
          <w:p w14:paraId="18E2E86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4,789.1</w:t>
            </w:r>
          </w:p>
        </w:tc>
        <w:tc>
          <w:tcPr>
            <w:tcW w:w="960" w:type="dxa"/>
            <w:tcBorders>
              <w:top w:val="nil"/>
              <w:left w:val="nil"/>
              <w:bottom w:val="nil"/>
              <w:right w:val="nil"/>
            </w:tcBorders>
            <w:shd w:val="clear" w:color="auto" w:fill="auto"/>
            <w:noWrap/>
            <w:vAlign w:val="bottom"/>
            <w:hideMark/>
          </w:tcPr>
          <w:p w14:paraId="53F9F73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270</w:t>
            </w:r>
          </w:p>
        </w:tc>
        <w:tc>
          <w:tcPr>
            <w:tcW w:w="1261" w:type="dxa"/>
            <w:tcBorders>
              <w:top w:val="nil"/>
              <w:left w:val="nil"/>
              <w:bottom w:val="nil"/>
              <w:right w:val="nil"/>
            </w:tcBorders>
            <w:shd w:val="clear" w:color="auto" w:fill="auto"/>
            <w:noWrap/>
            <w:vAlign w:val="bottom"/>
            <w:hideMark/>
          </w:tcPr>
          <w:p w14:paraId="378D6C8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4,946.3</w:t>
            </w:r>
          </w:p>
        </w:tc>
        <w:tc>
          <w:tcPr>
            <w:tcW w:w="960" w:type="dxa"/>
            <w:tcBorders>
              <w:top w:val="nil"/>
              <w:left w:val="nil"/>
              <w:bottom w:val="nil"/>
              <w:right w:val="nil"/>
            </w:tcBorders>
            <w:shd w:val="clear" w:color="auto" w:fill="auto"/>
            <w:noWrap/>
            <w:vAlign w:val="bottom"/>
            <w:hideMark/>
          </w:tcPr>
          <w:p w14:paraId="4789E47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278</w:t>
            </w:r>
          </w:p>
        </w:tc>
        <w:tc>
          <w:tcPr>
            <w:tcW w:w="1261" w:type="dxa"/>
            <w:tcBorders>
              <w:top w:val="nil"/>
              <w:left w:val="nil"/>
              <w:bottom w:val="nil"/>
              <w:right w:val="nil"/>
            </w:tcBorders>
            <w:shd w:val="clear" w:color="auto" w:fill="auto"/>
            <w:noWrap/>
            <w:vAlign w:val="bottom"/>
            <w:hideMark/>
          </w:tcPr>
          <w:p w14:paraId="100F810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4,869.9</w:t>
            </w:r>
          </w:p>
        </w:tc>
        <w:tc>
          <w:tcPr>
            <w:tcW w:w="960" w:type="dxa"/>
            <w:tcBorders>
              <w:top w:val="nil"/>
              <w:left w:val="nil"/>
              <w:bottom w:val="nil"/>
              <w:right w:val="nil"/>
            </w:tcBorders>
            <w:shd w:val="clear" w:color="auto" w:fill="auto"/>
            <w:noWrap/>
            <w:vAlign w:val="bottom"/>
            <w:hideMark/>
          </w:tcPr>
          <w:p w14:paraId="3DD4C4E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274</w:t>
            </w:r>
          </w:p>
        </w:tc>
      </w:tr>
      <w:tr w:rsidR="00EE4837" w:rsidRPr="007239A6" w14:paraId="096D9449" w14:textId="77777777" w:rsidTr="00181ACD">
        <w:trPr>
          <w:trHeight w:val="288"/>
        </w:trPr>
        <w:tc>
          <w:tcPr>
            <w:tcW w:w="1586" w:type="dxa"/>
            <w:tcBorders>
              <w:top w:val="nil"/>
              <w:left w:val="nil"/>
              <w:bottom w:val="nil"/>
              <w:right w:val="nil"/>
            </w:tcBorders>
            <w:shd w:val="clear" w:color="auto" w:fill="auto"/>
            <w:noWrap/>
            <w:vAlign w:val="bottom"/>
            <w:hideMark/>
          </w:tcPr>
          <w:p w14:paraId="05F39A2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Plymouth</w:t>
            </w:r>
          </w:p>
        </w:tc>
        <w:tc>
          <w:tcPr>
            <w:tcW w:w="1261" w:type="dxa"/>
            <w:tcBorders>
              <w:top w:val="nil"/>
              <w:left w:val="nil"/>
              <w:bottom w:val="nil"/>
              <w:right w:val="nil"/>
            </w:tcBorders>
            <w:shd w:val="clear" w:color="auto" w:fill="auto"/>
            <w:noWrap/>
            <w:vAlign w:val="bottom"/>
            <w:hideMark/>
          </w:tcPr>
          <w:p w14:paraId="6D6CABE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2,439.1</w:t>
            </w:r>
          </w:p>
        </w:tc>
        <w:tc>
          <w:tcPr>
            <w:tcW w:w="960" w:type="dxa"/>
            <w:tcBorders>
              <w:top w:val="nil"/>
              <w:left w:val="nil"/>
              <w:bottom w:val="nil"/>
              <w:right w:val="nil"/>
            </w:tcBorders>
            <w:shd w:val="clear" w:color="auto" w:fill="auto"/>
            <w:noWrap/>
            <w:vAlign w:val="bottom"/>
            <w:hideMark/>
          </w:tcPr>
          <w:p w14:paraId="7D0C3E9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201</w:t>
            </w:r>
          </w:p>
        </w:tc>
        <w:tc>
          <w:tcPr>
            <w:tcW w:w="1261" w:type="dxa"/>
            <w:tcBorders>
              <w:top w:val="nil"/>
              <w:left w:val="nil"/>
              <w:bottom w:val="nil"/>
              <w:right w:val="nil"/>
            </w:tcBorders>
            <w:shd w:val="clear" w:color="auto" w:fill="auto"/>
            <w:noWrap/>
            <w:vAlign w:val="bottom"/>
            <w:hideMark/>
          </w:tcPr>
          <w:p w14:paraId="59CA408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2,175.7</w:t>
            </w:r>
          </w:p>
        </w:tc>
        <w:tc>
          <w:tcPr>
            <w:tcW w:w="960" w:type="dxa"/>
            <w:tcBorders>
              <w:top w:val="nil"/>
              <w:left w:val="nil"/>
              <w:bottom w:val="nil"/>
              <w:right w:val="nil"/>
            </w:tcBorders>
            <w:shd w:val="clear" w:color="auto" w:fill="auto"/>
            <w:noWrap/>
            <w:vAlign w:val="bottom"/>
            <w:hideMark/>
          </w:tcPr>
          <w:p w14:paraId="3F1A903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179</w:t>
            </w:r>
          </w:p>
        </w:tc>
        <w:tc>
          <w:tcPr>
            <w:tcW w:w="1261" w:type="dxa"/>
            <w:tcBorders>
              <w:top w:val="nil"/>
              <w:left w:val="nil"/>
              <w:bottom w:val="nil"/>
              <w:right w:val="nil"/>
            </w:tcBorders>
            <w:shd w:val="clear" w:color="auto" w:fill="auto"/>
            <w:noWrap/>
            <w:vAlign w:val="bottom"/>
            <w:hideMark/>
          </w:tcPr>
          <w:p w14:paraId="791BCD5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971.8</w:t>
            </w:r>
          </w:p>
        </w:tc>
        <w:tc>
          <w:tcPr>
            <w:tcW w:w="960" w:type="dxa"/>
            <w:tcBorders>
              <w:top w:val="nil"/>
              <w:left w:val="nil"/>
              <w:bottom w:val="nil"/>
              <w:right w:val="nil"/>
            </w:tcBorders>
            <w:shd w:val="clear" w:color="auto" w:fill="auto"/>
            <w:noWrap/>
            <w:vAlign w:val="bottom"/>
            <w:hideMark/>
          </w:tcPr>
          <w:p w14:paraId="3AA1A5B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80</w:t>
            </w:r>
          </w:p>
        </w:tc>
        <w:tc>
          <w:tcPr>
            <w:tcW w:w="1261" w:type="dxa"/>
            <w:tcBorders>
              <w:top w:val="nil"/>
              <w:left w:val="nil"/>
              <w:bottom w:val="nil"/>
              <w:right w:val="nil"/>
            </w:tcBorders>
            <w:shd w:val="clear" w:color="auto" w:fill="auto"/>
            <w:noWrap/>
            <w:vAlign w:val="bottom"/>
            <w:hideMark/>
          </w:tcPr>
          <w:p w14:paraId="665F94A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3,323.0</w:t>
            </w:r>
          </w:p>
        </w:tc>
        <w:tc>
          <w:tcPr>
            <w:tcW w:w="960" w:type="dxa"/>
            <w:tcBorders>
              <w:top w:val="nil"/>
              <w:left w:val="nil"/>
              <w:bottom w:val="nil"/>
              <w:right w:val="nil"/>
            </w:tcBorders>
            <w:shd w:val="clear" w:color="auto" w:fill="auto"/>
            <w:noWrap/>
            <w:vAlign w:val="bottom"/>
            <w:hideMark/>
          </w:tcPr>
          <w:p w14:paraId="7BD7B55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274</w:t>
            </w:r>
          </w:p>
        </w:tc>
        <w:tc>
          <w:tcPr>
            <w:tcW w:w="1261" w:type="dxa"/>
            <w:tcBorders>
              <w:top w:val="nil"/>
              <w:left w:val="nil"/>
              <w:bottom w:val="nil"/>
              <w:right w:val="nil"/>
            </w:tcBorders>
            <w:shd w:val="clear" w:color="auto" w:fill="auto"/>
            <w:noWrap/>
            <w:vAlign w:val="bottom"/>
            <w:hideMark/>
          </w:tcPr>
          <w:p w14:paraId="1D53EA0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2,085.9</w:t>
            </w:r>
          </w:p>
        </w:tc>
        <w:tc>
          <w:tcPr>
            <w:tcW w:w="960" w:type="dxa"/>
            <w:tcBorders>
              <w:top w:val="nil"/>
              <w:left w:val="nil"/>
              <w:bottom w:val="nil"/>
              <w:right w:val="nil"/>
            </w:tcBorders>
            <w:shd w:val="clear" w:color="auto" w:fill="auto"/>
            <w:noWrap/>
            <w:vAlign w:val="bottom"/>
            <w:hideMark/>
          </w:tcPr>
          <w:p w14:paraId="3745BCE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172</w:t>
            </w:r>
          </w:p>
        </w:tc>
      </w:tr>
      <w:tr w:rsidR="00EE4837" w:rsidRPr="007239A6" w14:paraId="64F8FDCB" w14:textId="77777777" w:rsidTr="00181ACD">
        <w:trPr>
          <w:trHeight w:val="288"/>
        </w:trPr>
        <w:tc>
          <w:tcPr>
            <w:tcW w:w="1586" w:type="dxa"/>
            <w:tcBorders>
              <w:top w:val="nil"/>
              <w:left w:val="nil"/>
              <w:bottom w:val="nil"/>
              <w:right w:val="nil"/>
            </w:tcBorders>
            <w:shd w:val="clear" w:color="auto" w:fill="auto"/>
            <w:noWrap/>
            <w:vAlign w:val="bottom"/>
            <w:hideMark/>
          </w:tcPr>
          <w:p w14:paraId="4BDE733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Pomfret</w:t>
            </w:r>
          </w:p>
        </w:tc>
        <w:tc>
          <w:tcPr>
            <w:tcW w:w="1261" w:type="dxa"/>
            <w:tcBorders>
              <w:top w:val="nil"/>
              <w:left w:val="nil"/>
              <w:bottom w:val="nil"/>
              <w:right w:val="nil"/>
            </w:tcBorders>
            <w:shd w:val="clear" w:color="auto" w:fill="auto"/>
            <w:noWrap/>
            <w:vAlign w:val="bottom"/>
            <w:hideMark/>
          </w:tcPr>
          <w:p w14:paraId="2FF79FE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1,149.3</w:t>
            </w:r>
          </w:p>
        </w:tc>
        <w:tc>
          <w:tcPr>
            <w:tcW w:w="960" w:type="dxa"/>
            <w:tcBorders>
              <w:top w:val="nil"/>
              <w:left w:val="nil"/>
              <w:bottom w:val="nil"/>
              <w:right w:val="nil"/>
            </w:tcBorders>
            <w:shd w:val="clear" w:color="auto" w:fill="auto"/>
            <w:noWrap/>
            <w:vAlign w:val="bottom"/>
            <w:hideMark/>
          </w:tcPr>
          <w:p w14:paraId="49BE82B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272</w:t>
            </w:r>
          </w:p>
        </w:tc>
        <w:tc>
          <w:tcPr>
            <w:tcW w:w="1261" w:type="dxa"/>
            <w:tcBorders>
              <w:top w:val="nil"/>
              <w:left w:val="nil"/>
              <w:bottom w:val="nil"/>
              <w:right w:val="nil"/>
            </w:tcBorders>
            <w:shd w:val="clear" w:color="auto" w:fill="auto"/>
            <w:noWrap/>
            <w:vAlign w:val="bottom"/>
            <w:hideMark/>
          </w:tcPr>
          <w:p w14:paraId="2CA879F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1,046.5</w:t>
            </w:r>
          </w:p>
        </w:tc>
        <w:tc>
          <w:tcPr>
            <w:tcW w:w="960" w:type="dxa"/>
            <w:tcBorders>
              <w:top w:val="nil"/>
              <w:left w:val="nil"/>
              <w:bottom w:val="nil"/>
              <w:right w:val="nil"/>
            </w:tcBorders>
            <w:shd w:val="clear" w:color="auto" w:fill="auto"/>
            <w:noWrap/>
            <w:vAlign w:val="bottom"/>
            <w:hideMark/>
          </w:tcPr>
          <w:p w14:paraId="565D003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248</w:t>
            </w:r>
          </w:p>
        </w:tc>
        <w:tc>
          <w:tcPr>
            <w:tcW w:w="1261" w:type="dxa"/>
            <w:tcBorders>
              <w:top w:val="nil"/>
              <w:left w:val="nil"/>
              <w:bottom w:val="nil"/>
              <w:right w:val="nil"/>
            </w:tcBorders>
            <w:shd w:val="clear" w:color="auto" w:fill="auto"/>
            <w:noWrap/>
            <w:vAlign w:val="bottom"/>
            <w:hideMark/>
          </w:tcPr>
          <w:p w14:paraId="48DEB40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734.0</w:t>
            </w:r>
          </w:p>
        </w:tc>
        <w:tc>
          <w:tcPr>
            <w:tcW w:w="960" w:type="dxa"/>
            <w:tcBorders>
              <w:top w:val="nil"/>
              <w:left w:val="nil"/>
              <w:bottom w:val="nil"/>
              <w:right w:val="nil"/>
            </w:tcBorders>
            <w:shd w:val="clear" w:color="auto" w:fill="auto"/>
            <w:noWrap/>
            <w:vAlign w:val="bottom"/>
            <w:hideMark/>
          </w:tcPr>
          <w:p w14:paraId="22ADF75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174</w:t>
            </w:r>
          </w:p>
        </w:tc>
        <w:tc>
          <w:tcPr>
            <w:tcW w:w="1261" w:type="dxa"/>
            <w:tcBorders>
              <w:top w:val="nil"/>
              <w:left w:val="nil"/>
              <w:bottom w:val="nil"/>
              <w:right w:val="nil"/>
            </w:tcBorders>
            <w:shd w:val="clear" w:color="auto" w:fill="auto"/>
            <w:noWrap/>
            <w:vAlign w:val="bottom"/>
            <w:hideMark/>
          </w:tcPr>
          <w:p w14:paraId="06F5B8C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1,236.5</w:t>
            </w:r>
          </w:p>
        </w:tc>
        <w:tc>
          <w:tcPr>
            <w:tcW w:w="960" w:type="dxa"/>
            <w:tcBorders>
              <w:top w:val="nil"/>
              <w:left w:val="nil"/>
              <w:bottom w:val="nil"/>
              <w:right w:val="nil"/>
            </w:tcBorders>
            <w:shd w:val="clear" w:color="auto" w:fill="auto"/>
            <w:noWrap/>
            <w:vAlign w:val="bottom"/>
            <w:hideMark/>
          </w:tcPr>
          <w:p w14:paraId="1BBEF97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293</w:t>
            </w:r>
          </w:p>
        </w:tc>
        <w:tc>
          <w:tcPr>
            <w:tcW w:w="1261" w:type="dxa"/>
            <w:tcBorders>
              <w:top w:val="nil"/>
              <w:left w:val="nil"/>
              <w:bottom w:val="nil"/>
              <w:right w:val="nil"/>
            </w:tcBorders>
            <w:shd w:val="clear" w:color="auto" w:fill="auto"/>
            <w:noWrap/>
            <w:vAlign w:val="bottom"/>
            <w:hideMark/>
          </w:tcPr>
          <w:p w14:paraId="0875538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963.1</w:t>
            </w:r>
          </w:p>
        </w:tc>
        <w:tc>
          <w:tcPr>
            <w:tcW w:w="960" w:type="dxa"/>
            <w:tcBorders>
              <w:top w:val="nil"/>
              <w:left w:val="nil"/>
              <w:bottom w:val="nil"/>
              <w:right w:val="nil"/>
            </w:tcBorders>
            <w:shd w:val="clear" w:color="auto" w:fill="auto"/>
            <w:noWrap/>
            <w:vAlign w:val="bottom"/>
            <w:hideMark/>
          </w:tcPr>
          <w:p w14:paraId="1811265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228</w:t>
            </w:r>
          </w:p>
        </w:tc>
      </w:tr>
      <w:tr w:rsidR="00EE4837" w:rsidRPr="007239A6" w14:paraId="0E53C1CE" w14:textId="77777777" w:rsidTr="00181ACD">
        <w:trPr>
          <w:trHeight w:val="288"/>
        </w:trPr>
        <w:tc>
          <w:tcPr>
            <w:tcW w:w="1586" w:type="dxa"/>
            <w:tcBorders>
              <w:top w:val="nil"/>
              <w:left w:val="nil"/>
              <w:bottom w:val="nil"/>
              <w:right w:val="nil"/>
            </w:tcBorders>
            <w:shd w:val="clear" w:color="auto" w:fill="auto"/>
            <w:noWrap/>
            <w:vAlign w:val="bottom"/>
            <w:hideMark/>
          </w:tcPr>
          <w:p w14:paraId="3F2D504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Portland</w:t>
            </w:r>
          </w:p>
        </w:tc>
        <w:tc>
          <w:tcPr>
            <w:tcW w:w="1261" w:type="dxa"/>
            <w:tcBorders>
              <w:top w:val="nil"/>
              <w:left w:val="nil"/>
              <w:bottom w:val="nil"/>
              <w:right w:val="nil"/>
            </w:tcBorders>
            <w:shd w:val="clear" w:color="auto" w:fill="auto"/>
            <w:noWrap/>
            <w:vAlign w:val="bottom"/>
            <w:hideMark/>
          </w:tcPr>
          <w:p w14:paraId="486E87F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2,688.8</w:t>
            </w:r>
          </w:p>
        </w:tc>
        <w:tc>
          <w:tcPr>
            <w:tcW w:w="960" w:type="dxa"/>
            <w:tcBorders>
              <w:top w:val="nil"/>
              <w:left w:val="nil"/>
              <w:bottom w:val="nil"/>
              <w:right w:val="nil"/>
            </w:tcBorders>
            <w:shd w:val="clear" w:color="auto" w:fill="auto"/>
            <w:noWrap/>
            <w:vAlign w:val="bottom"/>
            <w:hideMark/>
          </w:tcPr>
          <w:p w14:paraId="5363017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283</w:t>
            </w:r>
          </w:p>
        </w:tc>
        <w:tc>
          <w:tcPr>
            <w:tcW w:w="1261" w:type="dxa"/>
            <w:tcBorders>
              <w:top w:val="nil"/>
              <w:left w:val="nil"/>
              <w:bottom w:val="nil"/>
              <w:right w:val="nil"/>
            </w:tcBorders>
            <w:shd w:val="clear" w:color="auto" w:fill="auto"/>
            <w:noWrap/>
            <w:vAlign w:val="bottom"/>
            <w:hideMark/>
          </w:tcPr>
          <w:p w14:paraId="183B4FC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2,770.9</w:t>
            </w:r>
          </w:p>
        </w:tc>
        <w:tc>
          <w:tcPr>
            <w:tcW w:w="960" w:type="dxa"/>
            <w:tcBorders>
              <w:top w:val="nil"/>
              <w:left w:val="nil"/>
              <w:bottom w:val="nil"/>
              <w:right w:val="nil"/>
            </w:tcBorders>
            <w:shd w:val="clear" w:color="auto" w:fill="auto"/>
            <w:noWrap/>
            <w:vAlign w:val="bottom"/>
            <w:hideMark/>
          </w:tcPr>
          <w:p w14:paraId="3670453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292</w:t>
            </w:r>
          </w:p>
        </w:tc>
        <w:tc>
          <w:tcPr>
            <w:tcW w:w="1261" w:type="dxa"/>
            <w:tcBorders>
              <w:top w:val="nil"/>
              <w:left w:val="nil"/>
              <w:bottom w:val="nil"/>
              <w:right w:val="nil"/>
            </w:tcBorders>
            <w:shd w:val="clear" w:color="auto" w:fill="auto"/>
            <w:noWrap/>
            <w:vAlign w:val="bottom"/>
            <w:hideMark/>
          </w:tcPr>
          <w:p w14:paraId="0C1BD9C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962.3</w:t>
            </w:r>
          </w:p>
        </w:tc>
        <w:tc>
          <w:tcPr>
            <w:tcW w:w="960" w:type="dxa"/>
            <w:tcBorders>
              <w:top w:val="nil"/>
              <w:left w:val="nil"/>
              <w:bottom w:val="nil"/>
              <w:right w:val="nil"/>
            </w:tcBorders>
            <w:shd w:val="clear" w:color="auto" w:fill="auto"/>
            <w:noWrap/>
            <w:vAlign w:val="bottom"/>
            <w:hideMark/>
          </w:tcPr>
          <w:p w14:paraId="237E3A6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101</w:t>
            </w:r>
          </w:p>
        </w:tc>
        <w:tc>
          <w:tcPr>
            <w:tcW w:w="1261" w:type="dxa"/>
            <w:tcBorders>
              <w:top w:val="nil"/>
              <w:left w:val="nil"/>
              <w:bottom w:val="nil"/>
              <w:right w:val="nil"/>
            </w:tcBorders>
            <w:shd w:val="clear" w:color="auto" w:fill="auto"/>
            <w:noWrap/>
            <w:vAlign w:val="bottom"/>
            <w:hideMark/>
          </w:tcPr>
          <w:p w14:paraId="3C93411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3,287.3</w:t>
            </w:r>
          </w:p>
        </w:tc>
        <w:tc>
          <w:tcPr>
            <w:tcW w:w="960" w:type="dxa"/>
            <w:tcBorders>
              <w:top w:val="nil"/>
              <w:left w:val="nil"/>
              <w:bottom w:val="nil"/>
              <w:right w:val="nil"/>
            </w:tcBorders>
            <w:shd w:val="clear" w:color="auto" w:fill="auto"/>
            <w:noWrap/>
            <w:vAlign w:val="bottom"/>
            <w:hideMark/>
          </w:tcPr>
          <w:p w14:paraId="783591C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347</w:t>
            </w:r>
          </w:p>
        </w:tc>
        <w:tc>
          <w:tcPr>
            <w:tcW w:w="1261" w:type="dxa"/>
            <w:tcBorders>
              <w:top w:val="nil"/>
              <w:left w:val="nil"/>
              <w:bottom w:val="nil"/>
              <w:right w:val="nil"/>
            </w:tcBorders>
            <w:shd w:val="clear" w:color="auto" w:fill="auto"/>
            <w:noWrap/>
            <w:vAlign w:val="bottom"/>
            <w:hideMark/>
          </w:tcPr>
          <w:p w14:paraId="3A2691D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2,072.6</w:t>
            </w:r>
          </w:p>
        </w:tc>
        <w:tc>
          <w:tcPr>
            <w:tcW w:w="960" w:type="dxa"/>
            <w:tcBorders>
              <w:top w:val="nil"/>
              <w:left w:val="nil"/>
              <w:bottom w:val="nil"/>
              <w:right w:val="nil"/>
            </w:tcBorders>
            <w:shd w:val="clear" w:color="auto" w:fill="auto"/>
            <w:noWrap/>
            <w:vAlign w:val="bottom"/>
            <w:hideMark/>
          </w:tcPr>
          <w:p w14:paraId="74B63D1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218</w:t>
            </w:r>
          </w:p>
        </w:tc>
      </w:tr>
      <w:tr w:rsidR="00EE4837" w:rsidRPr="007239A6" w14:paraId="7A8FDEF4" w14:textId="77777777" w:rsidTr="00181ACD">
        <w:trPr>
          <w:trHeight w:val="288"/>
        </w:trPr>
        <w:tc>
          <w:tcPr>
            <w:tcW w:w="1586" w:type="dxa"/>
            <w:tcBorders>
              <w:top w:val="nil"/>
              <w:left w:val="nil"/>
              <w:bottom w:val="nil"/>
              <w:right w:val="nil"/>
            </w:tcBorders>
            <w:shd w:val="clear" w:color="auto" w:fill="auto"/>
            <w:noWrap/>
            <w:vAlign w:val="bottom"/>
            <w:hideMark/>
          </w:tcPr>
          <w:p w14:paraId="3E3EB2E9"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Preston</w:t>
            </w:r>
          </w:p>
        </w:tc>
        <w:tc>
          <w:tcPr>
            <w:tcW w:w="1261" w:type="dxa"/>
            <w:tcBorders>
              <w:top w:val="nil"/>
              <w:left w:val="nil"/>
              <w:bottom w:val="nil"/>
              <w:right w:val="nil"/>
            </w:tcBorders>
            <w:shd w:val="clear" w:color="auto" w:fill="auto"/>
            <w:noWrap/>
            <w:vAlign w:val="bottom"/>
            <w:hideMark/>
          </w:tcPr>
          <w:p w14:paraId="06625B8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1,011.2</w:t>
            </w:r>
          </w:p>
        </w:tc>
        <w:tc>
          <w:tcPr>
            <w:tcW w:w="960" w:type="dxa"/>
            <w:tcBorders>
              <w:top w:val="nil"/>
              <w:left w:val="nil"/>
              <w:bottom w:val="nil"/>
              <w:right w:val="nil"/>
            </w:tcBorders>
            <w:shd w:val="clear" w:color="auto" w:fill="auto"/>
            <w:noWrap/>
            <w:vAlign w:val="bottom"/>
            <w:hideMark/>
          </w:tcPr>
          <w:p w14:paraId="065E1D7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213</w:t>
            </w:r>
          </w:p>
        </w:tc>
        <w:tc>
          <w:tcPr>
            <w:tcW w:w="1261" w:type="dxa"/>
            <w:tcBorders>
              <w:top w:val="nil"/>
              <w:left w:val="nil"/>
              <w:bottom w:val="nil"/>
              <w:right w:val="nil"/>
            </w:tcBorders>
            <w:shd w:val="clear" w:color="auto" w:fill="auto"/>
            <w:noWrap/>
            <w:vAlign w:val="bottom"/>
            <w:hideMark/>
          </w:tcPr>
          <w:p w14:paraId="639C31E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944.4</w:t>
            </w:r>
          </w:p>
        </w:tc>
        <w:tc>
          <w:tcPr>
            <w:tcW w:w="960" w:type="dxa"/>
            <w:tcBorders>
              <w:top w:val="nil"/>
              <w:left w:val="nil"/>
              <w:bottom w:val="nil"/>
              <w:right w:val="nil"/>
            </w:tcBorders>
            <w:shd w:val="clear" w:color="auto" w:fill="auto"/>
            <w:noWrap/>
            <w:vAlign w:val="bottom"/>
            <w:hideMark/>
          </w:tcPr>
          <w:p w14:paraId="7A3300B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199</w:t>
            </w:r>
          </w:p>
        </w:tc>
        <w:tc>
          <w:tcPr>
            <w:tcW w:w="1261" w:type="dxa"/>
            <w:tcBorders>
              <w:top w:val="nil"/>
              <w:left w:val="nil"/>
              <w:bottom w:val="nil"/>
              <w:right w:val="nil"/>
            </w:tcBorders>
            <w:shd w:val="clear" w:color="auto" w:fill="auto"/>
            <w:noWrap/>
            <w:vAlign w:val="bottom"/>
            <w:hideMark/>
          </w:tcPr>
          <w:p w14:paraId="11AF8D9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291.2</w:t>
            </w:r>
          </w:p>
        </w:tc>
        <w:tc>
          <w:tcPr>
            <w:tcW w:w="960" w:type="dxa"/>
            <w:tcBorders>
              <w:top w:val="nil"/>
              <w:left w:val="nil"/>
              <w:bottom w:val="nil"/>
              <w:right w:val="nil"/>
            </w:tcBorders>
            <w:shd w:val="clear" w:color="auto" w:fill="auto"/>
            <w:noWrap/>
            <w:vAlign w:val="bottom"/>
            <w:hideMark/>
          </w:tcPr>
          <w:p w14:paraId="16D72EA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61</w:t>
            </w:r>
          </w:p>
        </w:tc>
        <w:tc>
          <w:tcPr>
            <w:tcW w:w="1261" w:type="dxa"/>
            <w:tcBorders>
              <w:top w:val="nil"/>
              <w:left w:val="nil"/>
              <w:bottom w:val="nil"/>
              <w:right w:val="nil"/>
            </w:tcBorders>
            <w:shd w:val="clear" w:color="auto" w:fill="auto"/>
            <w:noWrap/>
            <w:vAlign w:val="bottom"/>
            <w:hideMark/>
          </w:tcPr>
          <w:p w14:paraId="58246B0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1,242.1</w:t>
            </w:r>
          </w:p>
        </w:tc>
        <w:tc>
          <w:tcPr>
            <w:tcW w:w="960" w:type="dxa"/>
            <w:tcBorders>
              <w:top w:val="nil"/>
              <w:left w:val="nil"/>
              <w:bottom w:val="nil"/>
              <w:right w:val="nil"/>
            </w:tcBorders>
            <w:shd w:val="clear" w:color="auto" w:fill="auto"/>
            <w:noWrap/>
            <w:vAlign w:val="bottom"/>
            <w:hideMark/>
          </w:tcPr>
          <w:p w14:paraId="082A6FD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261</w:t>
            </w:r>
          </w:p>
        </w:tc>
        <w:tc>
          <w:tcPr>
            <w:tcW w:w="1261" w:type="dxa"/>
            <w:tcBorders>
              <w:top w:val="nil"/>
              <w:left w:val="nil"/>
              <w:bottom w:val="nil"/>
              <w:right w:val="nil"/>
            </w:tcBorders>
            <w:shd w:val="clear" w:color="auto" w:fill="auto"/>
            <w:noWrap/>
            <w:vAlign w:val="bottom"/>
            <w:hideMark/>
          </w:tcPr>
          <w:p w14:paraId="5F1065F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740.8</w:t>
            </w:r>
          </w:p>
        </w:tc>
        <w:tc>
          <w:tcPr>
            <w:tcW w:w="960" w:type="dxa"/>
            <w:tcBorders>
              <w:top w:val="nil"/>
              <w:left w:val="nil"/>
              <w:bottom w:val="nil"/>
              <w:right w:val="nil"/>
            </w:tcBorders>
            <w:shd w:val="clear" w:color="auto" w:fill="auto"/>
            <w:noWrap/>
            <w:vAlign w:val="bottom"/>
            <w:hideMark/>
          </w:tcPr>
          <w:p w14:paraId="132481A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w:t>
            </w:r>
          </w:p>
        </w:tc>
      </w:tr>
      <w:tr w:rsidR="00EE4837" w:rsidRPr="007239A6" w14:paraId="46A17695" w14:textId="77777777" w:rsidTr="00181ACD">
        <w:trPr>
          <w:trHeight w:val="288"/>
        </w:trPr>
        <w:tc>
          <w:tcPr>
            <w:tcW w:w="1586" w:type="dxa"/>
            <w:tcBorders>
              <w:top w:val="nil"/>
              <w:left w:val="nil"/>
              <w:bottom w:val="nil"/>
              <w:right w:val="nil"/>
            </w:tcBorders>
            <w:shd w:val="clear" w:color="auto" w:fill="auto"/>
            <w:noWrap/>
            <w:vAlign w:val="bottom"/>
            <w:hideMark/>
          </w:tcPr>
          <w:p w14:paraId="7C69224F"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Prospect</w:t>
            </w:r>
          </w:p>
        </w:tc>
        <w:tc>
          <w:tcPr>
            <w:tcW w:w="1261" w:type="dxa"/>
            <w:tcBorders>
              <w:top w:val="nil"/>
              <w:left w:val="nil"/>
              <w:bottom w:val="nil"/>
              <w:right w:val="nil"/>
            </w:tcBorders>
            <w:shd w:val="clear" w:color="auto" w:fill="auto"/>
            <w:noWrap/>
            <w:vAlign w:val="bottom"/>
            <w:hideMark/>
          </w:tcPr>
          <w:p w14:paraId="685631A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2,433.1</w:t>
            </w:r>
          </w:p>
        </w:tc>
        <w:tc>
          <w:tcPr>
            <w:tcW w:w="960" w:type="dxa"/>
            <w:tcBorders>
              <w:top w:val="nil"/>
              <w:left w:val="nil"/>
              <w:bottom w:val="nil"/>
              <w:right w:val="nil"/>
            </w:tcBorders>
            <w:shd w:val="clear" w:color="auto" w:fill="auto"/>
            <w:noWrap/>
            <w:vAlign w:val="bottom"/>
            <w:hideMark/>
          </w:tcPr>
          <w:p w14:paraId="4DBB9E5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256</w:t>
            </w:r>
          </w:p>
        </w:tc>
        <w:tc>
          <w:tcPr>
            <w:tcW w:w="1261" w:type="dxa"/>
            <w:tcBorders>
              <w:top w:val="nil"/>
              <w:left w:val="nil"/>
              <w:bottom w:val="nil"/>
              <w:right w:val="nil"/>
            </w:tcBorders>
            <w:shd w:val="clear" w:color="auto" w:fill="auto"/>
            <w:noWrap/>
            <w:vAlign w:val="bottom"/>
            <w:hideMark/>
          </w:tcPr>
          <w:p w14:paraId="31B7800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2,453.3</w:t>
            </w:r>
          </w:p>
        </w:tc>
        <w:tc>
          <w:tcPr>
            <w:tcW w:w="960" w:type="dxa"/>
            <w:tcBorders>
              <w:top w:val="nil"/>
              <w:left w:val="nil"/>
              <w:bottom w:val="nil"/>
              <w:right w:val="nil"/>
            </w:tcBorders>
            <w:shd w:val="clear" w:color="auto" w:fill="auto"/>
            <w:noWrap/>
            <w:vAlign w:val="bottom"/>
            <w:hideMark/>
          </w:tcPr>
          <w:p w14:paraId="67B7340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258</w:t>
            </w:r>
          </w:p>
        </w:tc>
        <w:tc>
          <w:tcPr>
            <w:tcW w:w="1261" w:type="dxa"/>
            <w:tcBorders>
              <w:top w:val="nil"/>
              <w:left w:val="nil"/>
              <w:bottom w:val="nil"/>
              <w:right w:val="nil"/>
            </w:tcBorders>
            <w:shd w:val="clear" w:color="auto" w:fill="auto"/>
            <w:noWrap/>
            <w:vAlign w:val="bottom"/>
            <w:hideMark/>
          </w:tcPr>
          <w:p w14:paraId="7A53E62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888.3</w:t>
            </w:r>
          </w:p>
        </w:tc>
        <w:tc>
          <w:tcPr>
            <w:tcW w:w="960" w:type="dxa"/>
            <w:tcBorders>
              <w:top w:val="nil"/>
              <w:left w:val="nil"/>
              <w:bottom w:val="nil"/>
              <w:right w:val="nil"/>
            </w:tcBorders>
            <w:shd w:val="clear" w:color="auto" w:fill="auto"/>
            <w:noWrap/>
            <w:vAlign w:val="bottom"/>
            <w:hideMark/>
          </w:tcPr>
          <w:p w14:paraId="7FB2534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93</w:t>
            </w:r>
          </w:p>
        </w:tc>
        <w:tc>
          <w:tcPr>
            <w:tcW w:w="1261" w:type="dxa"/>
            <w:tcBorders>
              <w:top w:val="nil"/>
              <w:left w:val="nil"/>
              <w:bottom w:val="nil"/>
              <w:right w:val="nil"/>
            </w:tcBorders>
            <w:shd w:val="clear" w:color="auto" w:fill="auto"/>
            <w:noWrap/>
            <w:vAlign w:val="bottom"/>
            <w:hideMark/>
          </w:tcPr>
          <w:p w14:paraId="7732435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3,216.8</w:t>
            </w:r>
          </w:p>
        </w:tc>
        <w:tc>
          <w:tcPr>
            <w:tcW w:w="960" w:type="dxa"/>
            <w:tcBorders>
              <w:top w:val="nil"/>
              <w:left w:val="nil"/>
              <w:bottom w:val="nil"/>
              <w:right w:val="nil"/>
            </w:tcBorders>
            <w:shd w:val="clear" w:color="auto" w:fill="auto"/>
            <w:noWrap/>
            <w:vAlign w:val="bottom"/>
            <w:hideMark/>
          </w:tcPr>
          <w:p w14:paraId="5E4DDAA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338</w:t>
            </w:r>
          </w:p>
        </w:tc>
        <w:tc>
          <w:tcPr>
            <w:tcW w:w="1261" w:type="dxa"/>
            <w:tcBorders>
              <w:top w:val="nil"/>
              <w:left w:val="nil"/>
              <w:bottom w:val="nil"/>
              <w:right w:val="nil"/>
            </w:tcBorders>
            <w:shd w:val="clear" w:color="auto" w:fill="auto"/>
            <w:noWrap/>
            <w:vAlign w:val="bottom"/>
            <w:hideMark/>
          </w:tcPr>
          <w:p w14:paraId="6BCB5E7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1,993.2</w:t>
            </w:r>
          </w:p>
        </w:tc>
        <w:tc>
          <w:tcPr>
            <w:tcW w:w="960" w:type="dxa"/>
            <w:tcBorders>
              <w:top w:val="nil"/>
              <w:left w:val="nil"/>
              <w:bottom w:val="nil"/>
              <w:right w:val="nil"/>
            </w:tcBorders>
            <w:shd w:val="clear" w:color="auto" w:fill="auto"/>
            <w:noWrap/>
            <w:vAlign w:val="bottom"/>
            <w:hideMark/>
          </w:tcPr>
          <w:p w14:paraId="73F2D9F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209</w:t>
            </w:r>
          </w:p>
        </w:tc>
      </w:tr>
      <w:tr w:rsidR="00EE4837" w:rsidRPr="007239A6" w14:paraId="5B40DC01" w14:textId="77777777" w:rsidTr="00181ACD">
        <w:trPr>
          <w:trHeight w:val="288"/>
        </w:trPr>
        <w:tc>
          <w:tcPr>
            <w:tcW w:w="1586" w:type="dxa"/>
            <w:tcBorders>
              <w:top w:val="nil"/>
              <w:left w:val="nil"/>
              <w:bottom w:val="nil"/>
              <w:right w:val="nil"/>
            </w:tcBorders>
            <w:shd w:val="clear" w:color="auto" w:fill="auto"/>
            <w:noWrap/>
            <w:vAlign w:val="bottom"/>
            <w:hideMark/>
          </w:tcPr>
          <w:p w14:paraId="3B4F0A78"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Putnam</w:t>
            </w:r>
          </w:p>
        </w:tc>
        <w:tc>
          <w:tcPr>
            <w:tcW w:w="1261" w:type="dxa"/>
            <w:tcBorders>
              <w:top w:val="nil"/>
              <w:left w:val="nil"/>
              <w:bottom w:val="nil"/>
              <w:right w:val="nil"/>
            </w:tcBorders>
            <w:shd w:val="clear" w:color="auto" w:fill="auto"/>
            <w:noWrap/>
            <w:vAlign w:val="bottom"/>
            <w:hideMark/>
          </w:tcPr>
          <w:p w14:paraId="62517D5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1,461.2</w:t>
            </w:r>
          </w:p>
        </w:tc>
        <w:tc>
          <w:tcPr>
            <w:tcW w:w="960" w:type="dxa"/>
            <w:tcBorders>
              <w:top w:val="nil"/>
              <w:left w:val="nil"/>
              <w:bottom w:val="nil"/>
              <w:right w:val="nil"/>
            </w:tcBorders>
            <w:shd w:val="clear" w:color="auto" w:fill="auto"/>
            <w:noWrap/>
            <w:vAlign w:val="bottom"/>
            <w:hideMark/>
          </w:tcPr>
          <w:p w14:paraId="6B42C4C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153</w:t>
            </w:r>
          </w:p>
        </w:tc>
        <w:tc>
          <w:tcPr>
            <w:tcW w:w="1261" w:type="dxa"/>
            <w:tcBorders>
              <w:top w:val="nil"/>
              <w:left w:val="nil"/>
              <w:bottom w:val="nil"/>
              <w:right w:val="nil"/>
            </w:tcBorders>
            <w:shd w:val="clear" w:color="auto" w:fill="auto"/>
            <w:noWrap/>
            <w:vAlign w:val="bottom"/>
            <w:hideMark/>
          </w:tcPr>
          <w:p w14:paraId="7B83F36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906.9</w:t>
            </w:r>
          </w:p>
        </w:tc>
        <w:tc>
          <w:tcPr>
            <w:tcW w:w="960" w:type="dxa"/>
            <w:tcBorders>
              <w:top w:val="nil"/>
              <w:left w:val="nil"/>
              <w:bottom w:val="nil"/>
              <w:right w:val="nil"/>
            </w:tcBorders>
            <w:shd w:val="clear" w:color="auto" w:fill="auto"/>
            <w:noWrap/>
            <w:vAlign w:val="bottom"/>
            <w:hideMark/>
          </w:tcPr>
          <w:p w14:paraId="101D08C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95</w:t>
            </w:r>
          </w:p>
        </w:tc>
        <w:tc>
          <w:tcPr>
            <w:tcW w:w="1261" w:type="dxa"/>
            <w:tcBorders>
              <w:top w:val="nil"/>
              <w:left w:val="nil"/>
              <w:bottom w:val="nil"/>
              <w:right w:val="nil"/>
            </w:tcBorders>
            <w:shd w:val="clear" w:color="auto" w:fill="auto"/>
            <w:noWrap/>
            <w:vAlign w:val="bottom"/>
            <w:hideMark/>
          </w:tcPr>
          <w:p w14:paraId="44E6EF8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2,781.3</w:t>
            </w:r>
          </w:p>
        </w:tc>
        <w:tc>
          <w:tcPr>
            <w:tcW w:w="960" w:type="dxa"/>
            <w:tcBorders>
              <w:top w:val="nil"/>
              <w:left w:val="nil"/>
              <w:bottom w:val="nil"/>
              <w:right w:val="nil"/>
            </w:tcBorders>
            <w:shd w:val="clear" w:color="auto" w:fill="auto"/>
            <w:noWrap/>
            <w:vAlign w:val="bottom"/>
            <w:hideMark/>
          </w:tcPr>
          <w:p w14:paraId="6A80903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291</w:t>
            </w:r>
          </w:p>
        </w:tc>
        <w:tc>
          <w:tcPr>
            <w:tcW w:w="1261" w:type="dxa"/>
            <w:tcBorders>
              <w:top w:val="nil"/>
              <w:left w:val="nil"/>
              <w:bottom w:val="nil"/>
              <w:right w:val="nil"/>
            </w:tcBorders>
            <w:shd w:val="clear" w:color="auto" w:fill="auto"/>
            <w:noWrap/>
            <w:vAlign w:val="bottom"/>
            <w:hideMark/>
          </w:tcPr>
          <w:p w14:paraId="612A982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1,451.9</w:t>
            </w:r>
          </w:p>
        </w:tc>
        <w:tc>
          <w:tcPr>
            <w:tcW w:w="960" w:type="dxa"/>
            <w:tcBorders>
              <w:top w:val="nil"/>
              <w:left w:val="nil"/>
              <w:bottom w:val="nil"/>
              <w:right w:val="nil"/>
            </w:tcBorders>
            <w:shd w:val="clear" w:color="auto" w:fill="auto"/>
            <w:noWrap/>
            <w:vAlign w:val="bottom"/>
            <w:hideMark/>
          </w:tcPr>
          <w:p w14:paraId="3A1CE7A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152</w:t>
            </w:r>
          </w:p>
        </w:tc>
        <w:tc>
          <w:tcPr>
            <w:tcW w:w="1261" w:type="dxa"/>
            <w:tcBorders>
              <w:top w:val="nil"/>
              <w:left w:val="nil"/>
              <w:bottom w:val="nil"/>
              <w:right w:val="nil"/>
            </w:tcBorders>
            <w:shd w:val="clear" w:color="auto" w:fill="auto"/>
            <w:noWrap/>
            <w:vAlign w:val="bottom"/>
            <w:hideMark/>
          </w:tcPr>
          <w:p w14:paraId="01EF4AA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2,143.5</w:t>
            </w:r>
          </w:p>
        </w:tc>
        <w:tc>
          <w:tcPr>
            <w:tcW w:w="960" w:type="dxa"/>
            <w:tcBorders>
              <w:top w:val="nil"/>
              <w:left w:val="nil"/>
              <w:bottom w:val="nil"/>
              <w:right w:val="nil"/>
            </w:tcBorders>
            <w:shd w:val="clear" w:color="auto" w:fill="auto"/>
            <w:noWrap/>
            <w:vAlign w:val="bottom"/>
            <w:hideMark/>
          </w:tcPr>
          <w:p w14:paraId="540EEA5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224</w:t>
            </w:r>
          </w:p>
        </w:tc>
      </w:tr>
      <w:tr w:rsidR="00EE4837" w:rsidRPr="007239A6" w14:paraId="08BE4F19" w14:textId="77777777" w:rsidTr="00181ACD">
        <w:trPr>
          <w:trHeight w:val="288"/>
        </w:trPr>
        <w:tc>
          <w:tcPr>
            <w:tcW w:w="1586" w:type="dxa"/>
            <w:tcBorders>
              <w:top w:val="nil"/>
              <w:left w:val="nil"/>
              <w:bottom w:val="nil"/>
              <w:right w:val="nil"/>
            </w:tcBorders>
            <w:shd w:val="clear" w:color="auto" w:fill="auto"/>
            <w:noWrap/>
            <w:vAlign w:val="bottom"/>
            <w:hideMark/>
          </w:tcPr>
          <w:p w14:paraId="6244FF6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Redding</w:t>
            </w:r>
          </w:p>
        </w:tc>
        <w:tc>
          <w:tcPr>
            <w:tcW w:w="1261" w:type="dxa"/>
            <w:tcBorders>
              <w:top w:val="nil"/>
              <w:left w:val="nil"/>
              <w:bottom w:val="nil"/>
              <w:right w:val="nil"/>
            </w:tcBorders>
            <w:shd w:val="clear" w:color="auto" w:fill="auto"/>
            <w:noWrap/>
            <w:vAlign w:val="bottom"/>
            <w:hideMark/>
          </w:tcPr>
          <w:p w14:paraId="0C06377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5,257.6</w:t>
            </w:r>
          </w:p>
        </w:tc>
        <w:tc>
          <w:tcPr>
            <w:tcW w:w="960" w:type="dxa"/>
            <w:tcBorders>
              <w:top w:val="nil"/>
              <w:left w:val="nil"/>
              <w:bottom w:val="nil"/>
              <w:right w:val="nil"/>
            </w:tcBorders>
            <w:shd w:val="clear" w:color="auto" w:fill="auto"/>
            <w:noWrap/>
            <w:vAlign w:val="bottom"/>
            <w:hideMark/>
          </w:tcPr>
          <w:p w14:paraId="658A49B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571</w:t>
            </w:r>
          </w:p>
        </w:tc>
        <w:tc>
          <w:tcPr>
            <w:tcW w:w="1261" w:type="dxa"/>
            <w:tcBorders>
              <w:top w:val="nil"/>
              <w:left w:val="nil"/>
              <w:bottom w:val="nil"/>
              <w:right w:val="nil"/>
            </w:tcBorders>
            <w:shd w:val="clear" w:color="auto" w:fill="auto"/>
            <w:noWrap/>
            <w:vAlign w:val="bottom"/>
            <w:hideMark/>
          </w:tcPr>
          <w:p w14:paraId="053AAC8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5,873.3</w:t>
            </w:r>
          </w:p>
        </w:tc>
        <w:tc>
          <w:tcPr>
            <w:tcW w:w="960" w:type="dxa"/>
            <w:tcBorders>
              <w:top w:val="nil"/>
              <w:left w:val="nil"/>
              <w:bottom w:val="nil"/>
              <w:right w:val="nil"/>
            </w:tcBorders>
            <w:shd w:val="clear" w:color="auto" w:fill="auto"/>
            <w:noWrap/>
            <w:vAlign w:val="bottom"/>
            <w:hideMark/>
          </w:tcPr>
          <w:p w14:paraId="36F96F9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638</w:t>
            </w:r>
          </w:p>
        </w:tc>
        <w:tc>
          <w:tcPr>
            <w:tcW w:w="1261" w:type="dxa"/>
            <w:tcBorders>
              <w:top w:val="nil"/>
              <w:left w:val="nil"/>
              <w:bottom w:val="nil"/>
              <w:right w:val="nil"/>
            </w:tcBorders>
            <w:shd w:val="clear" w:color="auto" w:fill="auto"/>
            <w:noWrap/>
            <w:vAlign w:val="bottom"/>
            <w:hideMark/>
          </w:tcPr>
          <w:p w14:paraId="1A3BB93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966.7</w:t>
            </w:r>
          </w:p>
        </w:tc>
        <w:tc>
          <w:tcPr>
            <w:tcW w:w="960" w:type="dxa"/>
            <w:tcBorders>
              <w:top w:val="nil"/>
              <w:left w:val="nil"/>
              <w:bottom w:val="nil"/>
              <w:right w:val="nil"/>
            </w:tcBorders>
            <w:shd w:val="clear" w:color="auto" w:fill="auto"/>
            <w:noWrap/>
            <w:vAlign w:val="bottom"/>
            <w:hideMark/>
          </w:tcPr>
          <w:p w14:paraId="003C80D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105</w:t>
            </w:r>
          </w:p>
        </w:tc>
        <w:tc>
          <w:tcPr>
            <w:tcW w:w="1261" w:type="dxa"/>
            <w:tcBorders>
              <w:top w:val="nil"/>
              <w:left w:val="nil"/>
              <w:bottom w:val="nil"/>
              <w:right w:val="nil"/>
            </w:tcBorders>
            <w:shd w:val="clear" w:color="auto" w:fill="auto"/>
            <w:noWrap/>
            <w:vAlign w:val="bottom"/>
            <w:hideMark/>
          </w:tcPr>
          <w:p w14:paraId="2C2885F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4,572.8</w:t>
            </w:r>
          </w:p>
        </w:tc>
        <w:tc>
          <w:tcPr>
            <w:tcW w:w="960" w:type="dxa"/>
            <w:tcBorders>
              <w:top w:val="nil"/>
              <w:left w:val="nil"/>
              <w:bottom w:val="nil"/>
              <w:right w:val="nil"/>
            </w:tcBorders>
            <w:shd w:val="clear" w:color="auto" w:fill="auto"/>
            <w:noWrap/>
            <w:vAlign w:val="bottom"/>
            <w:hideMark/>
          </w:tcPr>
          <w:p w14:paraId="29A8FD6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497</w:t>
            </w:r>
          </w:p>
        </w:tc>
        <w:tc>
          <w:tcPr>
            <w:tcW w:w="1261" w:type="dxa"/>
            <w:tcBorders>
              <w:top w:val="nil"/>
              <w:left w:val="nil"/>
              <w:bottom w:val="nil"/>
              <w:right w:val="nil"/>
            </w:tcBorders>
            <w:shd w:val="clear" w:color="auto" w:fill="auto"/>
            <w:noWrap/>
            <w:vAlign w:val="bottom"/>
            <w:hideMark/>
          </w:tcPr>
          <w:p w14:paraId="530D122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2,633.4</w:t>
            </w:r>
          </w:p>
        </w:tc>
        <w:tc>
          <w:tcPr>
            <w:tcW w:w="960" w:type="dxa"/>
            <w:tcBorders>
              <w:top w:val="nil"/>
              <w:left w:val="nil"/>
              <w:bottom w:val="nil"/>
              <w:right w:val="nil"/>
            </w:tcBorders>
            <w:shd w:val="clear" w:color="auto" w:fill="auto"/>
            <w:noWrap/>
            <w:vAlign w:val="bottom"/>
            <w:hideMark/>
          </w:tcPr>
          <w:p w14:paraId="377E70E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286</w:t>
            </w:r>
          </w:p>
        </w:tc>
      </w:tr>
      <w:tr w:rsidR="00EE4837" w:rsidRPr="007239A6" w14:paraId="15671222" w14:textId="77777777" w:rsidTr="00181ACD">
        <w:trPr>
          <w:trHeight w:val="288"/>
        </w:trPr>
        <w:tc>
          <w:tcPr>
            <w:tcW w:w="1586" w:type="dxa"/>
            <w:tcBorders>
              <w:top w:val="nil"/>
              <w:left w:val="nil"/>
              <w:bottom w:val="nil"/>
              <w:right w:val="nil"/>
            </w:tcBorders>
            <w:shd w:val="clear" w:color="auto" w:fill="auto"/>
            <w:noWrap/>
            <w:vAlign w:val="bottom"/>
            <w:hideMark/>
          </w:tcPr>
          <w:p w14:paraId="07ED2B4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Ridgefield</w:t>
            </w:r>
          </w:p>
        </w:tc>
        <w:tc>
          <w:tcPr>
            <w:tcW w:w="1261" w:type="dxa"/>
            <w:tcBorders>
              <w:top w:val="nil"/>
              <w:left w:val="nil"/>
              <w:bottom w:val="nil"/>
              <w:right w:val="nil"/>
            </w:tcBorders>
            <w:shd w:val="clear" w:color="auto" w:fill="auto"/>
            <w:noWrap/>
            <w:vAlign w:val="bottom"/>
            <w:hideMark/>
          </w:tcPr>
          <w:p w14:paraId="30A126C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17,893.2</w:t>
            </w:r>
          </w:p>
        </w:tc>
        <w:tc>
          <w:tcPr>
            <w:tcW w:w="960" w:type="dxa"/>
            <w:tcBorders>
              <w:top w:val="nil"/>
              <w:left w:val="nil"/>
              <w:bottom w:val="nil"/>
              <w:right w:val="nil"/>
            </w:tcBorders>
            <w:shd w:val="clear" w:color="auto" w:fill="auto"/>
            <w:noWrap/>
            <w:vAlign w:val="bottom"/>
            <w:hideMark/>
          </w:tcPr>
          <w:p w14:paraId="315A0CD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721</w:t>
            </w:r>
          </w:p>
        </w:tc>
        <w:tc>
          <w:tcPr>
            <w:tcW w:w="1261" w:type="dxa"/>
            <w:tcBorders>
              <w:top w:val="nil"/>
              <w:left w:val="nil"/>
              <w:bottom w:val="nil"/>
              <w:right w:val="nil"/>
            </w:tcBorders>
            <w:shd w:val="clear" w:color="auto" w:fill="auto"/>
            <w:noWrap/>
            <w:vAlign w:val="bottom"/>
            <w:hideMark/>
          </w:tcPr>
          <w:p w14:paraId="66AB7EC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17,512.5</w:t>
            </w:r>
          </w:p>
        </w:tc>
        <w:tc>
          <w:tcPr>
            <w:tcW w:w="960" w:type="dxa"/>
            <w:tcBorders>
              <w:top w:val="nil"/>
              <w:left w:val="nil"/>
              <w:bottom w:val="nil"/>
              <w:right w:val="nil"/>
            </w:tcBorders>
            <w:shd w:val="clear" w:color="auto" w:fill="auto"/>
            <w:noWrap/>
            <w:vAlign w:val="bottom"/>
            <w:hideMark/>
          </w:tcPr>
          <w:p w14:paraId="5C2C717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705</w:t>
            </w:r>
          </w:p>
        </w:tc>
        <w:tc>
          <w:tcPr>
            <w:tcW w:w="1261" w:type="dxa"/>
            <w:tcBorders>
              <w:top w:val="nil"/>
              <w:left w:val="nil"/>
              <w:bottom w:val="nil"/>
              <w:right w:val="nil"/>
            </w:tcBorders>
            <w:shd w:val="clear" w:color="auto" w:fill="auto"/>
            <w:noWrap/>
            <w:vAlign w:val="bottom"/>
            <w:hideMark/>
          </w:tcPr>
          <w:p w14:paraId="300A9B4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10,176.7</w:t>
            </w:r>
          </w:p>
        </w:tc>
        <w:tc>
          <w:tcPr>
            <w:tcW w:w="960" w:type="dxa"/>
            <w:tcBorders>
              <w:top w:val="nil"/>
              <w:left w:val="nil"/>
              <w:bottom w:val="nil"/>
              <w:right w:val="nil"/>
            </w:tcBorders>
            <w:shd w:val="clear" w:color="auto" w:fill="auto"/>
            <w:noWrap/>
            <w:vAlign w:val="bottom"/>
            <w:hideMark/>
          </w:tcPr>
          <w:p w14:paraId="21F3EEF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410</w:t>
            </w:r>
          </w:p>
        </w:tc>
        <w:tc>
          <w:tcPr>
            <w:tcW w:w="1261" w:type="dxa"/>
            <w:tcBorders>
              <w:top w:val="nil"/>
              <w:left w:val="nil"/>
              <w:bottom w:val="nil"/>
              <w:right w:val="nil"/>
            </w:tcBorders>
            <w:shd w:val="clear" w:color="auto" w:fill="auto"/>
            <w:noWrap/>
            <w:vAlign w:val="bottom"/>
            <w:hideMark/>
          </w:tcPr>
          <w:p w14:paraId="2622B94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14,385.6</w:t>
            </w:r>
          </w:p>
        </w:tc>
        <w:tc>
          <w:tcPr>
            <w:tcW w:w="960" w:type="dxa"/>
            <w:tcBorders>
              <w:top w:val="nil"/>
              <w:left w:val="nil"/>
              <w:bottom w:val="nil"/>
              <w:right w:val="nil"/>
            </w:tcBorders>
            <w:shd w:val="clear" w:color="auto" w:fill="auto"/>
            <w:noWrap/>
            <w:vAlign w:val="bottom"/>
            <w:hideMark/>
          </w:tcPr>
          <w:p w14:paraId="1D2B43F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579</w:t>
            </w:r>
          </w:p>
        </w:tc>
        <w:tc>
          <w:tcPr>
            <w:tcW w:w="1261" w:type="dxa"/>
            <w:tcBorders>
              <w:top w:val="nil"/>
              <w:left w:val="nil"/>
              <w:bottom w:val="nil"/>
              <w:right w:val="nil"/>
            </w:tcBorders>
            <w:shd w:val="clear" w:color="auto" w:fill="auto"/>
            <w:noWrap/>
            <w:vAlign w:val="bottom"/>
            <w:hideMark/>
          </w:tcPr>
          <w:p w14:paraId="1FDC47A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12,141.9</w:t>
            </w:r>
          </w:p>
        </w:tc>
        <w:tc>
          <w:tcPr>
            <w:tcW w:w="960" w:type="dxa"/>
            <w:tcBorders>
              <w:top w:val="nil"/>
              <w:left w:val="nil"/>
              <w:bottom w:val="nil"/>
              <w:right w:val="nil"/>
            </w:tcBorders>
            <w:shd w:val="clear" w:color="auto" w:fill="auto"/>
            <w:noWrap/>
            <w:vAlign w:val="bottom"/>
            <w:hideMark/>
          </w:tcPr>
          <w:p w14:paraId="60B4DBF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489</w:t>
            </w:r>
          </w:p>
        </w:tc>
      </w:tr>
      <w:tr w:rsidR="00EE4837" w:rsidRPr="007239A6" w14:paraId="3569B3BC" w14:textId="77777777" w:rsidTr="00181ACD">
        <w:trPr>
          <w:trHeight w:val="288"/>
        </w:trPr>
        <w:tc>
          <w:tcPr>
            <w:tcW w:w="1586" w:type="dxa"/>
            <w:tcBorders>
              <w:top w:val="nil"/>
              <w:left w:val="nil"/>
              <w:bottom w:val="nil"/>
              <w:right w:val="nil"/>
            </w:tcBorders>
            <w:shd w:val="clear" w:color="auto" w:fill="auto"/>
            <w:noWrap/>
            <w:vAlign w:val="bottom"/>
            <w:hideMark/>
          </w:tcPr>
          <w:p w14:paraId="2E2F6ACF"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Rocky Hill</w:t>
            </w:r>
          </w:p>
        </w:tc>
        <w:tc>
          <w:tcPr>
            <w:tcW w:w="1261" w:type="dxa"/>
            <w:tcBorders>
              <w:top w:val="nil"/>
              <w:left w:val="nil"/>
              <w:bottom w:val="nil"/>
              <w:right w:val="nil"/>
            </w:tcBorders>
            <w:shd w:val="clear" w:color="auto" w:fill="auto"/>
            <w:noWrap/>
            <w:vAlign w:val="bottom"/>
            <w:hideMark/>
          </w:tcPr>
          <w:p w14:paraId="6C21537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5,682.6</w:t>
            </w:r>
          </w:p>
        </w:tc>
        <w:tc>
          <w:tcPr>
            <w:tcW w:w="960" w:type="dxa"/>
            <w:tcBorders>
              <w:top w:val="nil"/>
              <w:left w:val="nil"/>
              <w:bottom w:val="nil"/>
              <w:right w:val="nil"/>
            </w:tcBorders>
            <w:shd w:val="clear" w:color="auto" w:fill="auto"/>
            <w:noWrap/>
            <w:vAlign w:val="bottom"/>
            <w:hideMark/>
          </w:tcPr>
          <w:p w14:paraId="558C45B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288</w:t>
            </w:r>
          </w:p>
        </w:tc>
        <w:tc>
          <w:tcPr>
            <w:tcW w:w="1261" w:type="dxa"/>
            <w:tcBorders>
              <w:top w:val="nil"/>
              <w:left w:val="nil"/>
              <w:bottom w:val="nil"/>
              <w:right w:val="nil"/>
            </w:tcBorders>
            <w:shd w:val="clear" w:color="auto" w:fill="auto"/>
            <w:noWrap/>
            <w:vAlign w:val="bottom"/>
            <w:hideMark/>
          </w:tcPr>
          <w:p w14:paraId="015B419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5,991.6</w:t>
            </w:r>
          </w:p>
        </w:tc>
        <w:tc>
          <w:tcPr>
            <w:tcW w:w="960" w:type="dxa"/>
            <w:tcBorders>
              <w:top w:val="nil"/>
              <w:left w:val="nil"/>
              <w:bottom w:val="nil"/>
              <w:right w:val="nil"/>
            </w:tcBorders>
            <w:shd w:val="clear" w:color="auto" w:fill="auto"/>
            <w:noWrap/>
            <w:vAlign w:val="bottom"/>
            <w:hideMark/>
          </w:tcPr>
          <w:p w14:paraId="24F01BF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303</w:t>
            </w:r>
          </w:p>
        </w:tc>
        <w:tc>
          <w:tcPr>
            <w:tcW w:w="1261" w:type="dxa"/>
            <w:tcBorders>
              <w:top w:val="nil"/>
              <w:left w:val="nil"/>
              <w:bottom w:val="nil"/>
              <w:right w:val="nil"/>
            </w:tcBorders>
            <w:shd w:val="clear" w:color="auto" w:fill="auto"/>
            <w:noWrap/>
            <w:vAlign w:val="bottom"/>
            <w:hideMark/>
          </w:tcPr>
          <w:p w14:paraId="2A6DB1F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12,024.7</w:t>
            </w:r>
          </w:p>
        </w:tc>
        <w:tc>
          <w:tcPr>
            <w:tcW w:w="960" w:type="dxa"/>
            <w:tcBorders>
              <w:top w:val="nil"/>
              <w:left w:val="nil"/>
              <w:bottom w:val="nil"/>
              <w:right w:val="nil"/>
            </w:tcBorders>
            <w:shd w:val="clear" w:color="auto" w:fill="auto"/>
            <w:noWrap/>
            <w:vAlign w:val="bottom"/>
            <w:hideMark/>
          </w:tcPr>
          <w:p w14:paraId="4D5130E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609</w:t>
            </w:r>
          </w:p>
        </w:tc>
        <w:tc>
          <w:tcPr>
            <w:tcW w:w="1261" w:type="dxa"/>
            <w:tcBorders>
              <w:top w:val="nil"/>
              <w:left w:val="nil"/>
              <w:bottom w:val="nil"/>
              <w:right w:val="nil"/>
            </w:tcBorders>
            <w:shd w:val="clear" w:color="auto" w:fill="auto"/>
            <w:noWrap/>
            <w:vAlign w:val="bottom"/>
            <w:hideMark/>
          </w:tcPr>
          <w:p w14:paraId="3ECDD9C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7,134.4</w:t>
            </w:r>
          </w:p>
        </w:tc>
        <w:tc>
          <w:tcPr>
            <w:tcW w:w="960" w:type="dxa"/>
            <w:tcBorders>
              <w:top w:val="nil"/>
              <w:left w:val="nil"/>
              <w:bottom w:val="nil"/>
              <w:right w:val="nil"/>
            </w:tcBorders>
            <w:shd w:val="clear" w:color="auto" w:fill="auto"/>
            <w:noWrap/>
            <w:vAlign w:val="bottom"/>
            <w:hideMark/>
          </w:tcPr>
          <w:p w14:paraId="7A28B74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361</w:t>
            </w:r>
          </w:p>
        </w:tc>
        <w:tc>
          <w:tcPr>
            <w:tcW w:w="1261" w:type="dxa"/>
            <w:tcBorders>
              <w:top w:val="nil"/>
              <w:left w:val="nil"/>
              <w:bottom w:val="nil"/>
              <w:right w:val="nil"/>
            </w:tcBorders>
            <w:shd w:val="clear" w:color="auto" w:fill="auto"/>
            <w:noWrap/>
            <w:vAlign w:val="bottom"/>
            <w:hideMark/>
          </w:tcPr>
          <w:p w14:paraId="070D09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9,667.0</w:t>
            </w:r>
          </w:p>
        </w:tc>
        <w:tc>
          <w:tcPr>
            <w:tcW w:w="960" w:type="dxa"/>
            <w:tcBorders>
              <w:top w:val="nil"/>
              <w:left w:val="nil"/>
              <w:bottom w:val="nil"/>
              <w:right w:val="nil"/>
            </w:tcBorders>
            <w:shd w:val="clear" w:color="auto" w:fill="auto"/>
            <w:noWrap/>
            <w:vAlign w:val="bottom"/>
            <w:hideMark/>
          </w:tcPr>
          <w:p w14:paraId="1A33199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490</w:t>
            </w:r>
          </w:p>
        </w:tc>
      </w:tr>
      <w:tr w:rsidR="00EE4837" w:rsidRPr="007239A6" w14:paraId="5FFC8BCA" w14:textId="77777777" w:rsidTr="00181ACD">
        <w:trPr>
          <w:trHeight w:val="288"/>
        </w:trPr>
        <w:tc>
          <w:tcPr>
            <w:tcW w:w="1586" w:type="dxa"/>
            <w:tcBorders>
              <w:top w:val="nil"/>
              <w:left w:val="nil"/>
              <w:bottom w:val="nil"/>
              <w:right w:val="nil"/>
            </w:tcBorders>
            <w:shd w:val="clear" w:color="auto" w:fill="auto"/>
            <w:noWrap/>
            <w:vAlign w:val="bottom"/>
            <w:hideMark/>
          </w:tcPr>
          <w:p w14:paraId="3321132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Roxbury</w:t>
            </w:r>
          </w:p>
        </w:tc>
        <w:tc>
          <w:tcPr>
            <w:tcW w:w="1261" w:type="dxa"/>
            <w:tcBorders>
              <w:top w:val="nil"/>
              <w:left w:val="nil"/>
              <w:bottom w:val="nil"/>
              <w:right w:val="nil"/>
            </w:tcBorders>
            <w:shd w:val="clear" w:color="auto" w:fill="auto"/>
            <w:noWrap/>
            <w:vAlign w:val="bottom"/>
            <w:hideMark/>
          </w:tcPr>
          <w:p w14:paraId="16E7BF0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1,133.9</w:t>
            </w:r>
          </w:p>
        </w:tc>
        <w:tc>
          <w:tcPr>
            <w:tcW w:w="960" w:type="dxa"/>
            <w:tcBorders>
              <w:top w:val="nil"/>
              <w:left w:val="nil"/>
              <w:bottom w:val="nil"/>
              <w:right w:val="nil"/>
            </w:tcBorders>
            <w:shd w:val="clear" w:color="auto" w:fill="auto"/>
            <w:noWrap/>
            <w:vAlign w:val="bottom"/>
            <w:hideMark/>
          </w:tcPr>
          <w:p w14:paraId="5398CB9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493</w:t>
            </w:r>
          </w:p>
        </w:tc>
        <w:tc>
          <w:tcPr>
            <w:tcW w:w="1261" w:type="dxa"/>
            <w:tcBorders>
              <w:top w:val="nil"/>
              <w:left w:val="nil"/>
              <w:bottom w:val="nil"/>
              <w:right w:val="nil"/>
            </w:tcBorders>
            <w:shd w:val="clear" w:color="auto" w:fill="auto"/>
            <w:noWrap/>
            <w:vAlign w:val="bottom"/>
            <w:hideMark/>
          </w:tcPr>
          <w:p w14:paraId="27C7E58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1,281.3</w:t>
            </w:r>
          </w:p>
        </w:tc>
        <w:tc>
          <w:tcPr>
            <w:tcW w:w="960" w:type="dxa"/>
            <w:tcBorders>
              <w:top w:val="nil"/>
              <w:left w:val="nil"/>
              <w:bottom w:val="nil"/>
              <w:right w:val="nil"/>
            </w:tcBorders>
            <w:shd w:val="clear" w:color="auto" w:fill="auto"/>
            <w:noWrap/>
            <w:vAlign w:val="bottom"/>
            <w:hideMark/>
          </w:tcPr>
          <w:p w14:paraId="3ABC6AC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557</w:t>
            </w:r>
          </w:p>
        </w:tc>
        <w:tc>
          <w:tcPr>
            <w:tcW w:w="1261" w:type="dxa"/>
            <w:tcBorders>
              <w:top w:val="nil"/>
              <w:left w:val="nil"/>
              <w:bottom w:val="nil"/>
              <w:right w:val="nil"/>
            </w:tcBorders>
            <w:shd w:val="clear" w:color="auto" w:fill="auto"/>
            <w:noWrap/>
            <w:vAlign w:val="bottom"/>
            <w:hideMark/>
          </w:tcPr>
          <w:p w14:paraId="6959BAE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148.2</w:t>
            </w:r>
          </w:p>
        </w:tc>
        <w:tc>
          <w:tcPr>
            <w:tcW w:w="960" w:type="dxa"/>
            <w:tcBorders>
              <w:top w:val="nil"/>
              <w:left w:val="nil"/>
              <w:bottom w:val="nil"/>
              <w:right w:val="nil"/>
            </w:tcBorders>
            <w:shd w:val="clear" w:color="auto" w:fill="auto"/>
            <w:noWrap/>
            <w:vAlign w:val="bottom"/>
            <w:hideMark/>
          </w:tcPr>
          <w:p w14:paraId="3264CD0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64</w:t>
            </w:r>
          </w:p>
        </w:tc>
        <w:tc>
          <w:tcPr>
            <w:tcW w:w="1261" w:type="dxa"/>
            <w:tcBorders>
              <w:top w:val="nil"/>
              <w:left w:val="nil"/>
              <w:bottom w:val="nil"/>
              <w:right w:val="nil"/>
            </w:tcBorders>
            <w:shd w:val="clear" w:color="auto" w:fill="auto"/>
            <w:noWrap/>
            <w:vAlign w:val="bottom"/>
            <w:hideMark/>
          </w:tcPr>
          <w:p w14:paraId="601A182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856.5</w:t>
            </w:r>
          </w:p>
        </w:tc>
        <w:tc>
          <w:tcPr>
            <w:tcW w:w="960" w:type="dxa"/>
            <w:tcBorders>
              <w:top w:val="nil"/>
              <w:left w:val="nil"/>
              <w:bottom w:val="nil"/>
              <w:right w:val="nil"/>
            </w:tcBorders>
            <w:shd w:val="clear" w:color="auto" w:fill="auto"/>
            <w:noWrap/>
            <w:vAlign w:val="bottom"/>
            <w:hideMark/>
          </w:tcPr>
          <w:p w14:paraId="641C5F4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372</w:t>
            </w:r>
          </w:p>
        </w:tc>
        <w:tc>
          <w:tcPr>
            <w:tcW w:w="1261" w:type="dxa"/>
            <w:tcBorders>
              <w:top w:val="nil"/>
              <w:left w:val="nil"/>
              <w:bottom w:val="nil"/>
              <w:right w:val="nil"/>
            </w:tcBorders>
            <w:shd w:val="clear" w:color="auto" w:fill="auto"/>
            <w:noWrap/>
            <w:vAlign w:val="bottom"/>
            <w:hideMark/>
          </w:tcPr>
          <w:p w14:paraId="2F7F6CC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453.8</w:t>
            </w:r>
          </w:p>
        </w:tc>
        <w:tc>
          <w:tcPr>
            <w:tcW w:w="960" w:type="dxa"/>
            <w:tcBorders>
              <w:top w:val="nil"/>
              <w:left w:val="nil"/>
              <w:bottom w:val="nil"/>
              <w:right w:val="nil"/>
            </w:tcBorders>
            <w:shd w:val="clear" w:color="auto" w:fill="auto"/>
            <w:noWrap/>
            <w:vAlign w:val="bottom"/>
            <w:hideMark/>
          </w:tcPr>
          <w:p w14:paraId="467DB7A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197</w:t>
            </w:r>
          </w:p>
        </w:tc>
      </w:tr>
      <w:tr w:rsidR="00EE4837" w:rsidRPr="007239A6" w14:paraId="18AB9B14" w14:textId="77777777" w:rsidTr="00181ACD">
        <w:trPr>
          <w:trHeight w:val="288"/>
        </w:trPr>
        <w:tc>
          <w:tcPr>
            <w:tcW w:w="1586" w:type="dxa"/>
            <w:tcBorders>
              <w:top w:val="nil"/>
              <w:left w:val="nil"/>
              <w:bottom w:val="nil"/>
              <w:right w:val="nil"/>
            </w:tcBorders>
            <w:shd w:val="clear" w:color="auto" w:fill="auto"/>
            <w:noWrap/>
            <w:vAlign w:val="bottom"/>
            <w:hideMark/>
          </w:tcPr>
          <w:p w14:paraId="768BAEB4"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Salem</w:t>
            </w:r>
          </w:p>
        </w:tc>
        <w:tc>
          <w:tcPr>
            <w:tcW w:w="1261" w:type="dxa"/>
            <w:tcBorders>
              <w:top w:val="nil"/>
              <w:left w:val="nil"/>
              <w:bottom w:val="nil"/>
              <w:right w:val="nil"/>
            </w:tcBorders>
            <w:shd w:val="clear" w:color="auto" w:fill="auto"/>
            <w:noWrap/>
            <w:vAlign w:val="bottom"/>
            <w:hideMark/>
          </w:tcPr>
          <w:p w14:paraId="67BA25E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1,274.1</w:t>
            </w:r>
          </w:p>
        </w:tc>
        <w:tc>
          <w:tcPr>
            <w:tcW w:w="960" w:type="dxa"/>
            <w:tcBorders>
              <w:top w:val="nil"/>
              <w:left w:val="nil"/>
              <w:bottom w:val="nil"/>
              <w:right w:val="nil"/>
            </w:tcBorders>
            <w:shd w:val="clear" w:color="auto" w:fill="auto"/>
            <w:noWrap/>
            <w:vAlign w:val="bottom"/>
            <w:hideMark/>
          </w:tcPr>
          <w:p w14:paraId="6B4DDCB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305</w:t>
            </w:r>
          </w:p>
        </w:tc>
        <w:tc>
          <w:tcPr>
            <w:tcW w:w="1261" w:type="dxa"/>
            <w:tcBorders>
              <w:top w:val="nil"/>
              <w:left w:val="nil"/>
              <w:bottom w:val="nil"/>
              <w:right w:val="nil"/>
            </w:tcBorders>
            <w:shd w:val="clear" w:color="auto" w:fill="auto"/>
            <w:noWrap/>
            <w:vAlign w:val="bottom"/>
            <w:hideMark/>
          </w:tcPr>
          <w:p w14:paraId="2519871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1,357.3</w:t>
            </w:r>
          </w:p>
        </w:tc>
        <w:tc>
          <w:tcPr>
            <w:tcW w:w="960" w:type="dxa"/>
            <w:tcBorders>
              <w:top w:val="nil"/>
              <w:left w:val="nil"/>
              <w:bottom w:val="nil"/>
              <w:right w:val="nil"/>
            </w:tcBorders>
            <w:shd w:val="clear" w:color="auto" w:fill="auto"/>
            <w:noWrap/>
            <w:vAlign w:val="bottom"/>
            <w:hideMark/>
          </w:tcPr>
          <w:p w14:paraId="5F5F535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325</w:t>
            </w:r>
          </w:p>
        </w:tc>
        <w:tc>
          <w:tcPr>
            <w:tcW w:w="1261" w:type="dxa"/>
            <w:tcBorders>
              <w:top w:val="nil"/>
              <w:left w:val="nil"/>
              <w:bottom w:val="nil"/>
              <w:right w:val="nil"/>
            </w:tcBorders>
            <w:shd w:val="clear" w:color="auto" w:fill="auto"/>
            <w:noWrap/>
            <w:vAlign w:val="bottom"/>
            <w:hideMark/>
          </w:tcPr>
          <w:p w14:paraId="670D2B5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219.7</w:t>
            </w:r>
          </w:p>
        </w:tc>
        <w:tc>
          <w:tcPr>
            <w:tcW w:w="960" w:type="dxa"/>
            <w:tcBorders>
              <w:top w:val="nil"/>
              <w:left w:val="nil"/>
              <w:bottom w:val="nil"/>
              <w:right w:val="nil"/>
            </w:tcBorders>
            <w:shd w:val="clear" w:color="auto" w:fill="auto"/>
            <w:noWrap/>
            <w:vAlign w:val="bottom"/>
            <w:hideMark/>
          </w:tcPr>
          <w:p w14:paraId="7F44704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53</w:t>
            </w:r>
          </w:p>
        </w:tc>
        <w:tc>
          <w:tcPr>
            <w:tcW w:w="1261" w:type="dxa"/>
            <w:tcBorders>
              <w:top w:val="nil"/>
              <w:left w:val="nil"/>
              <w:bottom w:val="nil"/>
              <w:right w:val="nil"/>
            </w:tcBorders>
            <w:shd w:val="clear" w:color="auto" w:fill="auto"/>
            <w:noWrap/>
            <w:vAlign w:val="bottom"/>
            <w:hideMark/>
          </w:tcPr>
          <w:p w14:paraId="7F95806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1,565.9</w:t>
            </w:r>
          </w:p>
        </w:tc>
        <w:tc>
          <w:tcPr>
            <w:tcW w:w="960" w:type="dxa"/>
            <w:tcBorders>
              <w:top w:val="nil"/>
              <w:left w:val="nil"/>
              <w:bottom w:val="nil"/>
              <w:right w:val="nil"/>
            </w:tcBorders>
            <w:shd w:val="clear" w:color="auto" w:fill="auto"/>
            <w:noWrap/>
            <w:vAlign w:val="bottom"/>
            <w:hideMark/>
          </w:tcPr>
          <w:p w14:paraId="256B08D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375</w:t>
            </w:r>
          </w:p>
        </w:tc>
        <w:tc>
          <w:tcPr>
            <w:tcW w:w="1261" w:type="dxa"/>
            <w:tcBorders>
              <w:top w:val="nil"/>
              <w:left w:val="nil"/>
              <w:bottom w:val="nil"/>
              <w:right w:val="nil"/>
            </w:tcBorders>
            <w:shd w:val="clear" w:color="auto" w:fill="auto"/>
            <w:noWrap/>
            <w:vAlign w:val="bottom"/>
            <w:hideMark/>
          </w:tcPr>
          <w:p w14:paraId="163F06D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848.4</w:t>
            </w:r>
          </w:p>
        </w:tc>
        <w:tc>
          <w:tcPr>
            <w:tcW w:w="960" w:type="dxa"/>
            <w:tcBorders>
              <w:top w:val="nil"/>
              <w:left w:val="nil"/>
              <w:bottom w:val="nil"/>
              <w:right w:val="nil"/>
            </w:tcBorders>
            <w:shd w:val="clear" w:color="auto" w:fill="auto"/>
            <w:noWrap/>
            <w:vAlign w:val="bottom"/>
            <w:hideMark/>
          </w:tcPr>
          <w:p w14:paraId="0AF5F45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203</w:t>
            </w:r>
          </w:p>
        </w:tc>
      </w:tr>
      <w:tr w:rsidR="00EE4837" w:rsidRPr="007239A6" w14:paraId="598DA7A4" w14:textId="77777777" w:rsidTr="00181ACD">
        <w:trPr>
          <w:trHeight w:val="288"/>
        </w:trPr>
        <w:tc>
          <w:tcPr>
            <w:tcW w:w="1586" w:type="dxa"/>
            <w:tcBorders>
              <w:top w:val="nil"/>
              <w:left w:val="nil"/>
              <w:bottom w:val="nil"/>
              <w:right w:val="nil"/>
            </w:tcBorders>
            <w:shd w:val="clear" w:color="auto" w:fill="auto"/>
            <w:noWrap/>
            <w:vAlign w:val="bottom"/>
            <w:hideMark/>
          </w:tcPr>
          <w:p w14:paraId="0A69103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Salisbury</w:t>
            </w:r>
          </w:p>
        </w:tc>
        <w:tc>
          <w:tcPr>
            <w:tcW w:w="1261" w:type="dxa"/>
            <w:tcBorders>
              <w:top w:val="nil"/>
              <w:left w:val="nil"/>
              <w:bottom w:val="nil"/>
              <w:right w:val="nil"/>
            </w:tcBorders>
            <w:shd w:val="clear" w:color="auto" w:fill="auto"/>
            <w:noWrap/>
            <w:vAlign w:val="bottom"/>
            <w:hideMark/>
          </w:tcPr>
          <w:p w14:paraId="7B9F6EB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1,234.8</w:t>
            </w:r>
          </w:p>
        </w:tc>
        <w:tc>
          <w:tcPr>
            <w:tcW w:w="960" w:type="dxa"/>
            <w:tcBorders>
              <w:top w:val="nil"/>
              <w:left w:val="nil"/>
              <w:bottom w:val="nil"/>
              <w:right w:val="nil"/>
            </w:tcBorders>
            <w:shd w:val="clear" w:color="auto" w:fill="auto"/>
            <w:noWrap/>
            <w:vAlign w:val="bottom"/>
            <w:hideMark/>
          </w:tcPr>
          <w:p w14:paraId="2E6805F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332</w:t>
            </w:r>
          </w:p>
        </w:tc>
        <w:tc>
          <w:tcPr>
            <w:tcW w:w="1261" w:type="dxa"/>
            <w:tcBorders>
              <w:top w:val="nil"/>
              <w:left w:val="nil"/>
              <w:bottom w:val="nil"/>
              <w:right w:val="nil"/>
            </w:tcBorders>
            <w:shd w:val="clear" w:color="auto" w:fill="auto"/>
            <w:noWrap/>
            <w:vAlign w:val="bottom"/>
            <w:hideMark/>
          </w:tcPr>
          <w:p w14:paraId="67B92B9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1,153.9</w:t>
            </w:r>
          </w:p>
        </w:tc>
        <w:tc>
          <w:tcPr>
            <w:tcW w:w="960" w:type="dxa"/>
            <w:tcBorders>
              <w:top w:val="nil"/>
              <w:left w:val="nil"/>
              <w:bottom w:val="nil"/>
              <w:right w:val="nil"/>
            </w:tcBorders>
            <w:shd w:val="clear" w:color="auto" w:fill="auto"/>
            <w:noWrap/>
            <w:vAlign w:val="bottom"/>
            <w:hideMark/>
          </w:tcPr>
          <w:p w14:paraId="45CA4AC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310</w:t>
            </w:r>
          </w:p>
        </w:tc>
        <w:tc>
          <w:tcPr>
            <w:tcW w:w="1261" w:type="dxa"/>
            <w:tcBorders>
              <w:top w:val="nil"/>
              <w:left w:val="nil"/>
              <w:bottom w:val="nil"/>
              <w:right w:val="nil"/>
            </w:tcBorders>
            <w:shd w:val="clear" w:color="auto" w:fill="auto"/>
            <w:noWrap/>
            <w:vAlign w:val="bottom"/>
            <w:hideMark/>
          </w:tcPr>
          <w:p w14:paraId="7CA35EA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993.8</w:t>
            </w:r>
          </w:p>
        </w:tc>
        <w:tc>
          <w:tcPr>
            <w:tcW w:w="960" w:type="dxa"/>
            <w:tcBorders>
              <w:top w:val="nil"/>
              <w:left w:val="nil"/>
              <w:bottom w:val="nil"/>
              <w:right w:val="nil"/>
            </w:tcBorders>
            <w:shd w:val="clear" w:color="auto" w:fill="auto"/>
            <w:noWrap/>
            <w:vAlign w:val="bottom"/>
            <w:hideMark/>
          </w:tcPr>
          <w:p w14:paraId="2272120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267</w:t>
            </w:r>
          </w:p>
        </w:tc>
        <w:tc>
          <w:tcPr>
            <w:tcW w:w="1261" w:type="dxa"/>
            <w:tcBorders>
              <w:top w:val="nil"/>
              <w:left w:val="nil"/>
              <w:bottom w:val="nil"/>
              <w:right w:val="nil"/>
            </w:tcBorders>
            <w:shd w:val="clear" w:color="auto" w:fill="auto"/>
            <w:noWrap/>
            <w:vAlign w:val="bottom"/>
            <w:hideMark/>
          </w:tcPr>
          <w:p w14:paraId="0D2A00E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847.6</w:t>
            </w:r>
          </w:p>
        </w:tc>
        <w:tc>
          <w:tcPr>
            <w:tcW w:w="960" w:type="dxa"/>
            <w:tcBorders>
              <w:top w:val="nil"/>
              <w:left w:val="nil"/>
              <w:bottom w:val="nil"/>
              <w:right w:val="nil"/>
            </w:tcBorders>
            <w:shd w:val="clear" w:color="auto" w:fill="auto"/>
            <w:noWrap/>
            <w:vAlign w:val="bottom"/>
            <w:hideMark/>
          </w:tcPr>
          <w:p w14:paraId="1F70F1B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228</w:t>
            </w:r>
          </w:p>
        </w:tc>
        <w:tc>
          <w:tcPr>
            <w:tcW w:w="1261" w:type="dxa"/>
            <w:tcBorders>
              <w:top w:val="nil"/>
              <w:left w:val="nil"/>
              <w:bottom w:val="nil"/>
              <w:right w:val="nil"/>
            </w:tcBorders>
            <w:shd w:val="clear" w:color="auto" w:fill="auto"/>
            <w:noWrap/>
            <w:vAlign w:val="bottom"/>
            <w:hideMark/>
          </w:tcPr>
          <w:p w14:paraId="4AF5A68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936.6</w:t>
            </w:r>
          </w:p>
        </w:tc>
        <w:tc>
          <w:tcPr>
            <w:tcW w:w="960" w:type="dxa"/>
            <w:tcBorders>
              <w:top w:val="nil"/>
              <w:left w:val="nil"/>
              <w:bottom w:val="nil"/>
              <w:right w:val="nil"/>
            </w:tcBorders>
            <w:shd w:val="clear" w:color="auto" w:fill="auto"/>
            <w:noWrap/>
            <w:vAlign w:val="bottom"/>
            <w:hideMark/>
          </w:tcPr>
          <w:p w14:paraId="4D01CFC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252</w:t>
            </w:r>
          </w:p>
        </w:tc>
      </w:tr>
      <w:tr w:rsidR="00EE4837" w:rsidRPr="007239A6" w14:paraId="57923632" w14:textId="77777777" w:rsidTr="00181ACD">
        <w:trPr>
          <w:trHeight w:val="288"/>
        </w:trPr>
        <w:tc>
          <w:tcPr>
            <w:tcW w:w="1586" w:type="dxa"/>
            <w:tcBorders>
              <w:top w:val="nil"/>
              <w:left w:val="nil"/>
              <w:bottom w:val="nil"/>
              <w:right w:val="nil"/>
            </w:tcBorders>
            <w:shd w:val="clear" w:color="auto" w:fill="auto"/>
            <w:noWrap/>
            <w:vAlign w:val="bottom"/>
            <w:hideMark/>
          </w:tcPr>
          <w:p w14:paraId="2A6512F3"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lastRenderedPageBreak/>
              <w:t>Scotland</w:t>
            </w:r>
          </w:p>
        </w:tc>
        <w:tc>
          <w:tcPr>
            <w:tcW w:w="1261" w:type="dxa"/>
            <w:tcBorders>
              <w:top w:val="nil"/>
              <w:left w:val="nil"/>
              <w:bottom w:val="nil"/>
              <w:right w:val="nil"/>
            </w:tcBorders>
            <w:shd w:val="clear" w:color="auto" w:fill="auto"/>
            <w:noWrap/>
            <w:vAlign w:val="bottom"/>
            <w:hideMark/>
          </w:tcPr>
          <w:p w14:paraId="0294BBF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153.1</w:t>
            </w:r>
          </w:p>
        </w:tc>
        <w:tc>
          <w:tcPr>
            <w:tcW w:w="960" w:type="dxa"/>
            <w:tcBorders>
              <w:top w:val="nil"/>
              <w:left w:val="nil"/>
              <w:bottom w:val="nil"/>
              <w:right w:val="nil"/>
            </w:tcBorders>
            <w:shd w:val="clear" w:color="auto" w:fill="auto"/>
            <w:noWrap/>
            <w:vAlign w:val="bottom"/>
            <w:hideMark/>
          </w:tcPr>
          <w:p w14:paraId="1EFC85D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88</w:t>
            </w:r>
          </w:p>
        </w:tc>
        <w:tc>
          <w:tcPr>
            <w:tcW w:w="1261" w:type="dxa"/>
            <w:tcBorders>
              <w:top w:val="nil"/>
              <w:left w:val="nil"/>
              <w:bottom w:val="nil"/>
              <w:right w:val="nil"/>
            </w:tcBorders>
            <w:shd w:val="clear" w:color="auto" w:fill="auto"/>
            <w:noWrap/>
            <w:vAlign w:val="bottom"/>
            <w:hideMark/>
          </w:tcPr>
          <w:p w14:paraId="58A86EE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130.9</w:t>
            </w:r>
          </w:p>
        </w:tc>
        <w:tc>
          <w:tcPr>
            <w:tcW w:w="960" w:type="dxa"/>
            <w:tcBorders>
              <w:top w:val="nil"/>
              <w:left w:val="nil"/>
              <w:bottom w:val="nil"/>
              <w:right w:val="nil"/>
            </w:tcBorders>
            <w:shd w:val="clear" w:color="auto" w:fill="auto"/>
            <w:noWrap/>
            <w:vAlign w:val="bottom"/>
            <w:hideMark/>
          </w:tcPr>
          <w:p w14:paraId="50B2F81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75</w:t>
            </w:r>
          </w:p>
        </w:tc>
        <w:tc>
          <w:tcPr>
            <w:tcW w:w="1261" w:type="dxa"/>
            <w:tcBorders>
              <w:top w:val="nil"/>
              <w:left w:val="nil"/>
              <w:bottom w:val="nil"/>
              <w:right w:val="nil"/>
            </w:tcBorders>
            <w:shd w:val="clear" w:color="auto" w:fill="auto"/>
            <w:noWrap/>
            <w:vAlign w:val="bottom"/>
            <w:hideMark/>
          </w:tcPr>
          <w:p w14:paraId="7CE5883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42.6</w:t>
            </w:r>
          </w:p>
        </w:tc>
        <w:tc>
          <w:tcPr>
            <w:tcW w:w="960" w:type="dxa"/>
            <w:tcBorders>
              <w:top w:val="nil"/>
              <w:left w:val="nil"/>
              <w:bottom w:val="nil"/>
              <w:right w:val="nil"/>
            </w:tcBorders>
            <w:shd w:val="clear" w:color="auto" w:fill="auto"/>
            <w:noWrap/>
            <w:vAlign w:val="bottom"/>
            <w:hideMark/>
          </w:tcPr>
          <w:p w14:paraId="0CA68BD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w:t>
            </w:r>
          </w:p>
        </w:tc>
        <w:tc>
          <w:tcPr>
            <w:tcW w:w="1261" w:type="dxa"/>
            <w:tcBorders>
              <w:top w:val="nil"/>
              <w:left w:val="nil"/>
              <w:bottom w:val="nil"/>
              <w:right w:val="nil"/>
            </w:tcBorders>
            <w:shd w:val="clear" w:color="auto" w:fill="auto"/>
            <w:noWrap/>
            <w:vAlign w:val="bottom"/>
            <w:hideMark/>
          </w:tcPr>
          <w:p w14:paraId="6C50121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342.4</w:t>
            </w:r>
          </w:p>
        </w:tc>
        <w:tc>
          <w:tcPr>
            <w:tcW w:w="960" w:type="dxa"/>
            <w:tcBorders>
              <w:top w:val="nil"/>
              <w:left w:val="nil"/>
              <w:bottom w:val="nil"/>
              <w:right w:val="nil"/>
            </w:tcBorders>
            <w:shd w:val="clear" w:color="auto" w:fill="auto"/>
            <w:noWrap/>
            <w:vAlign w:val="bottom"/>
            <w:hideMark/>
          </w:tcPr>
          <w:p w14:paraId="56D406A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197</w:t>
            </w:r>
          </w:p>
        </w:tc>
        <w:tc>
          <w:tcPr>
            <w:tcW w:w="1261" w:type="dxa"/>
            <w:tcBorders>
              <w:top w:val="nil"/>
              <w:left w:val="nil"/>
              <w:bottom w:val="nil"/>
              <w:right w:val="nil"/>
            </w:tcBorders>
            <w:shd w:val="clear" w:color="auto" w:fill="auto"/>
            <w:noWrap/>
            <w:vAlign w:val="bottom"/>
            <w:hideMark/>
          </w:tcPr>
          <w:p w14:paraId="1F0F208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180.3</w:t>
            </w:r>
          </w:p>
        </w:tc>
        <w:tc>
          <w:tcPr>
            <w:tcW w:w="960" w:type="dxa"/>
            <w:tcBorders>
              <w:top w:val="nil"/>
              <w:left w:val="nil"/>
              <w:bottom w:val="nil"/>
              <w:right w:val="nil"/>
            </w:tcBorders>
            <w:shd w:val="clear" w:color="auto" w:fill="auto"/>
            <w:noWrap/>
            <w:vAlign w:val="bottom"/>
            <w:hideMark/>
          </w:tcPr>
          <w:p w14:paraId="225FFDA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104</w:t>
            </w:r>
          </w:p>
        </w:tc>
      </w:tr>
      <w:tr w:rsidR="00EE4837" w:rsidRPr="007239A6" w14:paraId="64F09C05" w14:textId="77777777" w:rsidTr="00181ACD">
        <w:trPr>
          <w:trHeight w:val="288"/>
        </w:trPr>
        <w:tc>
          <w:tcPr>
            <w:tcW w:w="1586" w:type="dxa"/>
            <w:tcBorders>
              <w:top w:val="nil"/>
              <w:left w:val="nil"/>
              <w:bottom w:val="nil"/>
              <w:right w:val="nil"/>
            </w:tcBorders>
            <w:shd w:val="clear" w:color="auto" w:fill="auto"/>
            <w:noWrap/>
            <w:vAlign w:val="bottom"/>
            <w:hideMark/>
          </w:tcPr>
          <w:p w14:paraId="1F361028"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Seymour</w:t>
            </w:r>
          </w:p>
        </w:tc>
        <w:tc>
          <w:tcPr>
            <w:tcW w:w="1261" w:type="dxa"/>
            <w:tcBorders>
              <w:top w:val="nil"/>
              <w:left w:val="nil"/>
              <w:bottom w:val="nil"/>
              <w:right w:val="nil"/>
            </w:tcBorders>
            <w:shd w:val="clear" w:color="auto" w:fill="auto"/>
            <w:noWrap/>
            <w:vAlign w:val="bottom"/>
            <w:hideMark/>
          </w:tcPr>
          <w:p w14:paraId="781688E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3,780.3</w:t>
            </w:r>
          </w:p>
        </w:tc>
        <w:tc>
          <w:tcPr>
            <w:tcW w:w="960" w:type="dxa"/>
            <w:tcBorders>
              <w:top w:val="nil"/>
              <w:left w:val="nil"/>
              <w:bottom w:val="nil"/>
              <w:right w:val="nil"/>
            </w:tcBorders>
            <w:shd w:val="clear" w:color="auto" w:fill="auto"/>
            <w:noWrap/>
            <w:vAlign w:val="bottom"/>
            <w:hideMark/>
          </w:tcPr>
          <w:p w14:paraId="138ECC8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229</w:t>
            </w:r>
          </w:p>
        </w:tc>
        <w:tc>
          <w:tcPr>
            <w:tcW w:w="1261" w:type="dxa"/>
            <w:tcBorders>
              <w:top w:val="nil"/>
              <w:left w:val="nil"/>
              <w:bottom w:val="nil"/>
              <w:right w:val="nil"/>
            </w:tcBorders>
            <w:shd w:val="clear" w:color="auto" w:fill="auto"/>
            <w:noWrap/>
            <w:vAlign w:val="bottom"/>
            <w:hideMark/>
          </w:tcPr>
          <w:p w14:paraId="6848288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3,593.0</w:t>
            </w:r>
          </w:p>
        </w:tc>
        <w:tc>
          <w:tcPr>
            <w:tcW w:w="960" w:type="dxa"/>
            <w:tcBorders>
              <w:top w:val="nil"/>
              <w:left w:val="nil"/>
              <w:bottom w:val="nil"/>
              <w:right w:val="nil"/>
            </w:tcBorders>
            <w:shd w:val="clear" w:color="auto" w:fill="auto"/>
            <w:noWrap/>
            <w:vAlign w:val="bottom"/>
            <w:hideMark/>
          </w:tcPr>
          <w:p w14:paraId="3347E80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217</w:t>
            </w:r>
          </w:p>
        </w:tc>
        <w:tc>
          <w:tcPr>
            <w:tcW w:w="1261" w:type="dxa"/>
            <w:tcBorders>
              <w:top w:val="nil"/>
              <w:left w:val="nil"/>
              <w:bottom w:val="nil"/>
              <w:right w:val="nil"/>
            </w:tcBorders>
            <w:shd w:val="clear" w:color="auto" w:fill="auto"/>
            <w:noWrap/>
            <w:vAlign w:val="bottom"/>
            <w:hideMark/>
          </w:tcPr>
          <w:p w14:paraId="689D7A0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2,147.9</w:t>
            </w:r>
          </w:p>
        </w:tc>
        <w:tc>
          <w:tcPr>
            <w:tcW w:w="960" w:type="dxa"/>
            <w:tcBorders>
              <w:top w:val="nil"/>
              <w:left w:val="nil"/>
              <w:bottom w:val="nil"/>
              <w:right w:val="nil"/>
            </w:tcBorders>
            <w:shd w:val="clear" w:color="auto" w:fill="auto"/>
            <w:noWrap/>
            <w:vAlign w:val="bottom"/>
            <w:hideMark/>
          </w:tcPr>
          <w:p w14:paraId="7C6074A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130</w:t>
            </w:r>
          </w:p>
        </w:tc>
        <w:tc>
          <w:tcPr>
            <w:tcW w:w="1261" w:type="dxa"/>
            <w:tcBorders>
              <w:top w:val="nil"/>
              <w:left w:val="nil"/>
              <w:bottom w:val="nil"/>
              <w:right w:val="nil"/>
            </w:tcBorders>
            <w:shd w:val="clear" w:color="auto" w:fill="auto"/>
            <w:noWrap/>
            <w:vAlign w:val="bottom"/>
            <w:hideMark/>
          </w:tcPr>
          <w:p w14:paraId="1B68176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5,319.0</w:t>
            </w:r>
          </w:p>
        </w:tc>
        <w:tc>
          <w:tcPr>
            <w:tcW w:w="960" w:type="dxa"/>
            <w:tcBorders>
              <w:top w:val="nil"/>
              <w:left w:val="nil"/>
              <w:bottom w:val="nil"/>
              <w:right w:val="nil"/>
            </w:tcBorders>
            <w:shd w:val="clear" w:color="auto" w:fill="auto"/>
            <w:noWrap/>
            <w:vAlign w:val="bottom"/>
            <w:hideMark/>
          </w:tcPr>
          <w:p w14:paraId="0356206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322</w:t>
            </w:r>
          </w:p>
        </w:tc>
        <w:tc>
          <w:tcPr>
            <w:tcW w:w="1261" w:type="dxa"/>
            <w:tcBorders>
              <w:top w:val="nil"/>
              <w:left w:val="nil"/>
              <w:bottom w:val="nil"/>
              <w:right w:val="nil"/>
            </w:tcBorders>
            <w:shd w:val="clear" w:color="auto" w:fill="auto"/>
            <w:noWrap/>
            <w:vAlign w:val="bottom"/>
            <w:hideMark/>
          </w:tcPr>
          <w:p w14:paraId="1A252D4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3,609.6</w:t>
            </w:r>
          </w:p>
        </w:tc>
        <w:tc>
          <w:tcPr>
            <w:tcW w:w="960" w:type="dxa"/>
            <w:tcBorders>
              <w:top w:val="nil"/>
              <w:left w:val="nil"/>
              <w:bottom w:val="nil"/>
              <w:right w:val="nil"/>
            </w:tcBorders>
            <w:shd w:val="clear" w:color="auto" w:fill="auto"/>
            <w:noWrap/>
            <w:vAlign w:val="bottom"/>
            <w:hideMark/>
          </w:tcPr>
          <w:p w14:paraId="1F463F2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218</w:t>
            </w:r>
          </w:p>
        </w:tc>
      </w:tr>
      <w:tr w:rsidR="00EE4837" w:rsidRPr="007239A6" w14:paraId="6F40504F" w14:textId="77777777" w:rsidTr="00181ACD">
        <w:trPr>
          <w:trHeight w:val="288"/>
        </w:trPr>
        <w:tc>
          <w:tcPr>
            <w:tcW w:w="1586" w:type="dxa"/>
            <w:tcBorders>
              <w:top w:val="nil"/>
              <w:left w:val="nil"/>
              <w:bottom w:val="nil"/>
              <w:right w:val="nil"/>
            </w:tcBorders>
            <w:shd w:val="clear" w:color="auto" w:fill="auto"/>
            <w:noWrap/>
            <w:vAlign w:val="bottom"/>
            <w:hideMark/>
          </w:tcPr>
          <w:p w14:paraId="7D9E4D2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Sharon</w:t>
            </w:r>
          </w:p>
        </w:tc>
        <w:tc>
          <w:tcPr>
            <w:tcW w:w="1261" w:type="dxa"/>
            <w:tcBorders>
              <w:top w:val="nil"/>
              <w:left w:val="nil"/>
              <w:bottom w:val="nil"/>
              <w:right w:val="nil"/>
            </w:tcBorders>
            <w:shd w:val="clear" w:color="auto" w:fill="auto"/>
            <w:noWrap/>
            <w:vAlign w:val="bottom"/>
            <w:hideMark/>
          </w:tcPr>
          <w:p w14:paraId="3D0282C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1,186.4</w:t>
            </w:r>
          </w:p>
        </w:tc>
        <w:tc>
          <w:tcPr>
            <w:tcW w:w="960" w:type="dxa"/>
            <w:tcBorders>
              <w:top w:val="nil"/>
              <w:left w:val="nil"/>
              <w:bottom w:val="nil"/>
              <w:right w:val="nil"/>
            </w:tcBorders>
            <w:shd w:val="clear" w:color="auto" w:fill="auto"/>
            <w:noWrap/>
            <w:vAlign w:val="bottom"/>
            <w:hideMark/>
          </w:tcPr>
          <w:p w14:paraId="245FA30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428</w:t>
            </w:r>
          </w:p>
        </w:tc>
        <w:tc>
          <w:tcPr>
            <w:tcW w:w="1261" w:type="dxa"/>
            <w:tcBorders>
              <w:top w:val="nil"/>
              <w:left w:val="nil"/>
              <w:bottom w:val="nil"/>
              <w:right w:val="nil"/>
            </w:tcBorders>
            <w:shd w:val="clear" w:color="auto" w:fill="auto"/>
            <w:noWrap/>
            <w:vAlign w:val="bottom"/>
            <w:hideMark/>
          </w:tcPr>
          <w:p w14:paraId="03FCEBE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1,224.1</w:t>
            </w:r>
          </w:p>
        </w:tc>
        <w:tc>
          <w:tcPr>
            <w:tcW w:w="960" w:type="dxa"/>
            <w:tcBorders>
              <w:top w:val="nil"/>
              <w:left w:val="nil"/>
              <w:bottom w:val="nil"/>
              <w:right w:val="nil"/>
            </w:tcBorders>
            <w:shd w:val="clear" w:color="auto" w:fill="auto"/>
            <w:noWrap/>
            <w:vAlign w:val="bottom"/>
            <w:hideMark/>
          </w:tcPr>
          <w:p w14:paraId="18F2B98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442</w:t>
            </w:r>
          </w:p>
        </w:tc>
        <w:tc>
          <w:tcPr>
            <w:tcW w:w="1261" w:type="dxa"/>
            <w:tcBorders>
              <w:top w:val="nil"/>
              <w:left w:val="nil"/>
              <w:bottom w:val="nil"/>
              <w:right w:val="nil"/>
            </w:tcBorders>
            <w:shd w:val="clear" w:color="auto" w:fill="auto"/>
            <w:noWrap/>
            <w:vAlign w:val="bottom"/>
            <w:hideMark/>
          </w:tcPr>
          <w:p w14:paraId="32C4949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676.9</w:t>
            </w:r>
          </w:p>
        </w:tc>
        <w:tc>
          <w:tcPr>
            <w:tcW w:w="960" w:type="dxa"/>
            <w:tcBorders>
              <w:top w:val="nil"/>
              <w:left w:val="nil"/>
              <w:bottom w:val="nil"/>
              <w:right w:val="nil"/>
            </w:tcBorders>
            <w:shd w:val="clear" w:color="auto" w:fill="auto"/>
            <w:noWrap/>
            <w:vAlign w:val="bottom"/>
            <w:hideMark/>
          </w:tcPr>
          <w:p w14:paraId="3A8513D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244</w:t>
            </w:r>
          </w:p>
        </w:tc>
        <w:tc>
          <w:tcPr>
            <w:tcW w:w="1261" w:type="dxa"/>
            <w:tcBorders>
              <w:top w:val="nil"/>
              <w:left w:val="nil"/>
              <w:bottom w:val="nil"/>
              <w:right w:val="nil"/>
            </w:tcBorders>
            <w:shd w:val="clear" w:color="auto" w:fill="auto"/>
            <w:noWrap/>
            <w:vAlign w:val="bottom"/>
            <w:hideMark/>
          </w:tcPr>
          <w:p w14:paraId="1E56CE5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515.0</w:t>
            </w:r>
          </w:p>
        </w:tc>
        <w:tc>
          <w:tcPr>
            <w:tcW w:w="960" w:type="dxa"/>
            <w:tcBorders>
              <w:top w:val="nil"/>
              <w:left w:val="nil"/>
              <w:bottom w:val="nil"/>
              <w:right w:val="nil"/>
            </w:tcBorders>
            <w:shd w:val="clear" w:color="auto" w:fill="auto"/>
            <w:noWrap/>
            <w:vAlign w:val="bottom"/>
            <w:hideMark/>
          </w:tcPr>
          <w:p w14:paraId="0335972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186</w:t>
            </w:r>
          </w:p>
        </w:tc>
        <w:tc>
          <w:tcPr>
            <w:tcW w:w="1261" w:type="dxa"/>
            <w:tcBorders>
              <w:top w:val="nil"/>
              <w:left w:val="nil"/>
              <w:bottom w:val="nil"/>
              <w:right w:val="nil"/>
            </w:tcBorders>
            <w:shd w:val="clear" w:color="auto" w:fill="auto"/>
            <w:noWrap/>
            <w:vAlign w:val="bottom"/>
            <w:hideMark/>
          </w:tcPr>
          <w:p w14:paraId="39F5511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630.1</w:t>
            </w:r>
          </w:p>
        </w:tc>
        <w:tc>
          <w:tcPr>
            <w:tcW w:w="960" w:type="dxa"/>
            <w:tcBorders>
              <w:top w:val="nil"/>
              <w:left w:val="nil"/>
              <w:bottom w:val="nil"/>
              <w:right w:val="nil"/>
            </w:tcBorders>
            <w:shd w:val="clear" w:color="auto" w:fill="auto"/>
            <w:noWrap/>
            <w:vAlign w:val="bottom"/>
            <w:hideMark/>
          </w:tcPr>
          <w:p w14:paraId="1334E4F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228</w:t>
            </w:r>
          </w:p>
        </w:tc>
      </w:tr>
      <w:tr w:rsidR="00EE4837" w:rsidRPr="007239A6" w14:paraId="5D0203BE" w14:textId="77777777" w:rsidTr="00181ACD">
        <w:trPr>
          <w:trHeight w:val="288"/>
        </w:trPr>
        <w:tc>
          <w:tcPr>
            <w:tcW w:w="1586" w:type="dxa"/>
            <w:tcBorders>
              <w:top w:val="nil"/>
              <w:left w:val="nil"/>
              <w:bottom w:val="nil"/>
              <w:right w:val="nil"/>
            </w:tcBorders>
            <w:shd w:val="clear" w:color="auto" w:fill="auto"/>
            <w:noWrap/>
            <w:vAlign w:val="bottom"/>
            <w:hideMark/>
          </w:tcPr>
          <w:p w14:paraId="1155E794"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Shelton</w:t>
            </w:r>
          </w:p>
        </w:tc>
        <w:tc>
          <w:tcPr>
            <w:tcW w:w="1261" w:type="dxa"/>
            <w:tcBorders>
              <w:top w:val="nil"/>
              <w:left w:val="nil"/>
              <w:bottom w:val="nil"/>
              <w:right w:val="nil"/>
            </w:tcBorders>
            <w:shd w:val="clear" w:color="auto" w:fill="auto"/>
            <w:noWrap/>
            <w:vAlign w:val="bottom"/>
            <w:hideMark/>
          </w:tcPr>
          <w:p w14:paraId="27A1DC6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10,997.5</w:t>
            </w:r>
          </w:p>
        </w:tc>
        <w:tc>
          <w:tcPr>
            <w:tcW w:w="960" w:type="dxa"/>
            <w:tcBorders>
              <w:top w:val="nil"/>
              <w:left w:val="nil"/>
              <w:bottom w:val="nil"/>
              <w:right w:val="nil"/>
            </w:tcBorders>
            <w:shd w:val="clear" w:color="auto" w:fill="auto"/>
            <w:noWrap/>
            <w:vAlign w:val="bottom"/>
            <w:hideMark/>
          </w:tcPr>
          <w:p w14:paraId="07921C4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275</w:t>
            </w:r>
          </w:p>
        </w:tc>
        <w:tc>
          <w:tcPr>
            <w:tcW w:w="1261" w:type="dxa"/>
            <w:tcBorders>
              <w:top w:val="nil"/>
              <w:left w:val="nil"/>
              <w:bottom w:val="nil"/>
              <w:right w:val="nil"/>
            </w:tcBorders>
            <w:shd w:val="clear" w:color="auto" w:fill="auto"/>
            <w:noWrap/>
            <w:vAlign w:val="bottom"/>
            <w:hideMark/>
          </w:tcPr>
          <w:p w14:paraId="0B5307F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11,132.0</w:t>
            </w:r>
          </w:p>
        </w:tc>
        <w:tc>
          <w:tcPr>
            <w:tcW w:w="960" w:type="dxa"/>
            <w:tcBorders>
              <w:top w:val="nil"/>
              <w:left w:val="nil"/>
              <w:bottom w:val="nil"/>
              <w:right w:val="nil"/>
            </w:tcBorders>
            <w:shd w:val="clear" w:color="auto" w:fill="auto"/>
            <w:noWrap/>
            <w:vAlign w:val="bottom"/>
            <w:hideMark/>
          </w:tcPr>
          <w:p w14:paraId="0B64549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278</w:t>
            </w:r>
          </w:p>
        </w:tc>
        <w:tc>
          <w:tcPr>
            <w:tcW w:w="1261" w:type="dxa"/>
            <w:tcBorders>
              <w:top w:val="nil"/>
              <w:left w:val="nil"/>
              <w:bottom w:val="nil"/>
              <w:right w:val="nil"/>
            </w:tcBorders>
            <w:shd w:val="clear" w:color="auto" w:fill="auto"/>
            <w:noWrap/>
            <w:vAlign w:val="bottom"/>
            <w:hideMark/>
          </w:tcPr>
          <w:p w14:paraId="230EB70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20,739.6</w:t>
            </w:r>
          </w:p>
        </w:tc>
        <w:tc>
          <w:tcPr>
            <w:tcW w:w="960" w:type="dxa"/>
            <w:tcBorders>
              <w:top w:val="nil"/>
              <w:left w:val="nil"/>
              <w:bottom w:val="nil"/>
              <w:right w:val="nil"/>
            </w:tcBorders>
            <w:shd w:val="clear" w:color="auto" w:fill="auto"/>
            <w:noWrap/>
            <w:vAlign w:val="bottom"/>
            <w:hideMark/>
          </w:tcPr>
          <w:p w14:paraId="0690063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518</w:t>
            </w:r>
          </w:p>
        </w:tc>
        <w:tc>
          <w:tcPr>
            <w:tcW w:w="1261" w:type="dxa"/>
            <w:tcBorders>
              <w:top w:val="nil"/>
              <w:left w:val="nil"/>
              <w:bottom w:val="nil"/>
              <w:right w:val="nil"/>
            </w:tcBorders>
            <w:shd w:val="clear" w:color="auto" w:fill="auto"/>
            <w:noWrap/>
            <w:vAlign w:val="bottom"/>
            <w:hideMark/>
          </w:tcPr>
          <w:p w14:paraId="5E4A7BA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14,345.0</w:t>
            </w:r>
          </w:p>
        </w:tc>
        <w:tc>
          <w:tcPr>
            <w:tcW w:w="960" w:type="dxa"/>
            <w:tcBorders>
              <w:top w:val="nil"/>
              <w:left w:val="nil"/>
              <w:bottom w:val="nil"/>
              <w:right w:val="nil"/>
            </w:tcBorders>
            <w:shd w:val="clear" w:color="auto" w:fill="auto"/>
            <w:noWrap/>
            <w:vAlign w:val="bottom"/>
            <w:hideMark/>
          </w:tcPr>
          <w:p w14:paraId="6A76F7E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359</w:t>
            </w:r>
          </w:p>
        </w:tc>
        <w:tc>
          <w:tcPr>
            <w:tcW w:w="1261" w:type="dxa"/>
            <w:tcBorders>
              <w:top w:val="nil"/>
              <w:left w:val="nil"/>
              <w:bottom w:val="nil"/>
              <w:right w:val="nil"/>
            </w:tcBorders>
            <w:shd w:val="clear" w:color="auto" w:fill="auto"/>
            <w:noWrap/>
            <w:vAlign w:val="bottom"/>
            <w:hideMark/>
          </w:tcPr>
          <w:p w14:paraId="71106BB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17,849.9</w:t>
            </w:r>
          </w:p>
        </w:tc>
        <w:tc>
          <w:tcPr>
            <w:tcW w:w="960" w:type="dxa"/>
            <w:tcBorders>
              <w:top w:val="nil"/>
              <w:left w:val="nil"/>
              <w:bottom w:val="nil"/>
              <w:right w:val="nil"/>
            </w:tcBorders>
            <w:shd w:val="clear" w:color="auto" w:fill="auto"/>
            <w:noWrap/>
            <w:vAlign w:val="bottom"/>
            <w:hideMark/>
          </w:tcPr>
          <w:p w14:paraId="1E0265A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446</w:t>
            </w:r>
          </w:p>
        </w:tc>
      </w:tr>
      <w:tr w:rsidR="00EE4837" w:rsidRPr="007239A6" w14:paraId="28695A27" w14:textId="77777777" w:rsidTr="00181ACD">
        <w:trPr>
          <w:trHeight w:val="288"/>
        </w:trPr>
        <w:tc>
          <w:tcPr>
            <w:tcW w:w="1586" w:type="dxa"/>
            <w:tcBorders>
              <w:top w:val="nil"/>
              <w:left w:val="nil"/>
              <w:bottom w:val="nil"/>
              <w:right w:val="nil"/>
            </w:tcBorders>
            <w:shd w:val="clear" w:color="auto" w:fill="auto"/>
            <w:noWrap/>
            <w:vAlign w:val="bottom"/>
            <w:hideMark/>
          </w:tcPr>
          <w:p w14:paraId="31566E96"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Sherman</w:t>
            </w:r>
          </w:p>
        </w:tc>
        <w:tc>
          <w:tcPr>
            <w:tcW w:w="1261" w:type="dxa"/>
            <w:tcBorders>
              <w:top w:val="nil"/>
              <w:left w:val="nil"/>
              <w:bottom w:val="nil"/>
              <w:right w:val="nil"/>
            </w:tcBorders>
            <w:shd w:val="clear" w:color="auto" w:fill="auto"/>
            <w:noWrap/>
            <w:vAlign w:val="bottom"/>
            <w:hideMark/>
          </w:tcPr>
          <w:p w14:paraId="5BDD2CC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1,305.9</w:t>
            </w:r>
          </w:p>
        </w:tc>
        <w:tc>
          <w:tcPr>
            <w:tcW w:w="960" w:type="dxa"/>
            <w:tcBorders>
              <w:top w:val="nil"/>
              <w:left w:val="nil"/>
              <w:bottom w:val="nil"/>
              <w:right w:val="nil"/>
            </w:tcBorders>
            <w:shd w:val="clear" w:color="auto" w:fill="auto"/>
            <w:noWrap/>
            <w:vAlign w:val="bottom"/>
            <w:hideMark/>
          </w:tcPr>
          <w:p w14:paraId="4F0CE38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360</w:t>
            </w:r>
          </w:p>
        </w:tc>
        <w:tc>
          <w:tcPr>
            <w:tcW w:w="1261" w:type="dxa"/>
            <w:tcBorders>
              <w:top w:val="nil"/>
              <w:left w:val="nil"/>
              <w:bottom w:val="nil"/>
              <w:right w:val="nil"/>
            </w:tcBorders>
            <w:shd w:val="clear" w:color="auto" w:fill="auto"/>
            <w:noWrap/>
            <w:vAlign w:val="bottom"/>
            <w:hideMark/>
          </w:tcPr>
          <w:p w14:paraId="3C80B1B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1,103.7</w:t>
            </w:r>
          </w:p>
        </w:tc>
        <w:tc>
          <w:tcPr>
            <w:tcW w:w="960" w:type="dxa"/>
            <w:tcBorders>
              <w:top w:val="nil"/>
              <w:left w:val="nil"/>
              <w:bottom w:val="nil"/>
              <w:right w:val="nil"/>
            </w:tcBorders>
            <w:shd w:val="clear" w:color="auto" w:fill="auto"/>
            <w:noWrap/>
            <w:vAlign w:val="bottom"/>
            <w:hideMark/>
          </w:tcPr>
          <w:p w14:paraId="302DA75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304</w:t>
            </w:r>
          </w:p>
        </w:tc>
        <w:tc>
          <w:tcPr>
            <w:tcW w:w="1261" w:type="dxa"/>
            <w:tcBorders>
              <w:top w:val="nil"/>
              <w:left w:val="nil"/>
              <w:bottom w:val="nil"/>
              <w:right w:val="nil"/>
            </w:tcBorders>
            <w:shd w:val="clear" w:color="auto" w:fill="auto"/>
            <w:noWrap/>
            <w:vAlign w:val="bottom"/>
            <w:hideMark/>
          </w:tcPr>
          <w:p w14:paraId="627AB9B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199.0</w:t>
            </w:r>
          </w:p>
        </w:tc>
        <w:tc>
          <w:tcPr>
            <w:tcW w:w="960" w:type="dxa"/>
            <w:tcBorders>
              <w:top w:val="nil"/>
              <w:left w:val="nil"/>
              <w:bottom w:val="nil"/>
              <w:right w:val="nil"/>
            </w:tcBorders>
            <w:shd w:val="clear" w:color="auto" w:fill="auto"/>
            <w:noWrap/>
            <w:vAlign w:val="bottom"/>
            <w:hideMark/>
          </w:tcPr>
          <w:p w14:paraId="1933389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55</w:t>
            </w:r>
          </w:p>
        </w:tc>
        <w:tc>
          <w:tcPr>
            <w:tcW w:w="1261" w:type="dxa"/>
            <w:tcBorders>
              <w:top w:val="nil"/>
              <w:left w:val="nil"/>
              <w:bottom w:val="nil"/>
              <w:right w:val="nil"/>
            </w:tcBorders>
            <w:shd w:val="clear" w:color="auto" w:fill="auto"/>
            <w:noWrap/>
            <w:vAlign w:val="bottom"/>
            <w:hideMark/>
          </w:tcPr>
          <w:p w14:paraId="5D0D9DB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917.2</w:t>
            </w:r>
          </w:p>
        </w:tc>
        <w:tc>
          <w:tcPr>
            <w:tcW w:w="960" w:type="dxa"/>
            <w:tcBorders>
              <w:top w:val="nil"/>
              <w:left w:val="nil"/>
              <w:bottom w:val="nil"/>
              <w:right w:val="nil"/>
            </w:tcBorders>
            <w:shd w:val="clear" w:color="auto" w:fill="auto"/>
            <w:noWrap/>
            <w:vAlign w:val="bottom"/>
            <w:hideMark/>
          </w:tcPr>
          <w:p w14:paraId="6E675DA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253</w:t>
            </w:r>
          </w:p>
        </w:tc>
        <w:tc>
          <w:tcPr>
            <w:tcW w:w="1261" w:type="dxa"/>
            <w:tcBorders>
              <w:top w:val="nil"/>
              <w:left w:val="nil"/>
              <w:bottom w:val="nil"/>
              <w:right w:val="nil"/>
            </w:tcBorders>
            <w:shd w:val="clear" w:color="auto" w:fill="auto"/>
            <w:noWrap/>
            <w:vAlign w:val="bottom"/>
            <w:hideMark/>
          </w:tcPr>
          <w:p w14:paraId="0E818F8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537.5</w:t>
            </w:r>
          </w:p>
        </w:tc>
        <w:tc>
          <w:tcPr>
            <w:tcW w:w="960" w:type="dxa"/>
            <w:tcBorders>
              <w:top w:val="nil"/>
              <w:left w:val="nil"/>
              <w:bottom w:val="nil"/>
              <w:right w:val="nil"/>
            </w:tcBorders>
            <w:shd w:val="clear" w:color="auto" w:fill="auto"/>
            <w:noWrap/>
            <w:vAlign w:val="bottom"/>
            <w:hideMark/>
          </w:tcPr>
          <w:p w14:paraId="1B6C64F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148</w:t>
            </w:r>
          </w:p>
        </w:tc>
      </w:tr>
      <w:tr w:rsidR="00EE4837" w:rsidRPr="007239A6" w14:paraId="216C04CB" w14:textId="77777777" w:rsidTr="00181ACD">
        <w:trPr>
          <w:trHeight w:val="288"/>
        </w:trPr>
        <w:tc>
          <w:tcPr>
            <w:tcW w:w="1586" w:type="dxa"/>
            <w:tcBorders>
              <w:top w:val="nil"/>
              <w:left w:val="nil"/>
              <w:bottom w:val="nil"/>
              <w:right w:val="nil"/>
            </w:tcBorders>
            <w:shd w:val="clear" w:color="auto" w:fill="auto"/>
            <w:noWrap/>
            <w:vAlign w:val="bottom"/>
            <w:hideMark/>
          </w:tcPr>
          <w:p w14:paraId="6CB4538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Simsbury</w:t>
            </w:r>
          </w:p>
        </w:tc>
        <w:tc>
          <w:tcPr>
            <w:tcW w:w="1261" w:type="dxa"/>
            <w:tcBorders>
              <w:top w:val="nil"/>
              <w:left w:val="nil"/>
              <w:bottom w:val="nil"/>
              <w:right w:val="nil"/>
            </w:tcBorders>
            <w:shd w:val="clear" w:color="auto" w:fill="auto"/>
            <w:noWrap/>
            <w:vAlign w:val="bottom"/>
            <w:hideMark/>
          </w:tcPr>
          <w:p w14:paraId="5CF50ED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11,022.6</w:t>
            </w:r>
          </w:p>
        </w:tc>
        <w:tc>
          <w:tcPr>
            <w:tcW w:w="960" w:type="dxa"/>
            <w:tcBorders>
              <w:top w:val="nil"/>
              <w:left w:val="nil"/>
              <w:bottom w:val="nil"/>
              <w:right w:val="nil"/>
            </w:tcBorders>
            <w:shd w:val="clear" w:color="auto" w:fill="auto"/>
            <w:noWrap/>
            <w:vAlign w:val="bottom"/>
            <w:hideMark/>
          </w:tcPr>
          <w:p w14:paraId="40478CA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467</w:t>
            </w:r>
          </w:p>
        </w:tc>
        <w:tc>
          <w:tcPr>
            <w:tcW w:w="1261" w:type="dxa"/>
            <w:tcBorders>
              <w:top w:val="nil"/>
              <w:left w:val="nil"/>
              <w:bottom w:val="nil"/>
              <w:right w:val="nil"/>
            </w:tcBorders>
            <w:shd w:val="clear" w:color="auto" w:fill="auto"/>
            <w:noWrap/>
            <w:vAlign w:val="bottom"/>
            <w:hideMark/>
          </w:tcPr>
          <w:p w14:paraId="13EB92C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13,319.5</w:t>
            </w:r>
          </w:p>
        </w:tc>
        <w:tc>
          <w:tcPr>
            <w:tcW w:w="960" w:type="dxa"/>
            <w:tcBorders>
              <w:top w:val="nil"/>
              <w:left w:val="nil"/>
              <w:bottom w:val="nil"/>
              <w:right w:val="nil"/>
            </w:tcBorders>
            <w:shd w:val="clear" w:color="auto" w:fill="auto"/>
            <w:noWrap/>
            <w:vAlign w:val="bottom"/>
            <w:hideMark/>
          </w:tcPr>
          <w:p w14:paraId="4F6A80E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565</w:t>
            </w:r>
          </w:p>
        </w:tc>
        <w:tc>
          <w:tcPr>
            <w:tcW w:w="1261" w:type="dxa"/>
            <w:tcBorders>
              <w:top w:val="nil"/>
              <w:left w:val="nil"/>
              <w:bottom w:val="nil"/>
              <w:right w:val="nil"/>
            </w:tcBorders>
            <w:shd w:val="clear" w:color="auto" w:fill="auto"/>
            <w:noWrap/>
            <w:vAlign w:val="bottom"/>
            <w:hideMark/>
          </w:tcPr>
          <w:p w14:paraId="43E123D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7,416.7</w:t>
            </w:r>
          </w:p>
        </w:tc>
        <w:tc>
          <w:tcPr>
            <w:tcW w:w="960" w:type="dxa"/>
            <w:tcBorders>
              <w:top w:val="nil"/>
              <w:left w:val="nil"/>
              <w:bottom w:val="nil"/>
              <w:right w:val="nil"/>
            </w:tcBorders>
            <w:shd w:val="clear" w:color="auto" w:fill="auto"/>
            <w:noWrap/>
            <w:vAlign w:val="bottom"/>
            <w:hideMark/>
          </w:tcPr>
          <w:p w14:paraId="2F28F93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314</w:t>
            </w:r>
          </w:p>
        </w:tc>
        <w:tc>
          <w:tcPr>
            <w:tcW w:w="1261" w:type="dxa"/>
            <w:tcBorders>
              <w:top w:val="nil"/>
              <w:left w:val="nil"/>
              <w:bottom w:val="nil"/>
              <w:right w:val="nil"/>
            </w:tcBorders>
            <w:shd w:val="clear" w:color="auto" w:fill="auto"/>
            <w:noWrap/>
            <w:vAlign w:val="bottom"/>
            <w:hideMark/>
          </w:tcPr>
          <w:p w14:paraId="51ECEA4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13,515.6</w:t>
            </w:r>
          </w:p>
        </w:tc>
        <w:tc>
          <w:tcPr>
            <w:tcW w:w="960" w:type="dxa"/>
            <w:tcBorders>
              <w:top w:val="nil"/>
              <w:left w:val="nil"/>
              <w:bottom w:val="nil"/>
              <w:right w:val="nil"/>
            </w:tcBorders>
            <w:shd w:val="clear" w:color="auto" w:fill="auto"/>
            <w:noWrap/>
            <w:vAlign w:val="bottom"/>
            <w:hideMark/>
          </w:tcPr>
          <w:p w14:paraId="08E55E7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573</w:t>
            </w:r>
          </w:p>
        </w:tc>
        <w:tc>
          <w:tcPr>
            <w:tcW w:w="1261" w:type="dxa"/>
            <w:tcBorders>
              <w:top w:val="nil"/>
              <w:left w:val="nil"/>
              <w:bottom w:val="nil"/>
              <w:right w:val="nil"/>
            </w:tcBorders>
            <w:shd w:val="clear" w:color="auto" w:fill="auto"/>
            <w:noWrap/>
            <w:vAlign w:val="bottom"/>
            <w:hideMark/>
          </w:tcPr>
          <w:p w14:paraId="6265FAE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10,241.2</w:t>
            </w:r>
          </w:p>
        </w:tc>
        <w:tc>
          <w:tcPr>
            <w:tcW w:w="960" w:type="dxa"/>
            <w:tcBorders>
              <w:top w:val="nil"/>
              <w:left w:val="nil"/>
              <w:bottom w:val="nil"/>
              <w:right w:val="nil"/>
            </w:tcBorders>
            <w:shd w:val="clear" w:color="auto" w:fill="auto"/>
            <w:noWrap/>
            <w:vAlign w:val="bottom"/>
            <w:hideMark/>
          </w:tcPr>
          <w:p w14:paraId="7D5783E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434</w:t>
            </w:r>
          </w:p>
        </w:tc>
      </w:tr>
      <w:tr w:rsidR="00EE4837" w:rsidRPr="007239A6" w14:paraId="0557B076" w14:textId="77777777" w:rsidTr="00181ACD">
        <w:trPr>
          <w:trHeight w:val="288"/>
        </w:trPr>
        <w:tc>
          <w:tcPr>
            <w:tcW w:w="1586" w:type="dxa"/>
            <w:tcBorders>
              <w:top w:val="nil"/>
              <w:left w:val="nil"/>
              <w:bottom w:val="nil"/>
              <w:right w:val="nil"/>
            </w:tcBorders>
            <w:shd w:val="clear" w:color="auto" w:fill="auto"/>
            <w:noWrap/>
            <w:vAlign w:val="bottom"/>
            <w:hideMark/>
          </w:tcPr>
          <w:p w14:paraId="4800AB80"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Somers</w:t>
            </w:r>
          </w:p>
        </w:tc>
        <w:tc>
          <w:tcPr>
            <w:tcW w:w="1261" w:type="dxa"/>
            <w:tcBorders>
              <w:top w:val="nil"/>
              <w:left w:val="nil"/>
              <w:bottom w:val="nil"/>
              <w:right w:val="nil"/>
            </w:tcBorders>
            <w:shd w:val="clear" w:color="auto" w:fill="auto"/>
            <w:noWrap/>
            <w:vAlign w:val="bottom"/>
            <w:hideMark/>
          </w:tcPr>
          <w:p w14:paraId="5CC0197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3,134.7</w:t>
            </w:r>
          </w:p>
        </w:tc>
        <w:tc>
          <w:tcPr>
            <w:tcW w:w="960" w:type="dxa"/>
            <w:tcBorders>
              <w:top w:val="nil"/>
              <w:left w:val="nil"/>
              <w:bottom w:val="nil"/>
              <w:right w:val="nil"/>
            </w:tcBorders>
            <w:shd w:val="clear" w:color="auto" w:fill="auto"/>
            <w:noWrap/>
            <w:vAlign w:val="bottom"/>
            <w:hideMark/>
          </w:tcPr>
          <w:p w14:paraId="509E3E3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274</w:t>
            </w:r>
          </w:p>
        </w:tc>
        <w:tc>
          <w:tcPr>
            <w:tcW w:w="1261" w:type="dxa"/>
            <w:tcBorders>
              <w:top w:val="nil"/>
              <w:left w:val="nil"/>
              <w:bottom w:val="nil"/>
              <w:right w:val="nil"/>
            </w:tcBorders>
            <w:shd w:val="clear" w:color="auto" w:fill="auto"/>
            <w:noWrap/>
            <w:vAlign w:val="bottom"/>
            <w:hideMark/>
          </w:tcPr>
          <w:p w14:paraId="61C5256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2,944.6</w:t>
            </w:r>
          </w:p>
        </w:tc>
        <w:tc>
          <w:tcPr>
            <w:tcW w:w="960" w:type="dxa"/>
            <w:tcBorders>
              <w:top w:val="nil"/>
              <w:left w:val="nil"/>
              <w:bottom w:val="nil"/>
              <w:right w:val="nil"/>
            </w:tcBorders>
            <w:shd w:val="clear" w:color="auto" w:fill="auto"/>
            <w:noWrap/>
            <w:vAlign w:val="bottom"/>
            <w:hideMark/>
          </w:tcPr>
          <w:p w14:paraId="633902C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257</w:t>
            </w:r>
          </w:p>
        </w:tc>
        <w:tc>
          <w:tcPr>
            <w:tcW w:w="1261" w:type="dxa"/>
            <w:tcBorders>
              <w:top w:val="nil"/>
              <w:left w:val="nil"/>
              <w:bottom w:val="nil"/>
              <w:right w:val="nil"/>
            </w:tcBorders>
            <w:shd w:val="clear" w:color="auto" w:fill="auto"/>
            <w:noWrap/>
            <w:vAlign w:val="bottom"/>
            <w:hideMark/>
          </w:tcPr>
          <w:p w14:paraId="1D2CCA7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1,356.4</w:t>
            </w:r>
          </w:p>
        </w:tc>
        <w:tc>
          <w:tcPr>
            <w:tcW w:w="960" w:type="dxa"/>
            <w:tcBorders>
              <w:top w:val="nil"/>
              <w:left w:val="nil"/>
              <w:bottom w:val="nil"/>
              <w:right w:val="nil"/>
            </w:tcBorders>
            <w:shd w:val="clear" w:color="auto" w:fill="auto"/>
            <w:noWrap/>
            <w:vAlign w:val="bottom"/>
            <w:hideMark/>
          </w:tcPr>
          <w:p w14:paraId="5A5FEAD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118</w:t>
            </w:r>
          </w:p>
        </w:tc>
        <w:tc>
          <w:tcPr>
            <w:tcW w:w="1261" w:type="dxa"/>
            <w:tcBorders>
              <w:top w:val="nil"/>
              <w:left w:val="nil"/>
              <w:bottom w:val="nil"/>
              <w:right w:val="nil"/>
            </w:tcBorders>
            <w:shd w:val="clear" w:color="auto" w:fill="auto"/>
            <w:noWrap/>
            <w:vAlign w:val="bottom"/>
            <w:hideMark/>
          </w:tcPr>
          <w:p w14:paraId="2CC1B32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2,931.2</w:t>
            </w:r>
          </w:p>
        </w:tc>
        <w:tc>
          <w:tcPr>
            <w:tcW w:w="960" w:type="dxa"/>
            <w:tcBorders>
              <w:top w:val="nil"/>
              <w:left w:val="nil"/>
              <w:bottom w:val="nil"/>
              <w:right w:val="nil"/>
            </w:tcBorders>
            <w:shd w:val="clear" w:color="auto" w:fill="auto"/>
            <w:noWrap/>
            <w:vAlign w:val="bottom"/>
            <w:hideMark/>
          </w:tcPr>
          <w:p w14:paraId="1E0349C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256</w:t>
            </w:r>
          </w:p>
        </w:tc>
        <w:tc>
          <w:tcPr>
            <w:tcW w:w="1261" w:type="dxa"/>
            <w:tcBorders>
              <w:top w:val="nil"/>
              <w:left w:val="nil"/>
              <w:bottom w:val="nil"/>
              <w:right w:val="nil"/>
            </w:tcBorders>
            <w:shd w:val="clear" w:color="auto" w:fill="auto"/>
            <w:noWrap/>
            <w:vAlign w:val="bottom"/>
            <w:hideMark/>
          </w:tcPr>
          <w:p w14:paraId="7F31D98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2,111.1</w:t>
            </w:r>
          </w:p>
        </w:tc>
        <w:tc>
          <w:tcPr>
            <w:tcW w:w="960" w:type="dxa"/>
            <w:tcBorders>
              <w:top w:val="nil"/>
              <w:left w:val="nil"/>
              <w:bottom w:val="nil"/>
              <w:right w:val="nil"/>
            </w:tcBorders>
            <w:shd w:val="clear" w:color="auto" w:fill="auto"/>
            <w:noWrap/>
            <w:vAlign w:val="bottom"/>
            <w:hideMark/>
          </w:tcPr>
          <w:p w14:paraId="36736E3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184</w:t>
            </w:r>
          </w:p>
        </w:tc>
      </w:tr>
      <w:tr w:rsidR="00EE4837" w:rsidRPr="007239A6" w14:paraId="696A4A43" w14:textId="77777777" w:rsidTr="00181ACD">
        <w:trPr>
          <w:trHeight w:val="288"/>
        </w:trPr>
        <w:tc>
          <w:tcPr>
            <w:tcW w:w="1586" w:type="dxa"/>
            <w:tcBorders>
              <w:top w:val="nil"/>
              <w:left w:val="nil"/>
              <w:bottom w:val="nil"/>
              <w:right w:val="nil"/>
            </w:tcBorders>
            <w:shd w:val="clear" w:color="auto" w:fill="auto"/>
            <w:noWrap/>
            <w:vAlign w:val="bottom"/>
            <w:hideMark/>
          </w:tcPr>
          <w:p w14:paraId="1019641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South Windsor</w:t>
            </w:r>
          </w:p>
        </w:tc>
        <w:tc>
          <w:tcPr>
            <w:tcW w:w="1261" w:type="dxa"/>
            <w:tcBorders>
              <w:top w:val="nil"/>
              <w:left w:val="nil"/>
              <w:bottom w:val="nil"/>
              <w:right w:val="nil"/>
            </w:tcBorders>
            <w:shd w:val="clear" w:color="auto" w:fill="auto"/>
            <w:noWrap/>
            <w:vAlign w:val="bottom"/>
            <w:hideMark/>
          </w:tcPr>
          <w:p w14:paraId="39220CF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8,116.2</w:t>
            </w:r>
          </w:p>
        </w:tc>
        <w:tc>
          <w:tcPr>
            <w:tcW w:w="960" w:type="dxa"/>
            <w:tcBorders>
              <w:top w:val="nil"/>
              <w:left w:val="nil"/>
              <w:bottom w:val="nil"/>
              <w:right w:val="nil"/>
            </w:tcBorders>
            <w:shd w:val="clear" w:color="auto" w:fill="auto"/>
            <w:noWrap/>
            <w:vAlign w:val="bottom"/>
            <w:hideMark/>
          </w:tcPr>
          <w:p w14:paraId="6A59340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315</w:t>
            </w:r>
          </w:p>
        </w:tc>
        <w:tc>
          <w:tcPr>
            <w:tcW w:w="1261" w:type="dxa"/>
            <w:tcBorders>
              <w:top w:val="nil"/>
              <w:left w:val="nil"/>
              <w:bottom w:val="nil"/>
              <w:right w:val="nil"/>
            </w:tcBorders>
            <w:shd w:val="clear" w:color="auto" w:fill="auto"/>
            <w:noWrap/>
            <w:vAlign w:val="bottom"/>
            <w:hideMark/>
          </w:tcPr>
          <w:p w14:paraId="7B2ED75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8,732.5</w:t>
            </w:r>
          </w:p>
        </w:tc>
        <w:tc>
          <w:tcPr>
            <w:tcW w:w="960" w:type="dxa"/>
            <w:tcBorders>
              <w:top w:val="nil"/>
              <w:left w:val="nil"/>
              <w:bottom w:val="nil"/>
              <w:right w:val="nil"/>
            </w:tcBorders>
            <w:shd w:val="clear" w:color="auto" w:fill="auto"/>
            <w:noWrap/>
            <w:vAlign w:val="bottom"/>
            <w:hideMark/>
          </w:tcPr>
          <w:p w14:paraId="4F0952F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339</w:t>
            </w:r>
          </w:p>
        </w:tc>
        <w:tc>
          <w:tcPr>
            <w:tcW w:w="1261" w:type="dxa"/>
            <w:tcBorders>
              <w:top w:val="nil"/>
              <w:left w:val="nil"/>
              <w:bottom w:val="nil"/>
              <w:right w:val="nil"/>
            </w:tcBorders>
            <w:shd w:val="clear" w:color="auto" w:fill="auto"/>
            <w:noWrap/>
            <w:vAlign w:val="bottom"/>
            <w:hideMark/>
          </w:tcPr>
          <w:p w14:paraId="33C1C14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6,752.9</w:t>
            </w:r>
          </w:p>
        </w:tc>
        <w:tc>
          <w:tcPr>
            <w:tcW w:w="960" w:type="dxa"/>
            <w:tcBorders>
              <w:top w:val="nil"/>
              <w:left w:val="nil"/>
              <w:bottom w:val="nil"/>
              <w:right w:val="nil"/>
            </w:tcBorders>
            <w:shd w:val="clear" w:color="auto" w:fill="auto"/>
            <w:noWrap/>
            <w:vAlign w:val="bottom"/>
            <w:hideMark/>
          </w:tcPr>
          <w:p w14:paraId="2B21777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262</w:t>
            </w:r>
          </w:p>
        </w:tc>
        <w:tc>
          <w:tcPr>
            <w:tcW w:w="1261" w:type="dxa"/>
            <w:tcBorders>
              <w:top w:val="nil"/>
              <w:left w:val="nil"/>
              <w:bottom w:val="nil"/>
              <w:right w:val="nil"/>
            </w:tcBorders>
            <w:shd w:val="clear" w:color="auto" w:fill="auto"/>
            <w:noWrap/>
            <w:vAlign w:val="bottom"/>
            <w:hideMark/>
          </w:tcPr>
          <w:p w14:paraId="3DF02D6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10,475.1</w:t>
            </w:r>
          </w:p>
        </w:tc>
        <w:tc>
          <w:tcPr>
            <w:tcW w:w="960" w:type="dxa"/>
            <w:tcBorders>
              <w:top w:val="nil"/>
              <w:left w:val="nil"/>
              <w:bottom w:val="nil"/>
              <w:right w:val="nil"/>
            </w:tcBorders>
            <w:shd w:val="clear" w:color="auto" w:fill="auto"/>
            <w:noWrap/>
            <w:vAlign w:val="bottom"/>
            <w:hideMark/>
          </w:tcPr>
          <w:p w14:paraId="420A8BD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407</w:t>
            </w:r>
          </w:p>
        </w:tc>
        <w:tc>
          <w:tcPr>
            <w:tcW w:w="1261" w:type="dxa"/>
            <w:tcBorders>
              <w:top w:val="nil"/>
              <w:left w:val="nil"/>
              <w:bottom w:val="nil"/>
              <w:right w:val="nil"/>
            </w:tcBorders>
            <w:shd w:val="clear" w:color="auto" w:fill="auto"/>
            <w:noWrap/>
            <w:vAlign w:val="bottom"/>
            <w:hideMark/>
          </w:tcPr>
          <w:p w14:paraId="29A4165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8,516.4</w:t>
            </w:r>
          </w:p>
        </w:tc>
        <w:tc>
          <w:tcPr>
            <w:tcW w:w="960" w:type="dxa"/>
            <w:tcBorders>
              <w:top w:val="nil"/>
              <w:left w:val="nil"/>
              <w:bottom w:val="nil"/>
              <w:right w:val="nil"/>
            </w:tcBorders>
            <w:shd w:val="clear" w:color="auto" w:fill="auto"/>
            <w:noWrap/>
            <w:vAlign w:val="bottom"/>
            <w:hideMark/>
          </w:tcPr>
          <w:p w14:paraId="16F8FF6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331</w:t>
            </w:r>
          </w:p>
        </w:tc>
      </w:tr>
      <w:tr w:rsidR="00EE4837" w:rsidRPr="007239A6" w14:paraId="28AD4829" w14:textId="77777777" w:rsidTr="00181ACD">
        <w:trPr>
          <w:trHeight w:val="288"/>
        </w:trPr>
        <w:tc>
          <w:tcPr>
            <w:tcW w:w="1586" w:type="dxa"/>
            <w:tcBorders>
              <w:top w:val="nil"/>
              <w:left w:val="nil"/>
              <w:bottom w:val="nil"/>
              <w:right w:val="nil"/>
            </w:tcBorders>
            <w:shd w:val="clear" w:color="auto" w:fill="auto"/>
            <w:noWrap/>
            <w:vAlign w:val="bottom"/>
            <w:hideMark/>
          </w:tcPr>
          <w:p w14:paraId="2DAFC941"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Southbury</w:t>
            </w:r>
          </w:p>
        </w:tc>
        <w:tc>
          <w:tcPr>
            <w:tcW w:w="1261" w:type="dxa"/>
            <w:tcBorders>
              <w:top w:val="nil"/>
              <w:left w:val="nil"/>
              <w:bottom w:val="nil"/>
              <w:right w:val="nil"/>
            </w:tcBorders>
            <w:shd w:val="clear" w:color="auto" w:fill="auto"/>
            <w:noWrap/>
            <w:vAlign w:val="bottom"/>
            <w:hideMark/>
          </w:tcPr>
          <w:p w14:paraId="4BC87F1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6,193.9</w:t>
            </w:r>
          </w:p>
        </w:tc>
        <w:tc>
          <w:tcPr>
            <w:tcW w:w="960" w:type="dxa"/>
            <w:tcBorders>
              <w:top w:val="nil"/>
              <w:left w:val="nil"/>
              <w:bottom w:val="nil"/>
              <w:right w:val="nil"/>
            </w:tcBorders>
            <w:shd w:val="clear" w:color="auto" w:fill="auto"/>
            <w:noWrap/>
            <w:vAlign w:val="bottom"/>
            <w:hideMark/>
          </w:tcPr>
          <w:p w14:paraId="65C0128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312</w:t>
            </w:r>
          </w:p>
        </w:tc>
        <w:tc>
          <w:tcPr>
            <w:tcW w:w="1261" w:type="dxa"/>
            <w:tcBorders>
              <w:top w:val="nil"/>
              <w:left w:val="nil"/>
              <w:bottom w:val="nil"/>
              <w:right w:val="nil"/>
            </w:tcBorders>
            <w:shd w:val="clear" w:color="auto" w:fill="auto"/>
            <w:noWrap/>
            <w:vAlign w:val="bottom"/>
            <w:hideMark/>
          </w:tcPr>
          <w:p w14:paraId="1492E2D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6,659.0</w:t>
            </w:r>
          </w:p>
        </w:tc>
        <w:tc>
          <w:tcPr>
            <w:tcW w:w="960" w:type="dxa"/>
            <w:tcBorders>
              <w:top w:val="nil"/>
              <w:left w:val="nil"/>
              <w:bottom w:val="nil"/>
              <w:right w:val="nil"/>
            </w:tcBorders>
            <w:shd w:val="clear" w:color="auto" w:fill="auto"/>
            <w:noWrap/>
            <w:vAlign w:val="bottom"/>
            <w:hideMark/>
          </w:tcPr>
          <w:p w14:paraId="62141A6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335</w:t>
            </w:r>
          </w:p>
        </w:tc>
        <w:tc>
          <w:tcPr>
            <w:tcW w:w="1261" w:type="dxa"/>
            <w:tcBorders>
              <w:top w:val="nil"/>
              <w:left w:val="nil"/>
              <w:bottom w:val="nil"/>
              <w:right w:val="nil"/>
            </w:tcBorders>
            <w:shd w:val="clear" w:color="auto" w:fill="auto"/>
            <w:noWrap/>
            <w:vAlign w:val="bottom"/>
            <w:hideMark/>
          </w:tcPr>
          <w:p w14:paraId="3844ECC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5,879.5</w:t>
            </w:r>
          </w:p>
        </w:tc>
        <w:tc>
          <w:tcPr>
            <w:tcW w:w="960" w:type="dxa"/>
            <w:tcBorders>
              <w:top w:val="nil"/>
              <w:left w:val="nil"/>
              <w:bottom w:val="nil"/>
              <w:right w:val="nil"/>
            </w:tcBorders>
            <w:shd w:val="clear" w:color="auto" w:fill="auto"/>
            <w:noWrap/>
            <w:vAlign w:val="bottom"/>
            <w:hideMark/>
          </w:tcPr>
          <w:p w14:paraId="473B891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296</w:t>
            </w:r>
          </w:p>
        </w:tc>
        <w:tc>
          <w:tcPr>
            <w:tcW w:w="1261" w:type="dxa"/>
            <w:tcBorders>
              <w:top w:val="nil"/>
              <w:left w:val="nil"/>
              <w:bottom w:val="nil"/>
              <w:right w:val="nil"/>
            </w:tcBorders>
            <w:shd w:val="clear" w:color="auto" w:fill="auto"/>
            <w:noWrap/>
            <w:vAlign w:val="bottom"/>
            <w:hideMark/>
          </w:tcPr>
          <w:p w14:paraId="5206530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7,243.7</w:t>
            </w:r>
          </w:p>
        </w:tc>
        <w:tc>
          <w:tcPr>
            <w:tcW w:w="960" w:type="dxa"/>
            <w:tcBorders>
              <w:top w:val="nil"/>
              <w:left w:val="nil"/>
              <w:bottom w:val="nil"/>
              <w:right w:val="nil"/>
            </w:tcBorders>
            <w:shd w:val="clear" w:color="auto" w:fill="auto"/>
            <w:noWrap/>
            <w:vAlign w:val="bottom"/>
            <w:hideMark/>
          </w:tcPr>
          <w:p w14:paraId="57AC051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365</w:t>
            </w:r>
          </w:p>
        </w:tc>
        <w:tc>
          <w:tcPr>
            <w:tcW w:w="1261" w:type="dxa"/>
            <w:tcBorders>
              <w:top w:val="nil"/>
              <w:left w:val="nil"/>
              <w:bottom w:val="nil"/>
              <w:right w:val="nil"/>
            </w:tcBorders>
            <w:shd w:val="clear" w:color="auto" w:fill="auto"/>
            <w:noWrap/>
            <w:vAlign w:val="bottom"/>
            <w:hideMark/>
          </w:tcPr>
          <w:p w14:paraId="7D4B28A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6,528.4</w:t>
            </w:r>
          </w:p>
        </w:tc>
        <w:tc>
          <w:tcPr>
            <w:tcW w:w="960" w:type="dxa"/>
            <w:tcBorders>
              <w:top w:val="nil"/>
              <w:left w:val="nil"/>
              <w:bottom w:val="nil"/>
              <w:right w:val="nil"/>
            </w:tcBorders>
            <w:shd w:val="clear" w:color="auto" w:fill="auto"/>
            <w:noWrap/>
            <w:vAlign w:val="bottom"/>
            <w:hideMark/>
          </w:tcPr>
          <w:p w14:paraId="47627EF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329</w:t>
            </w:r>
          </w:p>
        </w:tc>
      </w:tr>
      <w:tr w:rsidR="00EE4837" w:rsidRPr="007239A6" w14:paraId="6CA09EDF" w14:textId="77777777" w:rsidTr="00181ACD">
        <w:trPr>
          <w:trHeight w:val="288"/>
        </w:trPr>
        <w:tc>
          <w:tcPr>
            <w:tcW w:w="1586" w:type="dxa"/>
            <w:tcBorders>
              <w:top w:val="nil"/>
              <w:left w:val="nil"/>
              <w:bottom w:val="nil"/>
              <w:right w:val="nil"/>
            </w:tcBorders>
            <w:shd w:val="clear" w:color="auto" w:fill="auto"/>
            <w:noWrap/>
            <w:vAlign w:val="bottom"/>
            <w:hideMark/>
          </w:tcPr>
          <w:p w14:paraId="1AB6077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Southington</w:t>
            </w:r>
          </w:p>
        </w:tc>
        <w:tc>
          <w:tcPr>
            <w:tcW w:w="1261" w:type="dxa"/>
            <w:tcBorders>
              <w:top w:val="nil"/>
              <w:left w:val="nil"/>
              <w:bottom w:val="nil"/>
              <w:right w:val="nil"/>
            </w:tcBorders>
            <w:shd w:val="clear" w:color="auto" w:fill="auto"/>
            <w:noWrap/>
            <w:vAlign w:val="bottom"/>
            <w:hideMark/>
          </w:tcPr>
          <w:p w14:paraId="544A21E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11,521.0</w:t>
            </w:r>
          </w:p>
        </w:tc>
        <w:tc>
          <w:tcPr>
            <w:tcW w:w="960" w:type="dxa"/>
            <w:tcBorders>
              <w:top w:val="nil"/>
              <w:left w:val="nil"/>
              <w:bottom w:val="nil"/>
              <w:right w:val="nil"/>
            </w:tcBorders>
            <w:shd w:val="clear" w:color="auto" w:fill="auto"/>
            <w:noWrap/>
            <w:vAlign w:val="bottom"/>
            <w:hideMark/>
          </w:tcPr>
          <w:p w14:paraId="3B03461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266</w:t>
            </w:r>
          </w:p>
        </w:tc>
        <w:tc>
          <w:tcPr>
            <w:tcW w:w="1261" w:type="dxa"/>
            <w:tcBorders>
              <w:top w:val="nil"/>
              <w:left w:val="nil"/>
              <w:bottom w:val="nil"/>
              <w:right w:val="nil"/>
            </w:tcBorders>
            <w:shd w:val="clear" w:color="auto" w:fill="auto"/>
            <w:noWrap/>
            <w:vAlign w:val="bottom"/>
            <w:hideMark/>
          </w:tcPr>
          <w:p w14:paraId="07A438B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11,846.6</w:t>
            </w:r>
          </w:p>
        </w:tc>
        <w:tc>
          <w:tcPr>
            <w:tcW w:w="960" w:type="dxa"/>
            <w:tcBorders>
              <w:top w:val="nil"/>
              <w:left w:val="nil"/>
              <w:bottom w:val="nil"/>
              <w:right w:val="nil"/>
            </w:tcBorders>
            <w:shd w:val="clear" w:color="auto" w:fill="auto"/>
            <w:noWrap/>
            <w:vAlign w:val="bottom"/>
            <w:hideMark/>
          </w:tcPr>
          <w:p w14:paraId="4220C15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274</w:t>
            </w:r>
          </w:p>
        </w:tc>
        <w:tc>
          <w:tcPr>
            <w:tcW w:w="1261" w:type="dxa"/>
            <w:tcBorders>
              <w:top w:val="nil"/>
              <w:left w:val="nil"/>
              <w:bottom w:val="nil"/>
              <w:right w:val="nil"/>
            </w:tcBorders>
            <w:shd w:val="clear" w:color="auto" w:fill="auto"/>
            <w:noWrap/>
            <w:vAlign w:val="bottom"/>
            <w:hideMark/>
          </w:tcPr>
          <w:p w14:paraId="7DA4E51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6,734.1</w:t>
            </w:r>
          </w:p>
        </w:tc>
        <w:tc>
          <w:tcPr>
            <w:tcW w:w="960" w:type="dxa"/>
            <w:tcBorders>
              <w:top w:val="nil"/>
              <w:left w:val="nil"/>
              <w:bottom w:val="nil"/>
              <w:right w:val="nil"/>
            </w:tcBorders>
            <w:shd w:val="clear" w:color="auto" w:fill="auto"/>
            <w:noWrap/>
            <w:vAlign w:val="bottom"/>
            <w:hideMark/>
          </w:tcPr>
          <w:p w14:paraId="39F4903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w:t>
            </w:r>
          </w:p>
        </w:tc>
        <w:tc>
          <w:tcPr>
            <w:tcW w:w="1261" w:type="dxa"/>
            <w:tcBorders>
              <w:top w:val="nil"/>
              <w:left w:val="nil"/>
              <w:bottom w:val="nil"/>
              <w:right w:val="nil"/>
            </w:tcBorders>
            <w:shd w:val="clear" w:color="auto" w:fill="auto"/>
            <w:noWrap/>
            <w:vAlign w:val="bottom"/>
            <w:hideMark/>
          </w:tcPr>
          <w:p w14:paraId="764CB1E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14,926.1</w:t>
            </w:r>
          </w:p>
        </w:tc>
        <w:tc>
          <w:tcPr>
            <w:tcW w:w="960" w:type="dxa"/>
            <w:tcBorders>
              <w:top w:val="nil"/>
              <w:left w:val="nil"/>
              <w:bottom w:val="nil"/>
              <w:right w:val="nil"/>
            </w:tcBorders>
            <w:shd w:val="clear" w:color="auto" w:fill="auto"/>
            <w:noWrap/>
            <w:vAlign w:val="bottom"/>
            <w:hideMark/>
          </w:tcPr>
          <w:p w14:paraId="77516EF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345</w:t>
            </w:r>
          </w:p>
        </w:tc>
        <w:tc>
          <w:tcPr>
            <w:tcW w:w="1261" w:type="dxa"/>
            <w:tcBorders>
              <w:top w:val="nil"/>
              <w:left w:val="nil"/>
              <w:bottom w:val="nil"/>
              <w:right w:val="nil"/>
            </w:tcBorders>
            <w:shd w:val="clear" w:color="auto" w:fill="auto"/>
            <w:noWrap/>
            <w:vAlign w:val="bottom"/>
            <w:hideMark/>
          </w:tcPr>
          <w:p w14:paraId="0A1ACC6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10,596.3</w:t>
            </w:r>
          </w:p>
        </w:tc>
        <w:tc>
          <w:tcPr>
            <w:tcW w:w="960" w:type="dxa"/>
            <w:tcBorders>
              <w:top w:val="nil"/>
              <w:left w:val="nil"/>
              <w:bottom w:val="nil"/>
              <w:right w:val="nil"/>
            </w:tcBorders>
            <w:shd w:val="clear" w:color="auto" w:fill="auto"/>
            <w:noWrap/>
            <w:vAlign w:val="bottom"/>
            <w:hideMark/>
          </w:tcPr>
          <w:p w14:paraId="411F663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245</w:t>
            </w:r>
          </w:p>
        </w:tc>
      </w:tr>
      <w:tr w:rsidR="00EE4837" w:rsidRPr="007239A6" w14:paraId="5F1C46BD" w14:textId="77777777" w:rsidTr="00181ACD">
        <w:trPr>
          <w:trHeight w:val="288"/>
        </w:trPr>
        <w:tc>
          <w:tcPr>
            <w:tcW w:w="1586" w:type="dxa"/>
            <w:tcBorders>
              <w:top w:val="nil"/>
              <w:left w:val="nil"/>
              <w:bottom w:val="nil"/>
              <w:right w:val="nil"/>
            </w:tcBorders>
            <w:shd w:val="clear" w:color="auto" w:fill="auto"/>
            <w:noWrap/>
            <w:vAlign w:val="bottom"/>
            <w:hideMark/>
          </w:tcPr>
          <w:p w14:paraId="68FBC3E0"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Sprague</w:t>
            </w:r>
          </w:p>
        </w:tc>
        <w:tc>
          <w:tcPr>
            <w:tcW w:w="1261" w:type="dxa"/>
            <w:tcBorders>
              <w:top w:val="nil"/>
              <w:left w:val="nil"/>
              <w:bottom w:val="nil"/>
              <w:right w:val="nil"/>
            </w:tcBorders>
            <w:shd w:val="clear" w:color="auto" w:fill="auto"/>
            <w:noWrap/>
            <w:vAlign w:val="bottom"/>
            <w:hideMark/>
          </w:tcPr>
          <w:p w14:paraId="1D9653C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603.4</w:t>
            </w:r>
          </w:p>
        </w:tc>
        <w:tc>
          <w:tcPr>
            <w:tcW w:w="960" w:type="dxa"/>
            <w:tcBorders>
              <w:top w:val="nil"/>
              <w:left w:val="nil"/>
              <w:bottom w:val="nil"/>
              <w:right w:val="nil"/>
            </w:tcBorders>
            <w:shd w:val="clear" w:color="auto" w:fill="auto"/>
            <w:noWrap/>
            <w:vAlign w:val="bottom"/>
            <w:hideMark/>
          </w:tcPr>
          <w:p w14:paraId="2B17AB6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202</w:t>
            </w:r>
          </w:p>
        </w:tc>
        <w:tc>
          <w:tcPr>
            <w:tcW w:w="1261" w:type="dxa"/>
            <w:tcBorders>
              <w:top w:val="nil"/>
              <w:left w:val="nil"/>
              <w:bottom w:val="nil"/>
              <w:right w:val="nil"/>
            </w:tcBorders>
            <w:shd w:val="clear" w:color="auto" w:fill="auto"/>
            <w:noWrap/>
            <w:vAlign w:val="bottom"/>
            <w:hideMark/>
          </w:tcPr>
          <w:p w14:paraId="4616EF7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509.6</w:t>
            </w:r>
          </w:p>
        </w:tc>
        <w:tc>
          <w:tcPr>
            <w:tcW w:w="960" w:type="dxa"/>
            <w:tcBorders>
              <w:top w:val="nil"/>
              <w:left w:val="nil"/>
              <w:bottom w:val="nil"/>
              <w:right w:val="nil"/>
            </w:tcBorders>
            <w:shd w:val="clear" w:color="auto" w:fill="auto"/>
            <w:noWrap/>
            <w:vAlign w:val="bottom"/>
            <w:hideMark/>
          </w:tcPr>
          <w:p w14:paraId="78EDCE1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171</w:t>
            </w:r>
          </w:p>
        </w:tc>
        <w:tc>
          <w:tcPr>
            <w:tcW w:w="1261" w:type="dxa"/>
            <w:tcBorders>
              <w:top w:val="nil"/>
              <w:left w:val="nil"/>
              <w:bottom w:val="nil"/>
              <w:right w:val="nil"/>
            </w:tcBorders>
            <w:shd w:val="clear" w:color="auto" w:fill="auto"/>
            <w:noWrap/>
            <w:vAlign w:val="bottom"/>
            <w:hideMark/>
          </w:tcPr>
          <w:p w14:paraId="56095AF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271.9</w:t>
            </w:r>
          </w:p>
        </w:tc>
        <w:tc>
          <w:tcPr>
            <w:tcW w:w="960" w:type="dxa"/>
            <w:tcBorders>
              <w:top w:val="nil"/>
              <w:left w:val="nil"/>
              <w:bottom w:val="nil"/>
              <w:right w:val="nil"/>
            </w:tcBorders>
            <w:shd w:val="clear" w:color="auto" w:fill="auto"/>
            <w:noWrap/>
            <w:vAlign w:val="bottom"/>
            <w:hideMark/>
          </w:tcPr>
          <w:p w14:paraId="3FF2CE1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91</w:t>
            </w:r>
          </w:p>
        </w:tc>
        <w:tc>
          <w:tcPr>
            <w:tcW w:w="1261" w:type="dxa"/>
            <w:tcBorders>
              <w:top w:val="nil"/>
              <w:left w:val="nil"/>
              <w:bottom w:val="nil"/>
              <w:right w:val="nil"/>
            </w:tcBorders>
            <w:shd w:val="clear" w:color="auto" w:fill="auto"/>
            <w:noWrap/>
            <w:vAlign w:val="bottom"/>
            <w:hideMark/>
          </w:tcPr>
          <w:p w14:paraId="60D9B3A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734.6</w:t>
            </w:r>
          </w:p>
        </w:tc>
        <w:tc>
          <w:tcPr>
            <w:tcW w:w="960" w:type="dxa"/>
            <w:tcBorders>
              <w:top w:val="nil"/>
              <w:left w:val="nil"/>
              <w:bottom w:val="nil"/>
              <w:right w:val="nil"/>
            </w:tcBorders>
            <w:shd w:val="clear" w:color="auto" w:fill="auto"/>
            <w:noWrap/>
            <w:vAlign w:val="bottom"/>
            <w:hideMark/>
          </w:tcPr>
          <w:p w14:paraId="1ACD0ED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246</w:t>
            </w:r>
          </w:p>
        </w:tc>
        <w:tc>
          <w:tcPr>
            <w:tcW w:w="1261" w:type="dxa"/>
            <w:tcBorders>
              <w:top w:val="nil"/>
              <w:left w:val="nil"/>
              <w:bottom w:val="nil"/>
              <w:right w:val="nil"/>
            </w:tcBorders>
            <w:shd w:val="clear" w:color="auto" w:fill="auto"/>
            <w:noWrap/>
            <w:vAlign w:val="bottom"/>
            <w:hideMark/>
          </w:tcPr>
          <w:p w14:paraId="47BE2DE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494.1</w:t>
            </w:r>
          </w:p>
        </w:tc>
        <w:tc>
          <w:tcPr>
            <w:tcW w:w="960" w:type="dxa"/>
            <w:tcBorders>
              <w:top w:val="nil"/>
              <w:left w:val="nil"/>
              <w:bottom w:val="nil"/>
              <w:right w:val="nil"/>
            </w:tcBorders>
            <w:shd w:val="clear" w:color="auto" w:fill="auto"/>
            <w:noWrap/>
            <w:vAlign w:val="bottom"/>
            <w:hideMark/>
          </w:tcPr>
          <w:p w14:paraId="65F4102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165</w:t>
            </w:r>
          </w:p>
        </w:tc>
      </w:tr>
      <w:tr w:rsidR="00EE4837" w:rsidRPr="007239A6" w14:paraId="5BD348FC" w14:textId="77777777" w:rsidTr="00181ACD">
        <w:trPr>
          <w:trHeight w:val="288"/>
        </w:trPr>
        <w:tc>
          <w:tcPr>
            <w:tcW w:w="1586" w:type="dxa"/>
            <w:tcBorders>
              <w:top w:val="nil"/>
              <w:left w:val="nil"/>
              <w:bottom w:val="nil"/>
              <w:right w:val="nil"/>
            </w:tcBorders>
            <w:shd w:val="clear" w:color="auto" w:fill="auto"/>
            <w:noWrap/>
            <w:vAlign w:val="bottom"/>
            <w:hideMark/>
          </w:tcPr>
          <w:p w14:paraId="5AD29EB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Stafford</w:t>
            </w:r>
          </w:p>
        </w:tc>
        <w:tc>
          <w:tcPr>
            <w:tcW w:w="1261" w:type="dxa"/>
            <w:tcBorders>
              <w:top w:val="nil"/>
              <w:left w:val="nil"/>
              <w:bottom w:val="nil"/>
              <w:right w:val="nil"/>
            </w:tcBorders>
            <w:shd w:val="clear" w:color="auto" w:fill="auto"/>
            <w:noWrap/>
            <w:vAlign w:val="bottom"/>
            <w:hideMark/>
          </w:tcPr>
          <w:p w14:paraId="5D1EEAE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2,352.6</w:t>
            </w:r>
          </w:p>
        </w:tc>
        <w:tc>
          <w:tcPr>
            <w:tcW w:w="960" w:type="dxa"/>
            <w:tcBorders>
              <w:top w:val="nil"/>
              <w:left w:val="nil"/>
              <w:bottom w:val="nil"/>
              <w:right w:val="nil"/>
            </w:tcBorders>
            <w:shd w:val="clear" w:color="auto" w:fill="auto"/>
            <w:noWrap/>
            <w:vAlign w:val="bottom"/>
            <w:hideMark/>
          </w:tcPr>
          <w:p w14:paraId="0627854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195</w:t>
            </w:r>
          </w:p>
        </w:tc>
        <w:tc>
          <w:tcPr>
            <w:tcW w:w="1261" w:type="dxa"/>
            <w:tcBorders>
              <w:top w:val="nil"/>
              <w:left w:val="nil"/>
              <w:bottom w:val="nil"/>
              <w:right w:val="nil"/>
            </w:tcBorders>
            <w:shd w:val="clear" w:color="auto" w:fill="auto"/>
            <w:noWrap/>
            <w:vAlign w:val="bottom"/>
            <w:hideMark/>
          </w:tcPr>
          <w:p w14:paraId="352FCB7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1,979.3</w:t>
            </w:r>
          </w:p>
        </w:tc>
        <w:tc>
          <w:tcPr>
            <w:tcW w:w="960" w:type="dxa"/>
            <w:tcBorders>
              <w:top w:val="nil"/>
              <w:left w:val="nil"/>
              <w:bottom w:val="nil"/>
              <w:right w:val="nil"/>
            </w:tcBorders>
            <w:shd w:val="clear" w:color="auto" w:fill="auto"/>
            <w:noWrap/>
            <w:vAlign w:val="bottom"/>
            <w:hideMark/>
          </w:tcPr>
          <w:p w14:paraId="059D0DD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164</w:t>
            </w:r>
          </w:p>
        </w:tc>
        <w:tc>
          <w:tcPr>
            <w:tcW w:w="1261" w:type="dxa"/>
            <w:tcBorders>
              <w:top w:val="nil"/>
              <w:left w:val="nil"/>
              <w:bottom w:val="nil"/>
              <w:right w:val="nil"/>
            </w:tcBorders>
            <w:shd w:val="clear" w:color="auto" w:fill="auto"/>
            <w:noWrap/>
            <w:vAlign w:val="bottom"/>
            <w:hideMark/>
          </w:tcPr>
          <w:p w14:paraId="7529A04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1,506.3</w:t>
            </w:r>
          </w:p>
        </w:tc>
        <w:tc>
          <w:tcPr>
            <w:tcW w:w="960" w:type="dxa"/>
            <w:tcBorders>
              <w:top w:val="nil"/>
              <w:left w:val="nil"/>
              <w:bottom w:val="nil"/>
              <w:right w:val="nil"/>
            </w:tcBorders>
            <w:shd w:val="clear" w:color="auto" w:fill="auto"/>
            <w:noWrap/>
            <w:vAlign w:val="bottom"/>
            <w:hideMark/>
          </w:tcPr>
          <w:p w14:paraId="58F6276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125</w:t>
            </w:r>
          </w:p>
        </w:tc>
        <w:tc>
          <w:tcPr>
            <w:tcW w:w="1261" w:type="dxa"/>
            <w:tcBorders>
              <w:top w:val="nil"/>
              <w:left w:val="nil"/>
              <w:bottom w:val="nil"/>
              <w:right w:val="nil"/>
            </w:tcBorders>
            <w:shd w:val="clear" w:color="auto" w:fill="auto"/>
            <w:noWrap/>
            <w:vAlign w:val="bottom"/>
            <w:hideMark/>
          </w:tcPr>
          <w:p w14:paraId="76522DA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3,035.9</w:t>
            </w:r>
          </w:p>
        </w:tc>
        <w:tc>
          <w:tcPr>
            <w:tcW w:w="960" w:type="dxa"/>
            <w:tcBorders>
              <w:top w:val="nil"/>
              <w:left w:val="nil"/>
              <w:bottom w:val="nil"/>
              <w:right w:val="nil"/>
            </w:tcBorders>
            <w:shd w:val="clear" w:color="auto" w:fill="auto"/>
            <w:noWrap/>
            <w:vAlign w:val="bottom"/>
            <w:hideMark/>
          </w:tcPr>
          <w:p w14:paraId="49AF137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252</w:t>
            </w:r>
          </w:p>
        </w:tc>
        <w:tc>
          <w:tcPr>
            <w:tcW w:w="1261" w:type="dxa"/>
            <w:tcBorders>
              <w:top w:val="nil"/>
              <w:left w:val="nil"/>
              <w:bottom w:val="nil"/>
              <w:right w:val="nil"/>
            </w:tcBorders>
            <w:shd w:val="clear" w:color="auto" w:fill="auto"/>
            <w:noWrap/>
            <w:vAlign w:val="bottom"/>
            <w:hideMark/>
          </w:tcPr>
          <w:p w14:paraId="5C8AE9B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2,248.9</w:t>
            </w:r>
          </w:p>
        </w:tc>
        <w:tc>
          <w:tcPr>
            <w:tcW w:w="960" w:type="dxa"/>
            <w:tcBorders>
              <w:top w:val="nil"/>
              <w:left w:val="nil"/>
              <w:bottom w:val="nil"/>
              <w:right w:val="nil"/>
            </w:tcBorders>
            <w:shd w:val="clear" w:color="auto" w:fill="auto"/>
            <w:noWrap/>
            <w:vAlign w:val="bottom"/>
            <w:hideMark/>
          </w:tcPr>
          <w:p w14:paraId="5833F1E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187</w:t>
            </w:r>
          </w:p>
        </w:tc>
      </w:tr>
      <w:tr w:rsidR="00EE4837" w:rsidRPr="007239A6" w14:paraId="2156525A" w14:textId="77777777" w:rsidTr="00181ACD">
        <w:trPr>
          <w:trHeight w:val="288"/>
        </w:trPr>
        <w:tc>
          <w:tcPr>
            <w:tcW w:w="1586" w:type="dxa"/>
            <w:tcBorders>
              <w:top w:val="nil"/>
              <w:left w:val="nil"/>
              <w:bottom w:val="nil"/>
              <w:right w:val="nil"/>
            </w:tcBorders>
            <w:shd w:val="clear" w:color="auto" w:fill="auto"/>
            <w:noWrap/>
            <w:vAlign w:val="bottom"/>
            <w:hideMark/>
          </w:tcPr>
          <w:p w14:paraId="53A3DC3D"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Stamford</w:t>
            </w:r>
          </w:p>
        </w:tc>
        <w:tc>
          <w:tcPr>
            <w:tcW w:w="1261" w:type="dxa"/>
            <w:tcBorders>
              <w:top w:val="nil"/>
              <w:left w:val="nil"/>
              <w:bottom w:val="nil"/>
              <w:right w:val="nil"/>
            </w:tcBorders>
            <w:shd w:val="clear" w:color="auto" w:fill="auto"/>
            <w:noWrap/>
            <w:vAlign w:val="bottom"/>
            <w:hideMark/>
          </w:tcPr>
          <w:p w14:paraId="5044F13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54,097.8</w:t>
            </w:r>
          </w:p>
        </w:tc>
        <w:tc>
          <w:tcPr>
            <w:tcW w:w="960" w:type="dxa"/>
            <w:tcBorders>
              <w:top w:val="nil"/>
              <w:left w:val="nil"/>
              <w:bottom w:val="nil"/>
              <w:right w:val="nil"/>
            </w:tcBorders>
            <w:shd w:val="clear" w:color="auto" w:fill="auto"/>
            <w:noWrap/>
            <w:vAlign w:val="bottom"/>
            <w:hideMark/>
          </w:tcPr>
          <w:p w14:paraId="7FE5C74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436</w:t>
            </w:r>
          </w:p>
        </w:tc>
        <w:tc>
          <w:tcPr>
            <w:tcW w:w="1261" w:type="dxa"/>
            <w:tcBorders>
              <w:top w:val="nil"/>
              <w:left w:val="nil"/>
              <w:bottom w:val="nil"/>
              <w:right w:val="nil"/>
            </w:tcBorders>
            <w:shd w:val="clear" w:color="auto" w:fill="auto"/>
            <w:noWrap/>
            <w:vAlign w:val="bottom"/>
            <w:hideMark/>
          </w:tcPr>
          <w:p w14:paraId="2D19FC6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53,598.5</w:t>
            </w:r>
          </w:p>
        </w:tc>
        <w:tc>
          <w:tcPr>
            <w:tcW w:w="960" w:type="dxa"/>
            <w:tcBorders>
              <w:top w:val="nil"/>
              <w:left w:val="nil"/>
              <w:bottom w:val="nil"/>
              <w:right w:val="nil"/>
            </w:tcBorders>
            <w:shd w:val="clear" w:color="auto" w:fill="auto"/>
            <w:noWrap/>
            <w:vAlign w:val="bottom"/>
            <w:hideMark/>
          </w:tcPr>
          <w:p w14:paraId="58F3E12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432</w:t>
            </w:r>
          </w:p>
        </w:tc>
        <w:tc>
          <w:tcPr>
            <w:tcW w:w="1261" w:type="dxa"/>
            <w:tcBorders>
              <w:top w:val="nil"/>
              <w:left w:val="nil"/>
              <w:bottom w:val="nil"/>
              <w:right w:val="nil"/>
            </w:tcBorders>
            <w:shd w:val="clear" w:color="auto" w:fill="auto"/>
            <w:noWrap/>
            <w:vAlign w:val="bottom"/>
            <w:hideMark/>
          </w:tcPr>
          <w:p w14:paraId="1F10FBF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94,076.1</w:t>
            </w:r>
          </w:p>
        </w:tc>
        <w:tc>
          <w:tcPr>
            <w:tcW w:w="960" w:type="dxa"/>
            <w:tcBorders>
              <w:top w:val="nil"/>
              <w:left w:val="nil"/>
              <w:bottom w:val="nil"/>
              <w:right w:val="nil"/>
            </w:tcBorders>
            <w:shd w:val="clear" w:color="auto" w:fill="auto"/>
            <w:noWrap/>
            <w:vAlign w:val="bottom"/>
            <w:hideMark/>
          </w:tcPr>
          <w:p w14:paraId="69A017E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759</w:t>
            </w:r>
          </w:p>
        </w:tc>
        <w:tc>
          <w:tcPr>
            <w:tcW w:w="1261" w:type="dxa"/>
            <w:tcBorders>
              <w:top w:val="nil"/>
              <w:left w:val="nil"/>
              <w:bottom w:val="nil"/>
              <w:right w:val="nil"/>
            </w:tcBorders>
            <w:shd w:val="clear" w:color="auto" w:fill="auto"/>
            <w:noWrap/>
            <w:vAlign w:val="bottom"/>
            <w:hideMark/>
          </w:tcPr>
          <w:p w14:paraId="3DC2414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46,814.3</w:t>
            </w:r>
          </w:p>
        </w:tc>
        <w:tc>
          <w:tcPr>
            <w:tcW w:w="960" w:type="dxa"/>
            <w:tcBorders>
              <w:top w:val="nil"/>
              <w:left w:val="nil"/>
              <w:bottom w:val="nil"/>
              <w:right w:val="nil"/>
            </w:tcBorders>
            <w:shd w:val="clear" w:color="auto" w:fill="auto"/>
            <w:noWrap/>
            <w:vAlign w:val="bottom"/>
            <w:hideMark/>
          </w:tcPr>
          <w:p w14:paraId="604F0F6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378</w:t>
            </w:r>
          </w:p>
        </w:tc>
        <w:tc>
          <w:tcPr>
            <w:tcW w:w="1261" w:type="dxa"/>
            <w:tcBorders>
              <w:top w:val="nil"/>
              <w:left w:val="nil"/>
              <w:bottom w:val="nil"/>
              <w:right w:val="nil"/>
            </w:tcBorders>
            <w:shd w:val="clear" w:color="auto" w:fill="auto"/>
            <w:noWrap/>
            <w:vAlign w:val="bottom"/>
            <w:hideMark/>
          </w:tcPr>
          <w:p w14:paraId="540E5DE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72,560.1</w:t>
            </w:r>
          </w:p>
        </w:tc>
        <w:tc>
          <w:tcPr>
            <w:tcW w:w="960" w:type="dxa"/>
            <w:tcBorders>
              <w:top w:val="nil"/>
              <w:left w:val="nil"/>
              <w:bottom w:val="nil"/>
              <w:right w:val="nil"/>
            </w:tcBorders>
            <w:shd w:val="clear" w:color="auto" w:fill="auto"/>
            <w:noWrap/>
            <w:vAlign w:val="bottom"/>
            <w:hideMark/>
          </w:tcPr>
          <w:p w14:paraId="4636047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585</w:t>
            </w:r>
          </w:p>
        </w:tc>
      </w:tr>
      <w:tr w:rsidR="00EE4837" w:rsidRPr="007239A6" w14:paraId="433BD52D" w14:textId="77777777" w:rsidTr="00181ACD">
        <w:trPr>
          <w:trHeight w:val="288"/>
        </w:trPr>
        <w:tc>
          <w:tcPr>
            <w:tcW w:w="1586" w:type="dxa"/>
            <w:tcBorders>
              <w:top w:val="nil"/>
              <w:left w:val="nil"/>
              <w:bottom w:val="nil"/>
              <w:right w:val="nil"/>
            </w:tcBorders>
            <w:shd w:val="clear" w:color="auto" w:fill="auto"/>
            <w:noWrap/>
            <w:vAlign w:val="bottom"/>
            <w:hideMark/>
          </w:tcPr>
          <w:p w14:paraId="07A2099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Sterling</w:t>
            </w:r>
          </w:p>
        </w:tc>
        <w:tc>
          <w:tcPr>
            <w:tcW w:w="1261" w:type="dxa"/>
            <w:tcBorders>
              <w:top w:val="nil"/>
              <w:left w:val="nil"/>
              <w:bottom w:val="nil"/>
              <w:right w:val="nil"/>
            </w:tcBorders>
            <w:shd w:val="clear" w:color="auto" w:fill="auto"/>
            <w:noWrap/>
            <w:vAlign w:val="bottom"/>
            <w:hideMark/>
          </w:tcPr>
          <w:p w14:paraId="6E57610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585.7</w:t>
            </w:r>
          </w:p>
        </w:tc>
        <w:tc>
          <w:tcPr>
            <w:tcW w:w="960" w:type="dxa"/>
            <w:tcBorders>
              <w:top w:val="nil"/>
              <w:left w:val="nil"/>
              <w:bottom w:val="nil"/>
              <w:right w:val="nil"/>
            </w:tcBorders>
            <w:shd w:val="clear" w:color="auto" w:fill="auto"/>
            <w:noWrap/>
            <w:vAlign w:val="bottom"/>
            <w:hideMark/>
          </w:tcPr>
          <w:p w14:paraId="2931AAE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154</w:t>
            </w:r>
          </w:p>
        </w:tc>
        <w:tc>
          <w:tcPr>
            <w:tcW w:w="1261" w:type="dxa"/>
            <w:tcBorders>
              <w:top w:val="nil"/>
              <w:left w:val="nil"/>
              <w:bottom w:val="nil"/>
              <w:right w:val="nil"/>
            </w:tcBorders>
            <w:shd w:val="clear" w:color="auto" w:fill="auto"/>
            <w:noWrap/>
            <w:vAlign w:val="bottom"/>
            <w:hideMark/>
          </w:tcPr>
          <w:p w14:paraId="7176084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387.7</w:t>
            </w:r>
          </w:p>
        </w:tc>
        <w:tc>
          <w:tcPr>
            <w:tcW w:w="960" w:type="dxa"/>
            <w:tcBorders>
              <w:top w:val="nil"/>
              <w:left w:val="nil"/>
              <w:bottom w:val="nil"/>
              <w:right w:val="nil"/>
            </w:tcBorders>
            <w:shd w:val="clear" w:color="auto" w:fill="auto"/>
            <w:noWrap/>
            <w:vAlign w:val="bottom"/>
            <w:hideMark/>
          </w:tcPr>
          <w:p w14:paraId="58296E8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102</w:t>
            </w:r>
          </w:p>
        </w:tc>
        <w:tc>
          <w:tcPr>
            <w:tcW w:w="1261" w:type="dxa"/>
            <w:tcBorders>
              <w:top w:val="nil"/>
              <w:left w:val="nil"/>
              <w:bottom w:val="nil"/>
              <w:right w:val="nil"/>
            </w:tcBorders>
            <w:shd w:val="clear" w:color="auto" w:fill="auto"/>
            <w:noWrap/>
            <w:vAlign w:val="bottom"/>
            <w:hideMark/>
          </w:tcPr>
          <w:p w14:paraId="4881208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151.3</w:t>
            </w:r>
          </w:p>
        </w:tc>
        <w:tc>
          <w:tcPr>
            <w:tcW w:w="960" w:type="dxa"/>
            <w:tcBorders>
              <w:top w:val="nil"/>
              <w:left w:val="nil"/>
              <w:bottom w:val="nil"/>
              <w:right w:val="nil"/>
            </w:tcBorders>
            <w:shd w:val="clear" w:color="auto" w:fill="auto"/>
            <w:noWrap/>
            <w:vAlign w:val="bottom"/>
            <w:hideMark/>
          </w:tcPr>
          <w:p w14:paraId="1CC8E64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w:t>
            </w:r>
          </w:p>
        </w:tc>
        <w:tc>
          <w:tcPr>
            <w:tcW w:w="1261" w:type="dxa"/>
            <w:tcBorders>
              <w:top w:val="nil"/>
              <w:left w:val="nil"/>
              <w:bottom w:val="nil"/>
              <w:right w:val="nil"/>
            </w:tcBorders>
            <w:shd w:val="clear" w:color="auto" w:fill="auto"/>
            <w:noWrap/>
            <w:vAlign w:val="bottom"/>
            <w:hideMark/>
          </w:tcPr>
          <w:p w14:paraId="6238185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641.8</w:t>
            </w:r>
          </w:p>
        </w:tc>
        <w:tc>
          <w:tcPr>
            <w:tcW w:w="960" w:type="dxa"/>
            <w:tcBorders>
              <w:top w:val="nil"/>
              <w:left w:val="nil"/>
              <w:bottom w:val="nil"/>
              <w:right w:val="nil"/>
            </w:tcBorders>
            <w:shd w:val="clear" w:color="auto" w:fill="auto"/>
            <w:noWrap/>
            <w:vAlign w:val="bottom"/>
            <w:hideMark/>
          </w:tcPr>
          <w:p w14:paraId="1D0A07C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169</w:t>
            </w:r>
          </w:p>
        </w:tc>
        <w:tc>
          <w:tcPr>
            <w:tcW w:w="1261" w:type="dxa"/>
            <w:tcBorders>
              <w:top w:val="nil"/>
              <w:left w:val="nil"/>
              <w:bottom w:val="nil"/>
              <w:right w:val="nil"/>
            </w:tcBorders>
            <w:shd w:val="clear" w:color="auto" w:fill="auto"/>
            <w:noWrap/>
            <w:vAlign w:val="bottom"/>
            <w:hideMark/>
          </w:tcPr>
          <w:p w14:paraId="24D894F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383.7</w:t>
            </w:r>
          </w:p>
        </w:tc>
        <w:tc>
          <w:tcPr>
            <w:tcW w:w="960" w:type="dxa"/>
            <w:tcBorders>
              <w:top w:val="nil"/>
              <w:left w:val="nil"/>
              <w:bottom w:val="nil"/>
              <w:right w:val="nil"/>
            </w:tcBorders>
            <w:shd w:val="clear" w:color="auto" w:fill="auto"/>
            <w:noWrap/>
            <w:vAlign w:val="bottom"/>
            <w:hideMark/>
          </w:tcPr>
          <w:p w14:paraId="23D87CE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101</w:t>
            </w:r>
          </w:p>
        </w:tc>
      </w:tr>
      <w:tr w:rsidR="00EE4837" w:rsidRPr="007239A6" w14:paraId="04A9D18B" w14:textId="77777777" w:rsidTr="00181ACD">
        <w:trPr>
          <w:trHeight w:val="288"/>
        </w:trPr>
        <w:tc>
          <w:tcPr>
            <w:tcW w:w="1586" w:type="dxa"/>
            <w:tcBorders>
              <w:top w:val="nil"/>
              <w:left w:val="nil"/>
              <w:bottom w:val="nil"/>
              <w:right w:val="nil"/>
            </w:tcBorders>
            <w:shd w:val="clear" w:color="auto" w:fill="auto"/>
            <w:noWrap/>
            <w:vAlign w:val="bottom"/>
            <w:hideMark/>
          </w:tcPr>
          <w:p w14:paraId="696DE87A"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Stonington</w:t>
            </w:r>
          </w:p>
        </w:tc>
        <w:tc>
          <w:tcPr>
            <w:tcW w:w="1261" w:type="dxa"/>
            <w:tcBorders>
              <w:top w:val="nil"/>
              <w:left w:val="nil"/>
              <w:bottom w:val="nil"/>
              <w:right w:val="nil"/>
            </w:tcBorders>
            <w:shd w:val="clear" w:color="auto" w:fill="auto"/>
            <w:noWrap/>
            <w:vAlign w:val="bottom"/>
            <w:hideMark/>
          </w:tcPr>
          <w:p w14:paraId="387C74F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8,308.2</w:t>
            </w:r>
          </w:p>
        </w:tc>
        <w:tc>
          <w:tcPr>
            <w:tcW w:w="960" w:type="dxa"/>
            <w:tcBorders>
              <w:top w:val="nil"/>
              <w:left w:val="nil"/>
              <w:bottom w:val="nil"/>
              <w:right w:val="nil"/>
            </w:tcBorders>
            <w:shd w:val="clear" w:color="auto" w:fill="auto"/>
            <w:noWrap/>
            <w:vAlign w:val="bottom"/>
            <w:hideMark/>
          </w:tcPr>
          <w:p w14:paraId="199F65F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448</w:t>
            </w:r>
          </w:p>
        </w:tc>
        <w:tc>
          <w:tcPr>
            <w:tcW w:w="1261" w:type="dxa"/>
            <w:tcBorders>
              <w:top w:val="nil"/>
              <w:left w:val="nil"/>
              <w:bottom w:val="nil"/>
              <w:right w:val="nil"/>
            </w:tcBorders>
            <w:shd w:val="clear" w:color="auto" w:fill="auto"/>
            <w:noWrap/>
            <w:vAlign w:val="bottom"/>
            <w:hideMark/>
          </w:tcPr>
          <w:p w14:paraId="1316BC5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8,467.9</w:t>
            </w:r>
          </w:p>
        </w:tc>
        <w:tc>
          <w:tcPr>
            <w:tcW w:w="960" w:type="dxa"/>
            <w:tcBorders>
              <w:top w:val="nil"/>
              <w:left w:val="nil"/>
              <w:bottom w:val="nil"/>
              <w:right w:val="nil"/>
            </w:tcBorders>
            <w:shd w:val="clear" w:color="auto" w:fill="auto"/>
            <w:noWrap/>
            <w:vAlign w:val="bottom"/>
            <w:hideMark/>
          </w:tcPr>
          <w:p w14:paraId="6A43739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457</w:t>
            </w:r>
          </w:p>
        </w:tc>
        <w:tc>
          <w:tcPr>
            <w:tcW w:w="1261" w:type="dxa"/>
            <w:tcBorders>
              <w:top w:val="nil"/>
              <w:left w:val="nil"/>
              <w:bottom w:val="nil"/>
              <w:right w:val="nil"/>
            </w:tcBorders>
            <w:shd w:val="clear" w:color="auto" w:fill="auto"/>
            <w:noWrap/>
            <w:vAlign w:val="bottom"/>
            <w:hideMark/>
          </w:tcPr>
          <w:p w14:paraId="38B69E4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3,228.7</w:t>
            </w:r>
          </w:p>
        </w:tc>
        <w:tc>
          <w:tcPr>
            <w:tcW w:w="960" w:type="dxa"/>
            <w:tcBorders>
              <w:top w:val="nil"/>
              <w:left w:val="nil"/>
              <w:bottom w:val="nil"/>
              <w:right w:val="nil"/>
            </w:tcBorders>
            <w:shd w:val="clear" w:color="auto" w:fill="auto"/>
            <w:noWrap/>
            <w:vAlign w:val="bottom"/>
            <w:hideMark/>
          </w:tcPr>
          <w:p w14:paraId="50E3FB7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174</w:t>
            </w:r>
          </w:p>
        </w:tc>
        <w:tc>
          <w:tcPr>
            <w:tcW w:w="1261" w:type="dxa"/>
            <w:tcBorders>
              <w:top w:val="nil"/>
              <w:left w:val="nil"/>
              <w:bottom w:val="nil"/>
              <w:right w:val="nil"/>
            </w:tcBorders>
            <w:shd w:val="clear" w:color="auto" w:fill="auto"/>
            <w:noWrap/>
            <w:vAlign w:val="bottom"/>
            <w:hideMark/>
          </w:tcPr>
          <w:p w14:paraId="5533CC7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4,486.3</w:t>
            </w:r>
          </w:p>
        </w:tc>
        <w:tc>
          <w:tcPr>
            <w:tcW w:w="960" w:type="dxa"/>
            <w:tcBorders>
              <w:top w:val="nil"/>
              <w:left w:val="nil"/>
              <w:bottom w:val="nil"/>
              <w:right w:val="nil"/>
            </w:tcBorders>
            <w:shd w:val="clear" w:color="auto" w:fill="auto"/>
            <w:noWrap/>
            <w:vAlign w:val="bottom"/>
            <w:hideMark/>
          </w:tcPr>
          <w:p w14:paraId="3F38CEB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242</w:t>
            </w:r>
          </w:p>
        </w:tc>
        <w:tc>
          <w:tcPr>
            <w:tcW w:w="1261" w:type="dxa"/>
            <w:tcBorders>
              <w:top w:val="nil"/>
              <w:left w:val="nil"/>
              <w:bottom w:val="nil"/>
              <w:right w:val="nil"/>
            </w:tcBorders>
            <w:shd w:val="clear" w:color="auto" w:fill="auto"/>
            <w:noWrap/>
            <w:vAlign w:val="bottom"/>
            <w:hideMark/>
          </w:tcPr>
          <w:p w14:paraId="015E631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3,813.4</w:t>
            </w:r>
          </w:p>
        </w:tc>
        <w:tc>
          <w:tcPr>
            <w:tcW w:w="960" w:type="dxa"/>
            <w:tcBorders>
              <w:top w:val="nil"/>
              <w:left w:val="nil"/>
              <w:bottom w:val="nil"/>
              <w:right w:val="nil"/>
            </w:tcBorders>
            <w:shd w:val="clear" w:color="auto" w:fill="auto"/>
            <w:noWrap/>
            <w:vAlign w:val="bottom"/>
            <w:hideMark/>
          </w:tcPr>
          <w:p w14:paraId="1D0C872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206</w:t>
            </w:r>
          </w:p>
        </w:tc>
      </w:tr>
      <w:tr w:rsidR="00EE4837" w:rsidRPr="007239A6" w14:paraId="127C7D95" w14:textId="77777777" w:rsidTr="00181ACD">
        <w:trPr>
          <w:trHeight w:val="288"/>
        </w:trPr>
        <w:tc>
          <w:tcPr>
            <w:tcW w:w="1586" w:type="dxa"/>
            <w:tcBorders>
              <w:top w:val="nil"/>
              <w:left w:val="nil"/>
              <w:bottom w:val="nil"/>
              <w:right w:val="nil"/>
            </w:tcBorders>
            <w:shd w:val="clear" w:color="auto" w:fill="auto"/>
            <w:noWrap/>
            <w:vAlign w:val="bottom"/>
            <w:hideMark/>
          </w:tcPr>
          <w:p w14:paraId="01D86F78"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Stratford</w:t>
            </w:r>
          </w:p>
        </w:tc>
        <w:tc>
          <w:tcPr>
            <w:tcW w:w="1261" w:type="dxa"/>
            <w:tcBorders>
              <w:top w:val="nil"/>
              <w:left w:val="nil"/>
              <w:bottom w:val="nil"/>
              <w:right w:val="nil"/>
            </w:tcBorders>
            <w:shd w:val="clear" w:color="auto" w:fill="auto"/>
            <w:noWrap/>
            <w:vAlign w:val="bottom"/>
            <w:hideMark/>
          </w:tcPr>
          <w:p w14:paraId="6738FFA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11,375.3</w:t>
            </w:r>
          </w:p>
        </w:tc>
        <w:tc>
          <w:tcPr>
            <w:tcW w:w="960" w:type="dxa"/>
            <w:tcBorders>
              <w:top w:val="nil"/>
              <w:left w:val="nil"/>
              <w:bottom w:val="nil"/>
              <w:right w:val="nil"/>
            </w:tcBorders>
            <w:shd w:val="clear" w:color="auto" w:fill="auto"/>
            <w:noWrap/>
            <w:vAlign w:val="bottom"/>
            <w:hideMark/>
          </w:tcPr>
          <w:p w14:paraId="10B3D26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220</w:t>
            </w:r>
          </w:p>
        </w:tc>
        <w:tc>
          <w:tcPr>
            <w:tcW w:w="1261" w:type="dxa"/>
            <w:tcBorders>
              <w:top w:val="nil"/>
              <w:left w:val="nil"/>
              <w:bottom w:val="nil"/>
              <w:right w:val="nil"/>
            </w:tcBorders>
            <w:shd w:val="clear" w:color="auto" w:fill="auto"/>
            <w:noWrap/>
            <w:vAlign w:val="bottom"/>
            <w:hideMark/>
          </w:tcPr>
          <w:p w14:paraId="5D9C1C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10,285.8</w:t>
            </w:r>
          </w:p>
        </w:tc>
        <w:tc>
          <w:tcPr>
            <w:tcW w:w="960" w:type="dxa"/>
            <w:tcBorders>
              <w:top w:val="nil"/>
              <w:left w:val="nil"/>
              <w:bottom w:val="nil"/>
              <w:right w:val="nil"/>
            </w:tcBorders>
            <w:shd w:val="clear" w:color="auto" w:fill="auto"/>
            <w:noWrap/>
            <w:vAlign w:val="bottom"/>
            <w:hideMark/>
          </w:tcPr>
          <w:p w14:paraId="48FF2FB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199</w:t>
            </w:r>
          </w:p>
        </w:tc>
        <w:tc>
          <w:tcPr>
            <w:tcW w:w="1261" w:type="dxa"/>
            <w:tcBorders>
              <w:top w:val="nil"/>
              <w:left w:val="nil"/>
              <w:bottom w:val="nil"/>
              <w:right w:val="nil"/>
            </w:tcBorders>
            <w:shd w:val="clear" w:color="auto" w:fill="auto"/>
            <w:noWrap/>
            <w:vAlign w:val="bottom"/>
            <w:hideMark/>
          </w:tcPr>
          <w:p w14:paraId="00D6AD6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17,461.4</w:t>
            </w:r>
          </w:p>
        </w:tc>
        <w:tc>
          <w:tcPr>
            <w:tcW w:w="960" w:type="dxa"/>
            <w:tcBorders>
              <w:top w:val="nil"/>
              <w:left w:val="nil"/>
              <w:bottom w:val="nil"/>
              <w:right w:val="nil"/>
            </w:tcBorders>
            <w:shd w:val="clear" w:color="auto" w:fill="auto"/>
            <w:noWrap/>
            <w:vAlign w:val="bottom"/>
            <w:hideMark/>
          </w:tcPr>
          <w:p w14:paraId="46C69F5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338</w:t>
            </w:r>
          </w:p>
        </w:tc>
        <w:tc>
          <w:tcPr>
            <w:tcW w:w="1261" w:type="dxa"/>
            <w:tcBorders>
              <w:top w:val="nil"/>
              <w:left w:val="nil"/>
              <w:bottom w:val="nil"/>
              <w:right w:val="nil"/>
            </w:tcBorders>
            <w:shd w:val="clear" w:color="auto" w:fill="auto"/>
            <w:noWrap/>
            <w:vAlign w:val="bottom"/>
            <w:hideMark/>
          </w:tcPr>
          <w:p w14:paraId="4CDC519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14,660.3</w:t>
            </w:r>
          </w:p>
        </w:tc>
        <w:tc>
          <w:tcPr>
            <w:tcW w:w="960" w:type="dxa"/>
            <w:tcBorders>
              <w:top w:val="nil"/>
              <w:left w:val="nil"/>
              <w:bottom w:val="nil"/>
              <w:right w:val="nil"/>
            </w:tcBorders>
            <w:shd w:val="clear" w:color="auto" w:fill="auto"/>
            <w:noWrap/>
            <w:vAlign w:val="bottom"/>
            <w:hideMark/>
          </w:tcPr>
          <w:p w14:paraId="3B32992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284</w:t>
            </w:r>
          </w:p>
        </w:tc>
        <w:tc>
          <w:tcPr>
            <w:tcW w:w="1261" w:type="dxa"/>
            <w:tcBorders>
              <w:top w:val="nil"/>
              <w:left w:val="nil"/>
              <w:bottom w:val="nil"/>
              <w:right w:val="nil"/>
            </w:tcBorders>
            <w:shd w:val="clear" w:color="auto" w:fill="auto"/>
            <w:noWrap/>
            <w:vAlign w:val="bottom"/>
            <w:hideMark/>
          </w:tcPr>
          <w:p w14:paraId="1F2AF0D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16,212.9</w:t>
            </w:r>
          </w:p>
        </w:tc>
        <w:tc>
          <w:tcPr>
            <w:tcW w:w="960" w:type="dxa"/>
            <w:tcBorders>
              <w:top w:val="nil"/>
              <w:left w:val="nil"/>
              <w:bottom w:val="nil"/>
              <w:right w:val="nil"/>
            </w:tcBorders>
            <w:shd w:val="clear" w:color="auto" w:fill="auto"/>
            <w:noWrap/>
            <w:vAlign w:val="bottom"/>
            <w:hideMark/>
          </w:tcPr>
          <w:p w14:paraId="4D67643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314</w:t>
            </w:r>
          </w:p>
        </w:tc>
      </w:tr>
      <w:tr w:rsidR="00EE4837" w:rsidRPr="007239A6" w14:paraId="238588EE" w14:textId="77777777" w:rsidTr="00181ACD">
        <w:trPr>
          <w:trHeight w:val="288"/>
        </w:trPr>
        <w:tc>
          <w:tcPr>
            <w:tcW w:w="1586" w:type="dxa"/>
            <w:tcBorders>
              <w:top w:val="nil"/>
              <w:left w:val="nil"/>
              <w:bottom w:val="nil"/>
              <w:right w:val="nil"/>
            </w:tcBorders>
            <w:shd w:val="clear" w:color="auto" w:fill="auto"/>
            <w:noWrap/>
            <w:vAlign w:val="bottom"/>
            <w:hideMark/>
          </w:tcPr>
          <w:p w14:paraId="4CEA6A4F"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Suffield</w:t>
            </w:r>
          </w:p>
        </w:tc>
        <w:tc>
          <w:tcPr>
            <w:tcW w:w="1261" w:type="dxa"/>
            <w:tcBorders>
              <w:top w:val="nil"/>
              <w:left w:val="nil"/>
              <w:bottom w:val="nil"/>
              <w:right w:val="nil"/>
            </w:tcBorders>
            <w:shd w:val="clear" w:color="auto" w:fill="auto"/>
            <w:noWrap/>
            <w:vAlign w:val="bottom"/>
            <w:hideMark/>
          </w:tcPr>
          <w:p w14:paraId="57FD46D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4,765.1</w:t>
            </w:r>
          </w:p>
        </w:tc>
        <w:tc>
          <w:tcPr>
            <w:tcW w:w="960" w:type="dxa"/>
            <w:tcBorders>
              <w:top w:val="nil"/>
              <w:left w:val="nil"/>
              <w:bottom w:val="nil"/>
              <w:right w:val="nil"/>
            </w:tcBorders>
            <w:shd w:val="clear" w:color="auto" w:fill="auto"/>
            <w:noWrap/>
            <w:vAlign w:val="bottom"/>
            <w:hideMark/>
          </w:tcPr>
          <w:p w14:paraId="2A93A6C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303</w:t>
            </w:r>
          </w:p>
        </w:tc>
        <w:tc>
          <w:tcPr>
            <w:tcW w:w="1261" w:type="dxa"/>
            <w:tcBorders>
              <w:top w:val="nil"/>
              <w:left w:val="nil"/>
              <w:bottom w:val="nil"/>
              <w:right w:val="nil"/>
            </w:tcBorders>
            <w:shd w:val="clear" w:color="auto" w:fill="auto"/>
            <w:noWrap/>
            <w:vAlign w:val="bottom"/>
            <w:hideMark/>
          </w:tcPr>
          <w:p w14:paraId="7D71359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4,665.9</w:t>
            </w:r>
          </w:p>
        </w:tc>
        <w:tc>
          <w:tcPr>
            <w:tcW w:w="960" w:type="dxa"/>
            <w:tcBorders>
              <w:top w:val="nil"/>
              <w:left w:val="nil"/>
              <w:bottom w:val="nil"/>
              <w:right w:val="nil"/>
            </w:tcBorders>
            <w:shd w:val="clear" w:color="auto" w:fill="auto"/>
            <w:noWrap/>
            <w:vAlign w:val="bottom"/>
            <w:hideMark/>
          </w:tcPr>
          <w:p w14:paraId="7B21EF3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297</w:t>
            </w:r>
          </w:p>
        </w:tc>
        <w:tc>
          <w:tcPr>
            <w:tcW w:w="1261" w:type="dxa"/>
            <w:tcBorders>
              <w:top w:val="nil"/>
              <w:left w:val="nil"/>
              <w:bottom w:val="nil"/>
              <w:right w:val="nil"/>
            </w:tcBorders>
            <w:shd w:val="clear" w:color="auto" w:fill="auto"/>
            <w:noWrap/>
            <w:vAlign w:val="bottom"/>
            <w:hideMark/>
          </w:tcPr>
          <w:p w14:paraId="5FE4146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2,201.3</w:t>
            </w:r>
          </w:p>
        </w:tc>
        <w:tc>
          <w:tcPr>
            <w:tcW w:w="960" w:type="dxa"/>
            <w:tcBorders>
              <w:top w:val="nil"/>
              <w:left w:val="nil"/>
              <w:bottom w:val="nil"/>
              <w:right w:val="nil"/>
            </w:tcBorders>
            <w:shd w:val="clear" w:color="auto" w:fill="auto"/>
            <w:noWrap/>
            <w:vAlign w:val="bottom"/>
            <w:hideMark/>
          </w:tcPr>
          <w:p w14:paraId="4BF0CA5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140</w:t>
            </w:r>
          </w:p>
        </w:tc>
        <w:tc>
          <w:tcPr>
            <w:tcW w:w="1261" w:type="dxa"/>
            <w:tcBorders>
              <w:top w:val="nil"/>
              <w:left w:val="nil"/>
              <w:bottom w:val="nil"/>
              <w:right w:val="nil"/>
            </w:tcBorders>
            <w:shd w:val="clear" w:color="auto" w:fill="auto"/>
            <w:noWrap/>
            <w:vAlign w:val="bottom"/>
            <w:hideMark/>
          </w:tcPr>
          <w:p w14:paraId="6F8FCB5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4,895.1</w:t>
            </w:r>
          </w:p>
        </w:tc>
        <w:tc>
          <w:tcPr>
            <w:tcW w:w="960" w:type="dxa"/>
            <w:tcBorders>
              <w:top w:val="nil"/>
              <w:left w:val="nil"/>
              <w:bottom w:val="nil"/>
              <w:right w:val="nil"/>
            </w:tcBorders>
            <w:shd w:val="clear" w:color="auto" w:fill="auto"/>
            <w:noWrap/>
            <w:vAlign w:val="bottom"/>
            <w:hideMark/>
          </w:tcPr>
          <w:p w14:paraId="7A78B0F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311</w:t>
            </w:r>
          </w:p>
        </w:tc>
        <w:tc>
          <w:tcPr>
            <w:tcW w:w="1261" w:type="dxa"/>
            <w:tcBorders>
              <w:top w:val="nil"/>
              <w:left w:val="nil"/>
              <w:bottom w:val="nil"/>
              <w:right w:val="nil"/>
            </w:tcBorders>
            <w:shd w:val="clear" w:color="auto" w:fill="auto"/>
            <w:noWrap/>
            <w:vAlign w:val="bottom"/>
            <w:hideMark/>
          </w:tcPr>
          <w:p w14:paraId="032A681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3,486.3</w:t>
            </w:r>
          </w:p>
        </w:tc>
        <w:tc>
          <w:tcPr>
            <w:tcW w:w="960" w:type="dxa"/>
            <w:tcBorders>
              <w:top w:val="nil"/>
              <w:left w:val="nil"/>
              <w:bottom w:val="nil"/>
              <w:right w:val="nil"/>
            </w:tcBorders>
            <w:shd w:val="clear" w:color="auto" w:fill="auto"/>
            <w:noWrap/>
            <w:vAlign w:val="bottom"/>
            <w:hideMark/>
          </w:tcPr>
          <w:p w14:paraId="0CE7611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222</w:t>
            </w:r>
          </w:p>
        </w:tc>
      </w:tr>
      <w:tr w:rsidR="00EE4837" w:rsidRPr="007239A6" w14:paraId="485E80CC" w14:textId="77777777" w:rsidTr="00181ACD">
        <w:trPr>
          <w:trHeight w:val="288"/>
        </w:trPr>
        <w:tc>
          <w:tcPr>
            <w:tcW w:w="1586" w:type="dxa"/>
            <w:tcBorders>
              <w:top w:val="nil"/>
              <w:left w:val="nil"/>
              <w:bottom w:val="nil"/>
              <w:right w:val="nil"/>
            </w:tcBorders>
            <w:shd w:val="clear" w:color="auto" w:fill="auto"/>
            <w:noWrap/>
            <w:vAlign w:val="bottom"/>
            <w:hideMark/>
          </w:tcPr>
          <w:p w14:paraId="54E2D270"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Thomaston</w:t>
            </w:r>
          </w:p>
        </w:tc>
        <w:tc>
          <w:tcPr>
            <w:tcW w:w="1261" w:type="dxa"/>
            <w:tcBorders>
              <w:top w:val="nil"/>
              <w:left w:val="nil"/>
              <w:bottom w:val="nil"/>
              <w:right w:val="nil"/>
            </w:tcBorders>
            <w:shd w:val="clear" w:color="auto" w:fill="auto"/>
            <w:noWrap/>
            <w:vAlign w:val="bottom"/>
            <w:hideMark/>
          </w:tcPr>
          <w:p w14:paraId="1CB0084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1,673.4</w:t>
            </w:r>
          </w:p>
        </w:tc>
        <w:tc>
          <w:tcPr>
            <w:tcW w:w="960" w:type="dxa"/>
            <w:tcBorders>
              <w:top w:val="nil"/>
              <w:left w:val="nil"/>
              <w:bottom w:val="nil"/>
              <w:right w:val="nil"/>
            </w:tcBorders>
            <w:shd w:val="clear" w:color="auto" w:fill="auto"/>
            <w:noWrap/>
            <w:vAlign w:val="bottom"/>
            <w:hideMark/>
          </w:tcPr>
          <w:p w14:paraId="283AC8C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214</w:t>
            </w:r>
          </w:p>
        </w:tc>
        <w:tc>
          <w:tcPr>
            <w:tcW w:w="1261" w:type="dxa"/>
            <w:tcBorders>
              <w:top w:val="nil"/>
              <w:left w:val="nil"/>
              <w:bottom w:val="nil"/>
              <w:right w:val="nil"/>
            </w:tcBorders>
            <w:shd w:val="clear" w:color="auto" w:fill="auto"/>
            <w:noWrap/>
            <w:vAlign w:val="bottom"/>
            <w:hideMark/>
          </w:tcPr>
          <w:p w14:paraId="7234BE6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1,544.0</w:t>
            </w:r>
          </w:p>
        </w:tc>
        <w:tc>
          <w:tcPr>
            <w:tcW w:w="960" w:type="dxa"/>
            <w:tcBorders>
              <w:top w:val="nil"/>
              <w:left w:val="nil"/>
              <w:bottom w:val="nil"/>
              <w:right w:val="nil"/>
            </w:tcBorders>
            <w:shd w:val="clear" w:color="auto" w:fill="auto"/>
            <w:noWrap/>
            <w:vAlign w:val="bottom"/>
            <w:hideMark/>
          </w:tcPr>
          <w:p w14:paraId="6C7A306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197</w:t>
            </w:r>
          </w:p>
        </w:tc>
        <w:tc>
          <w:tcPr>
            <w:tcW w:w="1261" w:type="dxa"/>
            <w:tcBorders>
              <w:top w:val="nil"/>
              <w:left w:val="nil"/>
              <w:bottom w:val="nil"/>
              <w:right w:val="nil"/>
            </w:tcBorders>
            <w:shd w:val="clear" w:color="auto" w:fill="auto"/>
            <w:noWrap/>
            <w:vAlign w:val="bottom"/>
            <w:hideMark/>
          </w:tcPr>
          <w:p w14:paraId="26A0440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1,518.4</w:t>
            </w:r>
          </w:p>
        </w:tc>
        <w:tc>
          <w:tcPr>
            <w:tcW w:w="960" w:type="dxa"/>
            <w:tcBorders>
              <w:top w:val="nil"/>
              <w:left w:val="nil"/>
              <w:bottom w:val="nil"/>
              <w:right w:val="nil"/>
            </w:tcBorders>
            <w:shd w:val="clear" w:color="auto" w:fill="auto"/>
            <w:noWrap/>
            <w:vAlign w:val="bottom"/>
            <w:hideMark/>
          </w:tcPr>
          <w:p w14:paraId="6D5E7B3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194</w:t>
            </w:r>
          </w:p>
        </w:tc>
        <w:tc>
          <w:tcPr>
            <w:tcW w:w="1261" w:type="dxa"/>
            <w:tcBorders>
              <w:top w:val="nil"/>
              <w:left w:val="nil"/>
              <w:bottom w:val="nil"/>
              <w:right w:val="nil"/>
            </w:tcBorders>
            <w:shd w:val="clear" w:color="auto" w:fill="auto"/>
            <w:noWrap/>
            <w:vAlign w:val="bottom"/>
            <w:hideMark/>
          </w:tcPr>
          <w:p w14:paraId="5CA9A91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2,180.6</w:t>
            </w:r>
          </w:p>
        </w:tc>
        <w:tc>
          <w:tcPr>
            <w:tcW w:w="960" w:type="dxa"/>
            <w:tcBorders>
              <w:top w:val="nil"/>
              <w:left w:val="nil"/>
              <w:bottom w:val="nil"/>
              <w:right w:val="nil"/>
            </w:tcBorders>
            <w:shd w:val="clear" w:color="auto" w:fill="auto"/>
            <w:noWrap/>
            <w:vAlign w:val="bottom"/>
            <w:hideMark/>
          </w:tcPr>
          <w:p w14:paraId="73C80B7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278</w:t>
            </w:r>
          </w:p>
        </w:tc>
        <w:tc>
          <w:tcPr>
            <w:tcW w:w="1261" w:type="dxa"/>
            <w:tcBorders>
              <w:top w:val="nil"/>
              <w:left w:val="nil"/>
              <w:bottom w:val="nil"/>
              <w:right w:val="nil"/>
            </w:tcBorders>
            <w:shd w:val="clear" w:color="auto" w:fill="auto"/>
            <w:noWrap/>
            <w:vAlign w:val="bottom"/>
            <w:hideMark/>
          </w:tcPr>
          <w:p w14:paraId="5C6C3AE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1,836.9</w:t>
            </w:r>
          </w:p>
        </w:tc>
        <w:tc>
          <w:tcPr>
            <w:tcW w:w="960" w:type="dxa"/>
            <w:tcBorders>
              <w:top w:val="nil"/>
              <w:left w:val="nil"/>
              <w:bottom w:val="nil"/>
              <w:right w:val="nil"/>
            </w:tcBorders>
            <w:shd w:val="clear" w:color="auto" w:fill="auto"/>
            <w:noWrap/>
            <w:vAlign w:val="bottom"/>
            <w:hideMark/>
          </w:tcPr>
          <w:p w14:paraId="3F1CA12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235</w:t>
            </w:r>
          </w:p>
        </w:tc>
      </w:tr>
      <w:tr w:rsidR="00EE4837" w:rsidRPr="007239A6" w14:paraId="6E447F18" w14:textId="77777777" w:rsidTr="00181ACD">
        <w:trPr>
          <w:trHeight w:val="288"/>
        </w:trPr>
        <w:tc>
          <w:tcPr>
            <w:tcW w:w="1586" w:type="dxa"/>
            <w:tcBorders>
              <w:top w:val="nil"/>
              <w:left w:val="nil"/>
              <w:bottom w:val="nil"/>
              <w:right w:val="nil"/>
            </w:tcBorders>
            <w:shd w:val="clear" w:color="auto" w:fill="auto"/>
            <w:noWrap/>
            <w:vAlign w:val="bottom"/>
            <w:hideMark/>
          </w:tcPr>
          <w:p w14:paraId="6C7FFE14"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Thompson</w:t>
            </w:r>
          </w:p>
        </w:tc>
        <w:tc>
          <w:tcPr>
            <w:tcW w:w="1261" w:type="dxa"/>
            <w:tcBorders>
              <w:top w:val="nil"/>
              <w:left w:val="nil"/>
              <w:bottom w:val="nil"/>
              <w:right w:val="nil"/>
            </w:tcBorders>
            <w:shd w:val="clear" w:color="auto" w:fill="auto"/>
            <w:noWrap/>
            <w:vAlign w:val="bottom"/>
            <w:hideMark/>
          </w:tcPr>
          <w:p w14:paraId="05433BA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1,749.0</w:t>
            </w:r>
          </w:p>
        </w:tc>
        <w:tc>
          <w:tcPr>
            <w:tcW w:w="960" w:type="dxa"/>
            <w:tcBorders>
              <w:top w:val="nil"/>
              <w:left w:val="nil"/>
              <w:bottom w:val="nil"/>
              <w:right w:val="nil"/>
            </w:tcBorders>
            <w:shd w:val="clear" w:color="auto" w:fill="auto"/>
            <w:noWrap/>
            <w:vAlign w:val="bottom"/>
            <w:hideMark/>
          </w:tcPr>
          <w:p w14:paraId="7F544F3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186</w:t>
            </w:r>
          </w:p>
        </w:tc>
        <w:tc>
          <w:tcPr>
            <w:tcW w:w="1261" w:type="dxa"/>
            <w:tcBorders>
              <w:top w:val="nil"/>
              <w:left w:val="nil"/>
              <w:bottom w:val="nil"/>
              <w:right w:val="nil"/>
            </w:tcBorders>
            <w:shd w:val="clear" w:color="auto" w:fill="auto"/>
            <w:noWrap/>
            <w:vAlign w:val="bottom"/>
            <w:hideMark/>
          </w:tcPr>
          <w:p w14:paraId="606F806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842.5</w:t>
            </w:r>
          </w:p>
        </w:tc>
        <w:tc>
          <w:tcPr>
            <w:tcW w:w="960" w:type="dxa"/>
            <w:tcBorders>
              <w:top w:val="nil"/>
              <w:left w:val="nil"/>
              <w:bottom w:val="nil"/>
              <w:right w:val="nil"/>
            </w:tcBorders>
            <w:shd w:val="clear" w:color="auto" w:fill="auto"/>
            <w:noWrap/>
            <w:vAlign w:val="bottom"/>
            <w:hideMark/>
          </w:tcPr>
          <w:p w14:paraId="309E4C8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90</w:t>
            </w:r>
          </w:p>
        </w:tc>
        <w:tc>
          <w:tcPr>
            <w:tcW w:w="1261" w:type="dxa"/>
            <w:tcBorders>
              <w:top w:val="nil"/>
              <w:left w:val="nil"/>
              <w:bottom w:val="nil"/>
              <w:right w:val="nil"/>
            </w:tcBorders>
            <w:shd w:val="clear" w:color="auto" w:fill="auto"/>
            <w:noWrap/>
            <w:vAlign w:val="bottom"/>
            <w:hideMark/>
          </w:tcPr>
          <w:p w14:paraId="43EAD81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658.0</w:t>
            </w:r>
          </w:p>
        </w:tc>
        <w:tc>
          <w:tcPr>
            <w:tcW w:w="960" w:type="dxa"/>
            <w:tcBorders>
              <w:top w:val="nil"/>
              <w:left w:val="nil"/>
              <w:bottom w:val="nil"/>
              <w:right w:val="nil"/>
            </w:tcBorders>
            <w:shd w:val="clear" w:color="auto" w:fill="auto"/>
            <w:noWrap/>
            <w:vAlign w:val="bottom"/>
            <w:hideMark/>
          </w:tcPr>
          <w:p w14:paraId="236FFC2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70</w:t>
            </w:r>
          </w:p>
        </w:tc>
        <w:tc>
          <w:tcPr>
            <w:tcW w:w="1261" w:type="dxa"/>
            <w:tcBorders>
              <w:top w:val="nil"/>
              <w:left w:val="nil"/>
              <w:bottom w:val="nil"/>
              <w:right w:val="nil"/>
            </w:tcBorders>
            <w:shd w:val="clear" w:color="auto" w:fill="auto"/>
            <w:noWrap/>
            <w:vAlign w:val="bottom"/>
            <w:hideMark/>
          </w:tcPr>
          <w:p w14:paraId="1A289D2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1,167.4</w:t>
            </w:r>
          </w:p>
        </w:tc>
        <w:tc>
          <w:tcPr>
            <w:tcW w:w="960" w:type="dxa"/>
            <w:tcBorders>
              <w:top w:val="nil"/>
              <w:left w:val="nil"/>
              <w:bottom w:val="nil"/>
              <w:right w:val="nil"/>
            </w:tcBorders>
            <w:shd w:val="clear" w:color="auto" w:fill="auto"/>
            <w:noWrap/>
            <w:vAlign w:val="bottom"/>
            <w:hideMark/>
          </w:tcPr>
          <w:p w14:paraId="23211A1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124</w:t>
            </w:r>
          </w:p>
        </w:tc>
        <w:tc>
          <w:tcPr>
            <w:tcW w:w="1261" w:type="dxa"/>
            <w:tcBorders>
              <w:top w:val="nil"/>
              <w:left w:val="nil"/>
              <w:bottom w:val="nil"/>
              <w:right w:val="nil"/>
            </w:tcBorders>
            <w:shd w:val="clear" w:color="auto" w:fill="auto"/>
            <w:noWrap/>
            <w:vAlign w:val="bottom"/>
            <w:hideMark/>
          </w:tcPr>
          <w:p w14:paraId="47F1A33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903.2</w:t>
            </w:r>
          </w:p>
        </w:tc>
        <w:tc>
          <w:tcPr>
            <w:tcW w:w="960" w:type="dxa"/>
            <w:tcBorders>
              <w:top w:val="nil"/>
              <w:left w:val="nil"/>
              <w:bottom w:val="nil"/>
              <w:right w:val="nil"/>
            </w:tcBorders>
            <w:shd w:val="clear" w:color="auto" w:fill="auto"/>
            <w:noWrap/>
            <w:vAlign w:val="bottom"/>
            <w:hideMark/>
          </w:tcPr>
          <w:p w14:paraId="1C0E5E4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96</w:t>
            </w:r>
          </w:p>
        </w:tc>
      </w:tr>
      <w:tr w:rsidR="00EE4837" w:rsidRPr="007239A6" w14:paraId="2D7A9B03" w14:textId="77777777" w:rsidTr="00181ACD">
        <w:trPr>
          <w:trHeight w:val="288"/>
        </w:trPr>
        <w:tc>
          <w:tcPr>
            <w:tcW w:w="1586" w:type="dxa"/>
            <w:tcBorders>
              <w:top w:val="nil"/>
              <w:left w:val="nil"/>
              <w:bottom w:val="nil"/>
              <w:right w:val="nil"/>
            </w:tcBorders>
            <w:shd w:val="clear" w:color="auto" w:fill="auto"/>
            <w:noWrap/>
            <w:vAlign w:val="bottom"/>
            <w:hideMark/>
          </w:tcPr>
          <w:p w14:paraId="54CCB4BA"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Tolland</w:t>
            </w:r>
          </w:p>
        </w:tc>
        <w:tc>
          <w:tcPr>
            <w:tcW w:w="1261" w:type="dxa"/>
            <w:tcBorders>
              <w:top w:val="nil"/>
              <w:left w:val="nil"/>
              <w:bottom w:val="nil"/>
              <w:right w:val="nil"/>
            </w:tcBorders>
            <w:shd w:val="clear" w:color="auto" w:fill="auto"/>
            <w:noWrap/>
            <w:vAlign w:val="bottom"/>
            <w:hideMark/>
          </w:tcPr>
          <w:p w14:paraId="4C3E2AE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4,784.8</w:t>
            </w:r>
          </w:p>
        </w:tc>
        <w:tc>
          <w:tcPr>
            <w:tcW w:w="960" w:type="dxa"/>
            <w:tcBorders>
              <w:top w:val="nil"/>
              <w:left w:val="nil"/>
              <w:bottom w:val="nil"/>
              <w:right w:val="nil"/>
            </w:tcBorders>
            <w:shd w:val="clear" w:color="auto" w:fill="auto"/>
            <w:noWrap/>
            <w:vAlign w:val="bottom"/>
            <w:hideMark/>
          </w:tcPr>
          <w:p w14:paraId="08007F8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319</w:t>
            </w:r>
          </w:p>
        </w:tc>
        <w:tc>
          <w:tcPr>
            <w:tcW w:w="1261" w:type="dxa"/>
            <w:tcBorders>
              <w:top w:val="nil"/>
              <w:left w:val="nil"/>
              <w:bottom w:val="nil"/>
              <w:right w:val="nil"/>
            </w:tcBorders>
            <w:shd w:val="clear" w:color="auto" w:fill="auto"/>
            <w:noWrap/>
            <w:vAlign w:val="bottom"/>
            <w:hideMark/>
          </w:tcPr>
          <w:p w14:paraId="16299DA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5,191.6</w:t>
            </w:r>
          </w:p>
        </w:tc>
        <w:tc>
          <w:tcPr>
            <w:tcW w:w="960" w:type="dxa"/>
            <w:tcBorders>
              <w:top w:val="nil"/>
              <w:left w:val="nil"/>
              <w:bottom w:val="nil"/>
              <w:right w:val="nil"/>
            </w:tcBorders>
            <w:shd w:val="clear" w:color="auto" w:fill="auto"/>
            <w:noWrap/>
            <w:vAlign w:val="bottom"/>
            <w:hideMark/>
          </w:tcPr>
          <w:p w14:paraId="55913B2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347</w:t>
            </w:r>
          </w:p>
        </w:tc>
        <w:tc>
          <w:tcPr>
            <w:tcW w:w="1261" w:type="dxa"/>
            <w:tcBorders>
              <w:top w:val="nil"/>
              <w:left w:val="nil"/>
              <w:bottom w:val="nil"/>
              <w:right w:val="nil"/>
            </w:tcBorders>
            <w:shd w:val="clear" w:color="auto" w:fill="auto"/>
            <w:noWrap/>
            <w:vAlign w:val="bottom"/>
            <w:hideMark/>
          </w:tcPr>
          <w:p w14:paraId="3F96FED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2,036.4</w:t>
            </w:r>
          </w:p>
        </w:tc>
        <w:tc>
          <w:tcPr>
            <w:tcW w:w="960" w:type="dxa"/>
            <w:tcBorders>
              <w:top w:val="nil"/>
              <w:left w:val="nil"/>
              <w:bottom w:val="nil"/>
              <w:right w:val="nil"/>
            </w:tcBorders>
            <w:shd w:val="clear" w:color="auto" w:fill="auto"/>
            <w:noWrap/>
            <w:vAlign w:val="bottom"/>
            <w:hideMark/>
          </w:tcPr>
          <w:p w14:paraId="1EBB566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136</w:t>
            </w:r>
          </w:p>
        </w:tc>
        <w:tc>
          <w:tcPr>
            <w:tcW w:w="1261" w:type="dxa"/>
            <w:tcBorders>
              <w:top w:val="nil"/>
              <w:left w:val="nil"/>
              <w:bottom w:val="nil"/>
              <w:right w:val="nil"/>
            </w:tcBorders>
            <w:shd w:val="clear" w:color="auto" w:fill="auto"/>
            <w:noWrap/>
            <w:vAlign w:val="bottom"/>
            <w:hideMark/>
          </w:tcPr>
          <w:p w14:paraId="13ED534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6,166.7</w:t>
            </w:r>
          </w:p>
        </w:tc>
        <w:tc>
          <w:tcPr>
            <w:tcW w:w="960" w:type="dxa"/>
            <w:tcBorders>
              <w:top w:val="nil"/>
              <w:left w:val="nil"/>
              <w:bottom w:val="nil"/>
              <w:right w:val="nil"/>
            </w:tcBorders>
            <w:shd w:val="clear" w:color="auto" w:fill="auto"/>
            <w:noWrap/>
            <w:vAlign w:val="bottom"/>
            <w:hideMark/>
          </w:tcPr>
          <w:p w14:paraId="12A1942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412</w:t>
            </w:r>
          </w:p>
        </w:tc>
        <w:tc>
          <w:tcPr>
            <w:tcW w:w="1261" w:type="dxa"/>
            <w:tcBorders>
              <w:top w:val="nil"/>
              <w:left w:val="nil"/>
              <w:bottom w:val="nil"/>
              <w:right w:val="nil"/>
            </w:tcBorders>
            <w:shd w:val="clear" w:color="auto" w:fill="auto"/>
            <w:noWrap/>
            <w:vAlign w:val="bottom"/>
            <w:hideMark/>
          </w:tcPr>
          <w:p w14:paraId="5BBE6F1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3,968.2</w:t>
            </w:r>
          </w:p>
        </w:tc>
        <w:tc>
          <w:tcPr>
            <w:tcW w:w="960" w:type="dxa"/>
            <w:tcBorders>
              <w:top w:val="nil"/>
              <w:left w:val="nil"/>
              <w:bottom w:val="nil"/>
              <w:right w:val="nil"/>
            </w:tcBorders>
            <w:shd w:val="clear" w:color="auto" w:fill="auto"/>
            <w:noWrap/>
            <w:vAlign w:val="bottom"/>
            <w:hideMark/>
          </w:tcPr>
          <w:p w14:paraId="33B7CE8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265</w:t>
            </w:r>
          </w:p>
        </w:tc>
      </w:tr>
      <w:tr w:rsidR="00EE4837" w:rsidRPr="007239A6" w14:paraId="47F67F28" w14:textId="77777777" w:rsidTr="00181ACD">
        <w:trPr>
          <w:trHeight w:val="288"/>
        </w:trPr>
        <w:tc>
          <w:tcPr>
            <w:tcW w:w="1586" w:type="dxa"/>
            <w:tcBorders>
              <w:top w:val="nil"/>
              <w:left w:val="nil"/>
              <w:bottom w:val="nil"/>
              <w:right w:val="nil"/>
            </w:tcBorders>
            <w:shd w:val="clear" w:color="auto" w:fill="auto"/>
            <w:noWrap/>
            <w:vAlign w:val="bottom"/>
            <w:hideMark/>
          </w:tcPr>
          <w:p w14:paraId="53997BA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Torrington</w:t>
            </w:r>
          </w:p>
        </w:tc>
        <w:tc>
          <w:tcPr>
            <w:tcW w:w="1261" w:type="dxa"/>
            <w:tcBorders>
              <w:top w:val="nil"/>
              <w:left w:val="nil"/>
              <w:bottom w:val="nil"/>
              <w:right w:val="nil"/>
            </w:tcBorders>
            <w:shd w:val="clear" w:color="auto" w:fill="auto"/>
            <w:noWrap/>
            <w:vAlign w:val="bottom"/>
            <w:hideMark/>
          </w:tcPr>
          <w:p w14:paraId="4228E2D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6,142.4</w:t>
            </w:r>
          </w:p>
        </w:tc>
        <w:tc>
          <w:tcPr>
            <w:tcW w:w="960" w:type="dxa"/>
            <w:tcBorders>
              <w:top w:val="nil"/>
              <w:left w:val="nil"/>
              <w:bottom w:val="nil"/>
              <w:right w:val="nil"/>
            </w:tcBorders>
            <w:shd w:val="clear" w:color="auto" w:fill="auto"/>
            <w:noWrap/>
            <w:vAlign w:val="bottom"/>
            <w:hideMark/>
          </w:tcPr>
          <w:p w14:paraId="359469D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170</w:t>
            </w:r>
          </w:p>
        </w:tc>
        <w:tc>
          <w:tcPr>
            <w:tcW w:w="1261" w:type="dxa"/>
            <w:tcBorders>
              <w:top w:val="nil"/>
              <w:left w:val="nil"/>
              <w:bottom w:val="nil"/>
              <w:right w:val="nil"/>
            </w:tcBorders>
            <w:shd w:val="clear" w:color="auto" w:fill="auto"/>
            <w:noWrap/>
            <w:vAlign w:val="bottom"/>
            <w:hideMark/>
          </w:tcPr>
          <w:p w14:paraId="19AE2FD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5,099.0</w:t>
            </w:r>
          </w:p>
        </w:tc>
        <w:tc>
          <w:tcPr>
            <w:tcW w:w="960" w:type="dxa"/>
            <w:tcBorders>
              <w:top w:val="nil"/>
              <w:left w:val="nil"/>
              <w:bottom w:val="nil"/>
              <w:right w:val="nil"/>
            </w:tcBorders>
            <w:shd w:val="clear" w:color="auto" w:fill="auto"/>
            <w:noWrap/>
            <w:vAlign w:val="bottom"/>
            <w:hideMark/>
          </w:tcPr>
          <w:p w14:paraId="4A6EC5F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141</w:t>
            </w:r>
          </w:p>
        </w:tc>
        <w:tc>
          <w:tcPr>
            <w:tcW w:w="1261" w:type="dxa"/>
            <w:tcBorders>
              <w:top w:val="nil"/>
              <w:left w:val="nil"/>
              <w:bottom w:val="nil"/>
              <w:right w:val="nil"/>
            </w:tcBorders>
            <w:shd w:val="clear" w:color="auto" w:fill="auto"/>
            <w:noWrap/>
            <w:vAlign w:val="bottom"/>
            <w:hideMark/>
          </w:tcPr>
          <w:p w14:paraId="16AD73A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7,470.8</w:t>
            </w:r>
          </w:p>
        </w:tc>
        <w:tc>
          <w:tcPr>
            <w:tcW w:w="960" w:type="dxa"/>
            <w:tcBorders>
              <w:top w:val="nil"/>
              <w:left w:val="nil"/>
              <w:bottom w:val="nil"/>
              <w:right w:val="nil"/>
            </w:tcBorders>
            <w:shd w:val="clear" w:color="auto" w:fill="auto"/>
            <w:noWrap/>
            <w:vAlign w:val="bottom"/>
            <w:hideMark/>
          </w:tcPr>
          <w:p w14:paraId="173B1FE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207</w:t>
            </w:r>
          </w:p>
        </w:tc>
        <w:tc>
          <w:tcPr>
            <w:tcW w:w="1261" w:type="dxa"/>
            <w:tcBorders>
              <w:top w:val="nil"/>
              <w:left w:val="nil"/>
              <w:bottom w:val="nil"/>
              <w:right w:val="nil"/>
            </w:tcBorders>
            <w:shd w:val="clear" w:color="auto" w:fill="auto"/>
            <w:noWrap/>
            <w:vAlign w:val="bottom"/>
            <w:hideMark/>
          </w:tcPr>
          <w:p w14:paraId="5244481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7,980.4</w:t>
            </w:r>
          </w:p>
        </w:tc>
        <w:tc>
          <w:tcPr>
            <w:tcW w:w="960" w:type="dxa"/>
            <w:tcBorders>
              <w:top w:val="nil"/>
              <w:left w:val="nil"/>
              <w:bottom w:val="nil"/>
              <w:right w:val="nil"/>
            </w:tcBorders>
            <w:shd w:val="clear" w:color="auto" w:fill="auto"/>
            <w:noWrap/>
            <w:vAlign w:val="bottom"/>
            <w:hideMark/>
          </w:tcPr>
          <w:p w14:paraId="208DC23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221</w:t>
            </w:r>
          </w:p>
        </w:tc>
        <w:tc>
          <w:tcPr>
            <w:tcW w:w="1261" w:type="dxa"/>
            <w:tcBorders>
              <w:top w:val="nil"/>
              <w:left w:val="nil"/>
              <w:bottom w:val="nil"/>
              <w:right w:val="nil"/>
            </w:tcBorders>
            <w:shd w:val="clear" w:color="auto" w:fill="auto"/>
            <w:noWrap/>
            <w:vAlign w:val="bottom"/>
            <w:hideMark/>
          </w:tcPr>
          <w:p w14:paraId="796186F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7,728.3</w:t>
            </w:r>
          </w:p>
        </w:tc>
        <w:tc>
          <w:tcPr>
            <w:tcW w:w="960" w:type="dxa"/>
            <w:tcBorders>
              <w:top w:val="nil"/>
              <w:left w:val="nil"/>
              <w:bottom w:val="nil"/>
              <w:right w:val="nil"/>
            </w:tcBorders>
            <w:shd w:val="clear" w:color="auto" w:fill="auto"/>
            <w:noWrap/>
            <w:vAlign w:val="bottom"/>
            <w:hideMark/>
          </w:tcPr>
          <w:p w14:paraId="2D844FC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214</w:t>
            </w:r>
          </w:p>
        </w:tc>
      </w:tr>
      <w:tr w:rsidR="00EE4837" w:rsidRPr="007239A6" w14:paraId="1F89C79B" w14:textId="77777777" w:rsidTr="00181ACD">
        <w:trPr>
          <w:trHeight w:val="288"/>
        </w:trPr>
        <w:tc>
          <w:tcPr>
            <w:tcW w:w="1586" w:type="dxa"/>
            <w:tcBorders>
              <w:top w:val="nil"/>
              <w:left w:val="nil"/>
              <w:bottom w:val="nil"/>
              <w:right w:val="nil"/>
            </w:tcBorders>
            <w:shd w:val="clear" w:color="auto" w:fill="auto"/>
            <w:noWrap/>
            <w:vAlign w:val="bottom"/>
            <w:hideMark/>
          </w:tcPr>
          <w:p w14:paraId="5678FBE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Trumbull</w:t>
            </w:r>
          </w:p>
        </w:tc>
        <w:tc>
          <w:tcPr>
            <w:tcW w:w="1261" w:type="dxa"/>
            <w:tcBorders>
              <w:top w:val="nil"/>
              <w:left w:val="nil"/>
              <w:bottom w:val="nil"/>
              <w:right w:val="nil"/>
            </w:tcBorders>
            <w:shd w:val="clear" w:color="auto" w:fill="auto"/>
            <w:noWrap/>
            <w:vAlign w:val="bottom"/>
            <w:hideMark/>
          </w:tcPr>
          <w:p w14:paraId="7A645C4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12,123.3</w:t>
            </w:r>
          </w:p>
        </w:tc>
        <w:tc>
          <w:tcPr>
            <w:tcW w:w="960" w:type="dxa"/>
            <w:tcBorders>
              <w:top w:val="nil"/>
              <w:left w:val="nil"/>
              <w:bottom w:val="nil"/>
              <w:right w:val="nil"/>
            </w:tcBorders>
            <w:shd w:val="clear" w:color="auto" w:fill="auto"/>
            <w:noWrap/>
            <w:vAlign w:val="bottom"/>
            <w:hideMark/>
          </w:tcPr>
          <w:p w14:paraId="7734F2B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334</w:t>
            </w:r>
          </w:p>
        </w:tc>
        <w:tc>
          <w:tcPr>
            <w:tcW w:w="1261" w:type="dxa"/>
            <w:tcBorders>
              <w:top w:val="nil"/>
              <w:left w:val="nil"/>
              <w:bottom w:val="nil"/>
              <w:right w:val="nil"/>
            </w:tcBorders>
            <w:shd w:val="clear" w:color="auto" w:fill="auto"/>
            <w:noWrap/>
            <w:vAlign w:val="bottom"/>
            <w:hideMark/>
          </w:tcPr>
          <w:p w14:paraId="454F8DE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12,919.8</w:t>
            </w:r>
          </w:p>
        </w:tc>
        <w:tc>
          <w:tcPr>
            <w:tcW w:w="960" w:type="dxa"/>
            <w:tcBorders>
              <w:top w:val="nil"/>
              <w:left w:val="nil"/>
              <w:bottom w:val="nil"/>
              <w:right w:val="nil"/>
            </w:tcBorders>
            <w:shd w:val="clear" w:color="auto" w:fill="auto"/>
            <w:noWrap/>
            <w:vAlign w:val="bottom"/>
            <w:hideMark/>
          </w:tcPr>
          <w:p w14:paraId="1802A3E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356</w:t>
            </w:r>
          </w:p>
        </w:tc>
        <w:tc>
          <w:tcPr>
            <w:tcW w:w="1261" w:type="dxa"/>
            <w:tcBorders>
              <w:top w:val="nil"/>
              <w:left w:val="nil"/>
              <w:bottom w:val="nil"/>
              <w:right w:val="nil"/>
            </w:tcBorders>
            <w:shd w:val="clear" w:color="auto" w:fill="auto"/>
            <w:noWrap/>
            <w:vAlign w:val="bottom"/>
            <w:hideMark/>
          </w:tcPr>
          <w:p w14:paraId="3857242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8,668.8</w:t>
            </w:r>
          </w:p>
        </w:tc>
        <w:tc>
          <w:tcPr>
            <w:tcW w:w="960" w:type="dxa"/>
            <w:tcBorders>
              <w:top w:val="nil"/>
              <w:left w:val="nil"/>
              <w:bottom w:val="nil"/>
              <w:right w:val="nil"/>
            </w:tcBorders>
            <w:shd w:val="clear" w:color="auto" w:fill="auto"/>
            <w:noWrap/>
            <w:vAlign w:val="bottom"/>
            <w:hideMark/>
          </w:tcPr>
          <w:p w14:paraId="02136F8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239</w:t>
            </w:r>
          </w:p>
        </w:tc>
        <w:tc>
          <w:tcPr>
            <w:tcW w:w="1261" w:type="dxa"/>
            <w:tcBorders>
              <w:top w:val="nil"/>
              <w:left w:val="nil"/>
              <w:bottom w:val="nil"/>
              <w:right w:val="nil"/>
            </w:tcBorders>
            <w:shd w:val="clear" w:color="auto" w:fill="auto"/>
            <w:noWrap/>
            <w:vAlign w:val="bottom"/>
            <w:hideMark/>
          </w:tcPr>
          <w:p w14:paraId="3EA927D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14,617.3</w:t>
            </w:r>
          </w:p>
        </w:tc>
        <w:tc>
          <w:tcPr>
            <w:tcW w:w="960" w:type="dxa"/>
            <w:tcBorders>
              <w:top w:val="nil"/>
              <w:left w:val="nil"/>
              <w:bottom w:val="nil"/>
              <w:right w:val="nil"/>
            </w:tcBorders>
            <w:shd w:val="clear" w:color="auto" w:fill="auto"/>
            <w:noWrap/>
            <w:vAlign w:val="bottom"/>
            <w:hideMark/>
          </w:tcPr>
          <w:p w14:paraId="7A6B232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403</w:t>
            </w:r>
          </w:p>
        </w:tc>
        <w:tc>
          <w:tcPr>
            <w:tcW w:w="1261" w:type="dxa"/>
            <w:tcBorders>
              <w:top w:val="nil"/>
              <w:left w:val="nil"/>
              <w:bottom w:val="nil"/>
              <w:right w:val="nil"/>
            </w:tcBorders>
            <w:shd w:val="clear" w:color="auto" w:fill="auto"/>
            <w:noWrap/>
            <w:vAlign w:val="bottom"/>
            <w:hideMark/>
          </w:tcPr>
          <w:p w14:paraId="7B2F6B4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11,485.1</w:t>
            </w:r>
          </w:p>
        </w:tc>
        <w:tc>
          <w:tcPr>
            <w:tcW w:w="960" w:type="dxa"/>
            <w:tcBorders>
              <w:top w:val="nil"/>
              <w:left w:val="nil"/>
              <w:bottom w:val="nil"/>
              <w:right w:val="nil"/>
            </w:tcBorders>
            <w:shd w:val="clear" w:color="auto" w:fill="auto"/>
            <w:noWrap/>
            <w:vAlign w:val="bottom"/>
            <w:hideMark/>
          </w:tcPr>
          <w:p w14:paraId="6534395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317</w:t>
            </w:r>
          </w:p>
        </w:tc>
      </w:tr>
      <w:tr w:rsidR="00EE4837" w:rsidRPr="007239A6" w14:paraId="41684EF0" w14:textId="77777777" w:rsidTr="00181ACD">
        <w:trPr>
          <w:trHeight w:val="288"/>
        </w:trPr>
        <w:tc>
          <w:tcPr>
            <w:tcW w:w="1586" w:type="dxa"/>
            <w:tcBorders>
              <w:top w:val="nil"/>
              <w:left w:val="nil"/>
              <w:bottom w:val="nil"/>
              <w:right w:val="nil"/>
            </w:tcBorders>
            <w:shd w:val="clear" w:color="auto" w:fill="auto"/>
            <w:noWrap/>
            <w:vAlign w:val="bottom"/>
            <w:hideMark/>
          </w:tcPr>
          <w:p w14:paraId="03BB53D6"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Union</w:t>
            </w:r>
          </w:p>
        </w:tc>
        <w:tc>
          <w:tcPr>
            <w:tcW w:w="1261" w:type="dxa"/>
            <w:tcBorders>
              <w:top w:val="nil"/>
              <w:left w:val="nil"/>
              <w:bottom w:val="nil"/>
              <w:right w:val="nil"/>
            </w:tcBorders>
            <w:shd w:val="clear" w:color="auto" w:fill="auto"/>
            <w:noWrap/>
            <w:vAlign w:val="bottom"/>
            <w:hideMark/>
          </w:tcPr>
          <w:p w14:paraId="448BFA0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174.9</w:t>
            </w:r>
          </w:p>
        </w:tc>
        <w:tc>
          <w:tcPr>
            <w:tcW w:w="960" w:type="dxa"/>
            <w:tcBorders>
              <w:top w:val="nil"/>
              <w:left w:val="nil"/>
              <w:bottom w:val="nil"/>
              <w:right w:val="nil"/>
            </w:tcBorders>
            <w:shd w:val="clear" w:color="auto" w:fill="auto"/>
            <w:noWrap/>
            <w:vAlign w:val="bottom"/>
            <w:hideMark/>
          </w:tcPr>
          <w:p w14:paraId="4902DA3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168</w:t>
            </w:r>
          </w:p>
        </w:tc>
        <w:tc>
          <w:tcPr>
            <w:tcW w:w="1261" w:type="dxa"/>
            <w:tcBorders>
              <w:top w:val="nil"/>
              <w:left w:val="nil"/>
              <w:bottom w:val="nil"/>
              <w:right w:val="nil"/>
            </w:tcBorders>
            <w:shd w:val="clear" w:color="auto" w:fill="auto"/>
            <w:noWrap/>
            <w:vAlign w:val="bottom"/>
            <w:hideMark/>
          </w:tcPr>
          <w:p w14:paraId="0D7A78B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156.0</w:t>
            </w:r>
          </w:p>
        </w:tc>
        <w:tc>
          <w:tcPr>
            <w:tcW w:w="960" w:type="dxa"/>
            <w:tcBorders>
              <w:top w:val="nil"/>
              <w:left w:val="nil"/>
              <w:bottom w:val="nil"/>
              <w:right w:val="nil"/>
            </w:tcBorders>
            <w:shd w:val="clear" w:color="auto" w:fill="auto"/>
            <w:noWrap/>
            <w:vAlign w:val="bottom"/>
            <w:hideMark/>
          </w:tcPr>
          <w:p w14:paraId="2E763E0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150</w:t>
            </w:r>
          </w:p>
        </w:tc>
        <w:tc>
          <w:tcPr>
            <w:tcW w:w="1261" w:type="dxa"/>
            <w:tcBorders>
              <w:top w:val="nil"/>
              <w:left w:val="nil"/>
              <w:bottom w:val="nil"/>
              <w:right w:val="nil"/>
            </w:tcBorders>
            <w:shd w:val="clear" w:color="auto" w:fill="auto"/>
            <w:noWrap/>
            <w:vAlign w:val="bottom"/>
            <w:hideMark/>
          </w:tcPr>
          <w:p w14:paraId="09357C5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54.7</w:t>
            </w:r>
          </w:p>
        </w:tc>
        <w:tc>
          <w:tcPr>
            <w:tcW w:w="960" w:type="dxa"/>
            <w:tcBorders>
              <w:top w:val="nil"/>
              <w:left w:val="nil"/>
              <w:bottom w:val="nil"/>
              <w:right w:val="nil"/>
            </w:tcBorders>
            <w:shd w:val="clear" w:color="auto" w:fill="auto"/>
            <w:noWrap/>
            <w:vAlign w:val="bottom"/>
            <w:hideMark/>
          </w:tcPr>
          <w:p w14:paraId="63EEDBA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53</w:t>
            </w:r>
          </w:p>
        </w:tc>
        <w:tc>
          <w:tcPr>
            <w:tcW w:w="1261" w:type="dxa"/>
            <w:tcBorders>
              <w:top w:val="nil"/>
              <w:left w:val="nil"/>
              <w:bottom w:val="nil"/>
              <w:right w:val="nil"/>
            </w:tcBorders>
            <w:shd w:val="clear" w:color="auto" w:fill="auto"/>
            <w:noWrap/>
            <w:vAlign w:val="bottom"/>
            <w:hideMark/>
          </w:tcPr>
          <w:p w14:paraId="5D6CB62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206.4</w:t>
            </w:r>
          </w:p>
        </w:tc>
        <w:tc>
          <w:tcPr>
            <w:tcW w:w="960" w:type="dxa"/>
            <w:tcBorders>
              <w:top w:val="nil"/>
              <w:left w:val="nil"/>
              <w:bottom w:val="nil"/>
              <w:right w:val="nil"/>
            </w:tcBorders>
            <w:shd w:val="clear" w:color="auto" w:fill="auto"/>
            <w:noWrap/>
            <w:vAlign w:val="bottom"/>
            <w:hideMark/>
          </w:tcPr>
          <w:p w14:paraId="2E941FD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198</w:t>
            </w:r>
          </w:p>
        </w:tc>
        <w:tc>
          <w:tcPr>
            <w:tcW w:w="1261" w:type="dxa"/>
            <w:tcBorders>
              <w:top w:val="nil"/>
              <w:left w:val="nil"/>
              <w:bottom w:val="nil"/>
              <w:right w:val="nil"/>
            </w:tcBorders>
            <w:shd w:val="clear" w:color="auto" w:fill="auto"/>
            <w:noWrap/>
            <w:vAlign w:val="bottom"/>
            <w:hideMark/>
          </w:tcPr>
          <w:p w14:paraId="0396BE7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122.0</w:t>
            </w:r>
          </w:p>
        </w:tc>
        <w:tc>
          <w:tcPr>
            <w:tcW w:w="960" w:type="dxa"/>
            <w:tcBorders>
              <w:top w:val="nil"/>
              <w:left w:val="nil"/>
              <w:bottom w:val="nil"/>
              <w:right w:val="nil"/>
            </w:tcBorders>
            <w:shd w:val="clear" w:color="auto" w:fill="auto"/>
            <w:noWrap/>
            <w:vAlign w:val="bottom"/>
            <w:hideMark/>
          </w:tcPr>
          <w:p w14:paraId="4914E37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117</w:t>
            </w:r>
          </w:p>
        </w:tc>
      </w:tr>
      <w:tr w:rsidR="00EE4837" w:rsidRPr="007239A6" w14:paraId="7F60947F" w14:textId="77777777" w:rsidTr="00181ACD">
        <w:trPr>
          <w:trHeight w:val="288"/>
        </w:trPr>
        <w:tc>
          <w:tcPr>
            <w:tcW w:w="1586" w:type="dxa"/>
            <w:tcBorders>
              <w:top w:val="nil"/>
              <w:left w:val="nil"/>
              <w:bottom w:val="nil"/>
              <w:right w:val="nil"/>
            </w:tcBorders>
            <w:shd w:val="clear" w:color="auto" w:fill="auto"/>
            <w:noWrap/>
            <w:vAlign w:val="bottom"/>
            <w:hideMark/>
          </w:tcPr>
          <w:p w14:paraId="59A911D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Vernon</w:t>
            </w:r>
          </w:p>
        </w:tc>
        <w:tc>
          <w:tcPr>
            <w:tcW w:w="1261" w:type="dxa"/>
            <w:tcBorders>
              <w:top w:val="nil"/>
              <w:left w:val="nil"/>
              <w:bottom w:val="nil"/>
              <w:right w:val="nil"/>
            </w:tcBorders>
            <w:shd w:val="clear" w:color="auto" w:fill="auto"/>
            <w:noWrap/>
            <w:vAlign w:val="bottom"/>
            <w:hideMark/>
          </w:tcPr>
          <w:p w14:paraId="461D8D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6,363.8</w:t>
            </w:r>
          </w:p>
        </w:tc>
        <w:tc>
          <w:tcPr>
            <w:tcW w:w="960" w:type="dxa"/>
            <w:tcBorders>
              <w:top w:val="nil"/>
              <w:left w:val="nil"/>
              <w:bottom w:val="nil"/>
              <w:right w:val="nil"/>
            </w:tcBorders>
            <w:shd w:val="clear" w:color="auto" w:fill="auto"/>
            <w:noWrap/>
            <w:vAlign w:val="bottom"/>
            <w:hideMark/>
          </w:tcPr>
          <w:p w14:paraId="76D64D4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218</w:t>
            </w:r>
          </w:p>
        </w:tc>
        <w:tc>
          <w:tcPr>
            <w:tcW w:w="1261" w:type="dxa"/>
            <w:tcBorders>
              <w:top w:val="nil"/>
              <w:left w:val="nil"/>
              <w:bottom w:val="nil"/>
              <w:right w:val="nil"/>
            </w:tcBorders>
            <w:shd w:val="clear" w:color="auto" w:fill="auto"/>
            <w:noWrap/>
            <w:vAlign w:val="bottom"/>
            <w:hideMark/>
          </w:tcPr>
          <w:p w14:paraId="1660CD5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5,859.0</w:t>
            </w:r>
          </w:p>
        </w:tc>
        <w:tc>
          <w:tcPr>
            <w:tcW w:w="960" w:type="dxa"/>
            <w:tcBorders>
              <w:top w:val="nil"/>
              <w:left w:val="nil"/>
              <w:bottom w:val="nil"/>
              <w:right w:val="nil"/>
            </w:tcBorders>
            <w:shd w:val="clear" w:color="auto" w:fill="auto"/>
            <w:noWrap/>
            <w:vAlign w:val="bottom"/>
            <w:hideMark/>
          </w:tcPr>
          <w:p w14:paraId="1AB2E71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201</w:t>
            </w:r>
          </w:p>
        </w:tc>
        <w:tc>
          <w:tcPr>
            <w:tcW w:w="1261" w:type="dxa"/>
            <w:tcBorders>
              <w:top w:val="nil"/>
              <w:left w:val="nil"/>
              <w:bottom w:val="nil"/>
              <w:right w:val="nil"/>
            </w:tcBorders>
            <w:shd w:val="clear" w:color="auto" w:fill="auto"/>
            <w:noWrap/>
            <w:vAlign w:val="bottom"/>
            <w:hideMark/>
          </w:tcPr>
          <w:p w14:paraId="5C5723D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3,633.0</w:t>
            </w:r>
          </w:p>
        </w:tc>
        <w:tc>
          <w:tcPr>
            <w:tcW w:w="960" w:type="dxa"/>
            <w:tcBorders>
              <w:top w:val="nil"/>
              <w:left w:val="nil"/>
              <w:bottom w:val="nil"/>
              <w:right w:val="nil"/>
            </w:tcBorders>
            <w:shd w:val="clear" w:color="auto" w:fill="auto"/>
            <w:noWrap/>
            <w:vAlign w:val="bottom"/>
            <w:hideMark/>
          </w:tcPr>
          <w:p w14:paraId="1606861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125</w:t>
            </w:r>
          </w:p>
        </w:tc>
        <w:tc>
          <w:tcPr>
            <w:tcW w:w="1261" w:type="dxa"/>
            <w:tcBorders>
              <w:top w:val="nil"/>
              <w:left w:val="nil"/>
              <w:bottom w:val="nil"/>
              <w:right w:val="nil"/>
            </w:tcBorders>
            <w:shd w:val="clear" w:color="auto" w:fill="auto"/>
            <w:noWrap/>
            <w:vAlign w:val="bottom"/>
            <w:hideMark/>
          </w:tcPr>
          <w:p w14:paraId="1353B0F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8,517.5</w:t>
            </w:r>
          </w:p>
        </w:tc>
        <w:tc>
          <w:tcPr>
            <w:tcW w:w="960" w:type="dxa"/>
            <w:tcBorders>
              <w:top w:val="nil"/>
              <w:left w:val="nil"/>
              <w:bottom w:val="nil"/>
              <w:right w:val="nil"/>
            </w:tcBorders>
            <w:shd w:val="clear" w:color="auto" w:fill="auto"/>
            <w:noWrap/>
            <w:vAlign w:val="bottom"/>
            <w:hideMark/>
          </w:tcPr>
          <w:p w14:paraId="0CB8066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292</w:t>
            </w:r>
          </w:p>
        </w:tc>
        <w:tc>
          <w:tcPr>
            <w:tcW w:w="1261" w:type="dxa"/>
            <w:tcBorders>
              <w:top w:val="nil"/>
              <w:left w:val="nil"/>
              <w:bottom w:val="nil"/>
              <w:right w:val="nil"/>
            </w:tcBorders>
            <w:shd w:val="clear" w:color="auto" w:fill="auto"/>
            <w:noWrap/>
            <w:vAlign w:val="bottom"/>
            <w:hideMark/>
          </w:tcPr>
          <w:p w14:paraId="0ADAC37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5,953.1</w:t>
            </w:r>
          </w:p>
        </w:tc>
        <w:tc>
          <w:tcPr>
            <w:tcW w:w="960" w:type="dxa"/>
            <w:tcBorders>
              <w:top w:val="nil"/>
              <w:left w:val="nil"/>
              <w:bottom w:val="nil"/>
              <w:right w:val="nil"/>
            </w:tcBorders>
            <w:shd w:val="clear" w:color="auto" w:fill="auto"/>
            <w:noWrap/>
            <w:vAlign w:val="bottom"/>
            <w:hideMark/>
          </w:tcPr>
          <w:p w14:paraId="05894D2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204</w:t>
            </w:r>
          </w:p>
        </w:tc>
      </w:tr>
      <w:tr w:rsidR="00EE4837" w:rsidRPr="007239A6" w14:paraId="7BBDDFA6" w14:textId="77777777" w:rsidTr="00181ACD">
        <w:trPr>
          <w:trHeight w:val="288"/>
        </w:trPr>
        <w:tc>
          <w:tcPr>
            <w:tcW w:w="1586" w:type="dxa"/>
            <w:tcBorders>
              <w:top w:val="nil"/>
              <w:left w:val="nil"/>
              <w:bottom w:val="nil"/>
              <w:right w:val="nil"/>
            </w:tcBorders>
            <w:shd w:val="clear" w:color="auto" w:fill="auto"/>
            <w:noWrap/>
            <w:vAlign w:val="bottom"/>
            <w:hideMark/>
          </w:tcPr>
          <w:p w14:paraId="372DBE1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Voluntown</w:t>
            </w:r>
          </w:p>
        </w:tc>
        <w:tc>
          <w:tcPr>
            <w:tcW w:w="1261" w:type="dxa"/>
            <w:tcBorders>
              <w:top w:val="nil"/>
              <w:left w:val="nil"/>
              <w:bottom w:val="nil"/>
              <w:right w:val="nil"/>
            </w:tcBorders>
            <w:shd w:val="clear" w:color="auto" w:fill="auto"/>
            <w:noWrap/>
            <w:vAlign w:val="bottom"/>
            <w:hideMark/>
          </w:tcPr>
          <w:p w14:paraId="70E2CFE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518.9</w:t>
            </w:r>
          </w:p>
        </w:tc>
        <w:tc>
          <w:tcPr>
            <w:tcW w:w="960" w:type="dxa"/>
            <w:tcBorders>
              <w:top w:val="nil"/>
              <w:left w:val="nil"/>
              <w:bottom w:val="nil"/>
              <w:right w:val="nil"/>
            </w:tcBorders>
            <w:shd w:val="clear" w:color="auto" w:fill="auto"/>
            <w:noWrap/>
            <w:vAlign w:val="bottom"/>
            <w:hideMark/>
          </w:tcPr>
          <w:p w14:paraId="484F80D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199</w:t>
            </w:r>
          </w:p>
        </w:tc>
        <w:tc>
          <w:tcPr>
            <w:tcW w:w="1261" w:type="dxa"/>
            <w:tcBorders>
              <w:top w:val="nil"/>
              <w:left w:val="nil"/>
              <w:bottom w:val="nil"/>
              <w:right w:val="nil"/>
            </w:tcBorders>
            <w:shd w:val="clear" w:color="auto" w:fill="auto"/>
            <w:noWrap/>
            <w:vAlign w:val="bottom"/>
            <w:hideMark/>
          </w:tcPr>
          <w:p w14:paraId="2D0E14A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405.6</w:t>
            </w:r>
          </w:p>
        </w:tc>
        <w:tc>
          <w:tcPr>
            <w:tcW w:w="960" w:type="dxa"/>
            <w:tcBorders>
              <w:top w:val="nil"/>
              <w:left w:val="nil"/>
              <w:bottom w:val="nil"/>
              <w:right w:val="nil"/>
            </w:tcBorders>
            <w:shd w:val="clear" w:color="auto" w:fill="auto"/>
            <w:noWrap/>
            <w:vAlign w:val="bottom"/>
            <w:hideMark/>
          </w:tcPr>
          <w:p w14:paraId="103B9AD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w:t>
            </w:r>
          </w:p>
        </w:tc>
        <w:tc>
          <w:tcPr>
            <w:tcW w:w="1261" w:type="dxa"/>
            <w:tcBorders>
              <w:top w:val="nil"/>
              <w:left w:val="nil"/>
              <w:bottom w:val="nil"/>
              <w:right w:val="nil"/>
            </w:tcBorders>
            <w:shd w:val="clear" w:color="auto" w:fill="auto"/>
            <w:noWrap/>
            <w:vAlign w:val="bottom"/>
            <w:hideMark/>
          </w:tcPr>
          <w:p w14:paraId="59AF34B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100.3</w:t>
            </w:r>
          </w:p>
        </w:tc>
        <w:tc>
          <w:tcPr>
            <w:tcW w:w="960" w:type="dxa"/>
            <w:tcBorders>
              <w:top w:val="nil"/>
              <w:left w:val="nil"/>
              <w:bottom w:val="nil"/>
              <w:right w:val="nil"/>
            </w:tcBorders>
            <w:shd w:val="clear" w:color="auto" w:fill="auto"/>
            <w:noWrap/>
            <w:vAlign w:val="bottom"/>
            <w:hideMark/>
          </w:tcPr>
          <w:p w14:paraId="3185524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w:t>
            </w:r>
          </w:p>
        </w:tc>
        <w:tc>
          <w:tcPr>
            <w:tcW w:w="1261" w:type="dxa"/>
            <w:tcBorders>
              <w:top w:val="nil"/>
              <w:left w:val="nil"/>
              <w:bottom w:val="nil"/>
              <w:right w:val="nil"/>
            </w:tcBorders>
            <w:shd w:val="clear" w:color="auto" w:fill="auto"/>
            <w:noWrap/>
            <w:vAlign w:val="bottom"/>
            <w:hideMark/>
          </w:tcPr>
          <w:p w14:paraId="62B3324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581.5</w:t>
            </w:r>
          </w:p>
        </w:tc>
        <w:tc>
          <w:tcPr>
            <w:tcW w:w="960" w:type="dxa"/>
            <w:tcBorders>
              <w:top w:val="nil"/>
              <w:left w:val="nil"/>
              <w:bottom w:val="nil"/>
              <w:right w:val="nil"/>
            </w:tcBorders>
            <w:shd w:val="clear" w:color="auto" w:fill="auto"/>
            <w:noWrap/>
            <w:vAlign w:val="bottom"/>
            <w:hideMark/>
          </w:tcPr>
          <w:p w14:paraId="0F9DCE7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223</w:t>
            </w:r>
          </w:p>
        </w:tc>
        <w:tc>
          <w:tcPr>
            <w:tcW w:w="1261" w:type="dxa"/>
            <w:tcBorders>
              <w:top w:val="nil"/>
              <w:left w:val="nil"/>
              <w:bottom w:val="nil"/>
              <w:right w:val="nil"/>
            </w:tcBorders>
            <w:shd w:val="clear" w:color="auto" w:fill="auto"/>
            <w:noWrap/>
            <w:vAlign w:val="bottom"/>
            <w:hideMark/>
          </w:tcPr>
          <w:p w14:paraId="3406E6A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325.4</w:t>
            </w:r>
          </w:p>
        </w:tc>
        <w:tc>
          <w:tcPr>
            <w:tcW w:w="960" w:type="dxa"/>
            <w:tcBorders>
              <w:top w:val="nil"/>
              <w:left w:val="nil"/>
              <w:bottom w:val="nil"/>
              <w:right w:val="nil"/>
            </w:tcBorders>
            <w:shd w:val="clear" w:color="auto" w:fill="auto"/>
            <w:noWrap/>
            <w:vAlign w:val="bottom"/>
            <w:hideMark/>
          </w:tcPr>
          <w:p w14:paraId="07CA6CD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125</w:t>
            </w:r>
          </w:p>
        </w:tc>
      </w:tr>
      <w:tr w:rsidR="00EE4837" w:rsidRPr="007239A6" w14:paraId="491660DB" w14:textId="77777777" w:rsidTr="00181ACD">
        <w:trPr>
          <w:trHeight w:val="288"/>
        </w:trPr>
        <w:tc>
          <w:tcPr>
            <w:tcW w:w="1586" w:type="dxa"/>
            <w:tcBorders>
              <w:top w:val="nil"/>
              <w:left w:val="nil"/>
              <w:bottom w:val="nil"/>
              <w:right w:val="nil"/>
            </w:tcBorders>
            <w:shd w:val="clear" w:color="auto" w:fill="auto"/>
            <w:noWrap/>
            <w:vAlign w:val="bottom"/>
            <w:hideMark/>
          </w:tcPr>
          <w:p w14:paraId="3E39CCF4"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Wallingford</w:t>
            </w:r>
          </w:p>
        </w:tc>
        <w:tc>
          <w:tcPr>
            <w:tcW w:w="1261" w:type="dxa"/>
            <w:tcBorders>
              <w:top w:val="nil"/>
              <w:left w:val="nil"/>
              <w:bottom w:val="nil"/>
              <w:right w:val="nil"/>
            </w:tcBorders>
            <w:shd w:val="clear" w:color="auto" w:fill="auto"/>
            <w:noWrap/>
            <w:vAlign w:val="bottom"/>
            <w:hideMark/>
          </w:tcPr>
          <w:p w14:paraId="4A788AF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11,440.6</w:t>
            </w:r>
          </w:p>
        </w:tc>
        <w:tc>
          <w:tcPr>
            <w:tcW w:w="960" w:type="dxa"/>
            <w:tcBorders>
              <w:top w:val="nil"/>
              <w:left w:val="nil"/>
              <w:bottom w:val="nil"/>
              <w:right w:val="nil"/>
            </w:tcBorders>
            <w:shd w:val="clear" w:color="auto" w:fill="auto"/>
            <w:noWrap/>
            <w:vAlign w:val="bottom"/>
            <w:hideMark/>
          </w:tcPr>
          <w:p w14:paraId="0D78669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254</w:t>
            </w:r>
          </w:p>
        </w:tc>
        <w:tc>
          <w:tcPr>
            <w:tcW w:w="1261" w:type="dxa"/>
            <w:tcBorders>
              <w:top w:val="nil"/>
              <w:left w:val="nil"/>
              <w:bottom w:val="nil"/>
              <w:right w:val="nil"/>
            </w:tcBorders>
            <w:shd w:val="clear" w:color="auto" w:fill="auto"/>
            <w:noWrap/>
            <w:vAlign w:val="bottom"/>
            <w:hideMark/>
          </w:tcPr>
          <w:p w14:paraId="5F04C3E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11,498.8</w:t>
            </w:r>
          </w:p>
        </w:tc>
        <w:tc>
          <w:tcPr>
            <w:tcW w:w="960" w:type="dxa"/>
            <w:tcBorders>
              <w:top w:val="nil"/>
              <w:left w:val="nil"/>
              <w:bottom w:val="nil"/>
              <w:right w:val="nil"/>
            </w:tcBorders>
            <w:shd w:val="clear" w:color="auto" w:fill="auto"/>
            <w:noWrap/>
            <w:vAlign w:val="bottom"/>
            <w:hideMark/>
          </w:tcPr>
          <w:p w14:paraId="54DBC02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255</w:t>
            </w:r>
          </w:p>
        </w:tc>
        <w:tc>
          <w:tcPr>
            <w:tcW w:w="1261" w:type="dxa"/>
            <w:tcBorders>
              <w:top w:val="nil"/>
              <w:left w:val="nil"/>
              <w:bottom w:val="nil"/>
              <w:right w:val="nil"/>
            </w:tcBorders>
            <w:shd w:val="clear" w:color="auto" w:fill="auto"/>
            <w:noWrap/>
            <w:vAlign w:val="bottom"/>
            <w:hideMark/>
          </w:tcPr>
          <w:p w14:paraId="0D68104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17,844.9</w:t>
            </w:r>
          </w:p>
        </w:tc>
        <w:tc>
          <w:tcPr>
            <w:tcW w:w="960" w:type="dxa"/>
            <w:tcBorders>
              <w:top w:val="nil"/>
              <w:left w:val="nil"/>
              <w:bottom w:val="nil"/>
              <w:right w:val="nil"/>
            </w:tcBorders>
            <w:shd w:val="clear" w:color="auto" w:fill="auto"/>
            <w:noWrap/>
            <w:vAlign w:val="bottom"/>
            <w:hideMark/>
          </w:tcPr>
          <w:p w14:paraId="6C44774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396</w:t>
            </w:r>
          </w:p>
        </w:tc>
        <w:tc>
          <w:tcPr>
            <w:tcW w:w="1261" w:type="dxa"/>
            <w:tcBorders>
              <w:top w:val="nil"/>
              <w:left w:val="nil"/>
              <w:bottom w:val="nil"/>
              <w:right w:val="nil"/>
            </w:tcBorders>
            <w:shd w:val="clear" w:color="auto" w:fill="auto"/>
            <w:noWrap/>
            <w:vAlign w:val="bottom"/>
            <w:hideMark/>
          </w:tcPr>
          <w:p w14:paraId="19A0238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13,939.0</w:t>
            </w:r>
          </w:p>
        </w:tc>
        <w:tc>
          <w:tcPr>
            <w:tcW w:w="960" w:type="dxa"/>
            <w:tcBorders>
              <w:top w:val="nil"/>
              <w:left w:val="nil"/>
              <w:bottom w:val="nil"/>
              <w:right w:val="nil"/>
            </w:tcBorders>
            <w:shd w:val="clear" w:color="auto" w:fill="auto"/>
            <w:noWrap/>
            <w:vAlign w:val="bottom"/>
            <w:hideMark/>
          </w:tcPr>
          <w:p w14:paraId="2F7FB1F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309</w:t>
            </w:r>
          </w:p>
        </w:tc>
        <w:tc>
          <w:tcPr>
            <w:tcW w:w="1261" w:type="dxa"/>
            <w:tcBorders>
              <w:top w:val="nil"/>
              <w:left w:val="nil"/>
              <w:bottom w:val="nil"/>
              <w:right w:val="nil"/>
            </w:tcBorders>
            <w:shd w:val="clear" w:color="auto" w:fill="auto"/>
            <w:noWrap/>
            <w:vAlign w:val="bottom"/>
            <w:hideMark/>
          </w:tcPr>
          <w:p w14:paraId="50DADB8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15,989.4</w:t>
            </w:r>
          </w:p>
        </w:tc>
        <w:tc>
          <w:tcPr>
            <w:tcW w:w="960" w:type="dxa"/>
            <w:tcBorders>
              <w:top w:val="nil"/>
              <w:left w:val="nil"/>
              <w:bottom w:val="nil"/>
              <w:right w:val="nil"/>
            </w:tcBorders>
            <w:shd w:val="clear" w:color="auto" w:fill="auto"/>
            <w:noWrap/>
            <w:vAlign w:val="bottom"/>
            <w:hideMark/>
          </w:tcPr>
          <w:p w14:paraId="77245D2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354</w:t>
            </w:r>
          </w:p>
        </w:tc>
      </w:tr>
      <w:tr w:rsidR="00EE4837" w:rsidRPr="007239A6" w14:paraId="3AEA90C4" w14:textId="77777777" w:rsidTr="00181ACD">
        <w:trPr>
          <w:trHeight w:val="288"/>
        </w:trPr>
        <w:tc>
          <w:tcPr>
            <w:tcW w:w="1586" w:type="dxa"/>
            <w:tcBorders>
              <w:top w:val="nil"/>
              <w:left w:val="nil"/>
              <w:bottom w:val="nil"/>
              <w:right w:val="nil"/>
            </w:tcBorders>
            <w:shd w:val="clear" w:color="auto" w:fill="auto"/>
            <w:noWrap/>
            <w:vAlign w:val="bottom"/>
            <w:hideMark/>
          </w:tcPr>
          <w:p w14:paraId="7A8E9AA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Warren</w:t>
            </w:r>
          </w:p>
        </w:tc>
        <w:tc>
          <w:tcPr>
            <w:tcW w:w="1261" w:type="dxa"/>
            <w:tcBorders>
              <w:top w:val="nil"/>
              <w:left w:val="nil"/>
              <w:bottom w:val="nil"/>
              <w:right w:val="nil"/>
            </w:tcBorders>
            <w:shd w:val="clear" w:color="auto" w:fill="auto"/>
            <w:noWrap/>
            <w:vAlign w:val="bottom"/>
            <w:hideMark/>
          </w:tcPr>
          <w:p w14:paraId="4BD0FF5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291.8</w:t>
            </w:r>
          </w:p>
        </w:tc>
        <w:tc>
          <w:tcPr>
            <w:tcW w:w="960" w:type="dxa"/>
            <w:tcBorders>
              <w:top w:val="nil"/>
              <w:left w:val="nil"/>
              <w:bottom w:val="nil"/>
              <w:right w:val="nil"/>
            </w:tcBorders>
            <w:shd w:val="clear" w:color="auto" w:fill="auto"/>
            <w:noWrap/>
            <w:vAlign w:val="bottom"/>
            <w:hideMark/>
          </w:tcPr>
          <w:p w14:paraId="2BE0AFC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198</w:t>
            </w:r>
          </w:p>
        </w:tc>
        <w:tc>
          <w:tcPr>
            <w:tcW w:w="1261" w:type="dxa"/>
            <w:tcBorders>
              <w:top w:val="nil"/>
              <w:left w:val="nil"/>
              <w:bottom w:val="nil"/>
              <w:right w:val="nil"/>
            </w:tcBorders>
            <w:shd w:val="clear" w:color="auto" w:fill="auto"/>
            <w:noWrap/>
            <w:vAlign w:val="bottom"/>
            <w:hideMark/>
          </w:tcPr>
          <w:p w14:paraId="65C54DB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307.7</w:t>
            </w:r>
          </w:p>
        </w:tc>
        <w:tc>
          <w:tcPr>
            <w:tcW w:w="960" w:type="dxa"/>
            <w:tcBorders>
              <w:top w:val="nil"/>
              <w:left w:val="nil"/>
              <w:bottom w:val="nil"/>
              <w:right w:val="nil"/>
            </w:tcBorders>
            <w:shd w:val="clear" w:color="auto" w:fill="auto"/>
            <w:noWrap/>
            <w:vAlign w:val="bottom"/>
            <w:hideMark/>
          </w:tcPr>
          <w:p w14:paraId="5D429A0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209</w:t>
            </w:r>
          </w:p>
        </w:tc>
        <w:tc>
          <w:tcPr>
            <w:tcW w:w="1261" w:type="dxa"/>
            <w:tcBorders>
              <w:top w:val="nil"/>
              <w:left w:val="nil"/>
              <w:bottom w:val="nil"/>
              <w:right w:val="nil"/>
            </w:tcBorders>
            <w:shd w:val="clear" w:color="auto" w:fill="auto"/>
            <w:noWrap/>
            <w:vAlign w:val="bottom"/>
            <w:hideMark/>
          </w:tcPr>
          <w:p w14:paraId="5F1BDBC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70.0</w:t>
            </w:r>
          </w:p>
        </w:tc>
        <w:tc>
          <w:tcPr>
            <w:tcW w:w="960" w:type="dxa"/>
            <w:tcBorders>
              <w:top w:val="nil"/>
              <w:left w:val="nil"/>
              <w:bottom w:val="nil"/>
              <w:right w:val="nil"/>
            </w:tcBorders>
            <w:shd w:val="clear" w:color="auto" w:fill="auto"/>
            <w:noWrap/>
            <w:vAlign w:val="bottom"/>
            <w:hideMark/>
          </w:tcPr>
          <w:p w14:paraId="4ACA537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w:t>
            </w:r>
          </w:p>
        </w:tc>
        <w:tc>
          <w:tcPr>
            <w:tcW w:w="1261" w:type="dxa"/>
            <w:tcBorders>
              <w:top w:val="nil"/>
              <w:left w:val="nil"/>
              <w:bottom w:val="nil"/>
              <w:right w:val="nil"/>
            </w:tcBorders>
            <w:shd w:val="clear" w:color="auto" w:fill="auto"/>
            <w:noWrap/>
            <w:vAlign w:val="bottom"/>
            <w:hideMark/>
          </w:tcPr>
          <w:p w14:paraId="4EF068E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298.2</w:t>
            </w:r>
          </w:p>
        </w:tc>
        <w:tc>
          <w:tcPr>
            <w:tcW w:w="960" w:type="dxa"/>
            <w:tcBorders>
              <w:top w:val="nil"/>
              <w:left w:val="nil"/>
              <w:bottom w:val="nil"/>
              <w:right w:val="nil"/>
            </w:tcBorders>
            <w:shd w:val="clear" w:color="auto" w:fill="auto"/>
            <w:noWrap/>
            <w:vAlign w:val="bottom"/>
            <w:hideMark/>
          </w:tcPr>
          <w:p w14:paraId="77F51EA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202</w:t>
            </w:r>
          </w:p>
        </w:tc>
        <w:tc>
          <w:tcPr>
            <w:tcW w:w="1261" w:type="dxa"/>
            <w:tcBorders>
              <w:top w:val="nil"/>
              <w:left w:val="nil"/>
              <w:bottom w:val="nil"/>
              <w:right w:val="nil"/>
            </w:tcBorders>
            <w:shd w:val="clear" w:color="auto" w:fill="auto"/>
            <w:noWrap/>
            <w:vAlign w:val="bottom"/>
            <w:hideMark/>
          </w:tcPr>
          <w:p w14:paraId="11A5405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174.2</w:t>
            </w:r>
          </w:p>
        </w:tc>
        <w:tc>
          <w:tcPr>
            <w:tcW w:w="960" w:type="dxa"/>
            <w:tcBorders>
              <w:top w:val="nil"/>
              <w:left w:val="nil"/>
              <w:bottom w:val="nil"/>
              <w:right w:val="nil"/>
            </w:tcBorders>
            <w:shd w:val="clear" w:color="auto" w:fill="auto"/>
            <w:noWrap/>
            <w:vAlign w:val="bottom"/>
            <w:hideMark/>
          </w:tcPr>
          <w:p w14:paraId="0BA102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118</w:t>
            </w:r>
          </w:p>
        </w:tc>
      </w:tr>
      <w:tr w:rsidR="00EE4837" w:rsidRPr="007239A6" w14:paraId="7D6046AB" w14:textId="77777777" w:rsidTr="00181ACD">
        <w:trPr>
          <w:trHeight w:val="288"/>
        </w:trPr>
        <w:tc>
          <w:tcPr>
            <w:tcW w:w="1586" w:type="dxa"/>
            <w:tcBorders>
              <w:top w:val="nil"/>
              <w:left w:val="nil"/>
              <w:bottom w:val="nil"/>
              <w:right w:val="nil"/>
            </w:tcBorders>
            <w:shd w:val="clear" w:color="auto" w:fill="auto"/>
            <w:noWrap/>
            <w:vAlign w:val="bottom"/>
            <w:hideMark/>
          </w:tcPr>
          <w:p w14:paraId="53C090F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Washington</w:t>
            </w:r>
          </w:p>
        </w:tc>
        <w:tc>
          <w:tcPr>
            <w:tcW w:w="1261" w:type="dxa"/>
            <w:tcBorders>
              <w:top w:val="nil"/>
              <w:left w:val="nil"/>
              <w:bottom w:val="nil"/>
              <w:right w:val="nil"/>
            </w:tcBorders>
            <w:shd w:val="clear" w:color="auto" w:fill="auto"/>
            <w:noWrap/>
            <w:vAlign w:val="bottom"/>
            <w:hideMark/>
          </w:tcPr>
          <w:p w14:paraId="1D86EEF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2,013.3</w:t>
            </w:r>
          </w:p>
        </w:tc>
        <w:tc>
          <w:tcPr>
            <w:tcW w:w="960" w:type="dxa"/>
            <w:tcBorders>
              <w:top w:val="nil"/>
              <w:left w:val="nil"/>
              <w:bottom w:val="nil"/>
              <w:right w:val="nil"/>
            </w:tcBorders>
            <w:shd w:val="clear" w:color="auto" w:fill="auto"/>
            <w:noWrap/>
            <w:vAlign w:val="bottom"/>
            <w:hideMark/>
          </w:tcPr>
          <w:p w14:paraId="5C8A1DE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565</w:t>
            </w:r>
          </w:p>
        </w:tc>
        <w:tc>
          <w:tcPr>
            <w:tcW w:w="1261" w:type="dxa"/>
            <w:tcBorders>
              <w:top w:val="nil"/>
              <w:left w:val="nil"/>
              <w:bottom w:val="nil"/>
              <w:right w:val="nil"/>
            </w:tcBorders>
            <w:shd w:val="clear" w:color="auto" w:fill="auto"/>
            <w:noWrap/>
            <w:vAlign w:val="bottom"/>
            <w:hideMark/>
          </w:tcPr>
          <w:p w14:paraId="39AAB64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2,195.1</w:t>
            </w:r>
          </w:p>
        </w:tc>
        <w:tc>
          <w:tcPr>
            <w:tcW w:w="960" w:type="dxa"/>
            <w:tcBorders>
              <w:top w:val="nil"/>
              <w:left w:val="nil"/>
              <w:bottom w:val="nil"/>
              <w:right w:val="nil"/>
            </w:tcBorders>
            <w:shd w:val="clear" w:color="auto" w:fill="auto"/>
            <w:noWrap/>
            <w:vAlign w:val="bottom"/>
            <w:hideMark/>
          </w:tcPr>
          <w:p w14:paraId="6520CAC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616</w:t>
            </w:r>
          </w:p>
        </w:tc>
        <w:tc>
          <w:tcPr>
            <w:tcW w:w="1261" w:type="dxa"/>
            <w:tcBorders>
              <w:top w:val="nil"/>
              <w:left w:val="nil"/>
              <w:bottom w:val="nil"/>
              <w:right w:val="nil"/>
            </w:tcBorders>
            <w:shd w:val="clear" w:color="auto" w:fill="auto"/>
            <w:noWrap/>
            <w:vAlign w:val="bottom"/>
            <w:hideMark/>
          </w:tcPr>
          <w:p w14:paraId="36109C4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830.0</w:t>
            </w:r>
          </w:p>
        </w:tc>
        <w:tc>
          <w:tcPr>
            <w:tcW w:w="960" w:type="dxa"/>
            <w:tcBorders>
              <w:top w:val="nil"/>
              <w:left w:val="nil"/>
              <w:bottom w:val="nil"/>
              <w:right w:val="nil"/>
            </w:tcBorders>
            <w:shd w:val="clear" w:color="auto" w:fill="auto"/>
            <w:noWrap/>
            <w:vAlign w:val="bottom"/>
            <w:hideMark/>
          </w:tcPr>
          <w:p w14:paraId="3647EAB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233</w:t>
            </w:r>
          </w:p>
        </w:tc>
        <w:tc>
          <w:tcPr>
            <w:tcW w:w="1261" w:type="dxa"/>
            <w:tcBorders>
              <w:top w:val="nil"/>
              <w:left w:val="nil"/>
              <w:bottom w:val="nil"/>
              <w:right w:val="nil"/>
            </w:tcBorders>
            <w:shd w:val="clear" w:color="auto" w:fill="auto"/>
            <w:noWrap/>
            <w:vAlign w:val="bottom"/>
            <w:hideMark/>
          </w:tcPr>
          <w:p w14:paraId="00036A2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1,091.1</w:t>
            </w:r>
          </w:p>
        </w:tc>
        <w:tc>
          <w:tcPr>
            <w:tcW w:w="960" w:type="dxa"/>
            <w:tcBorders>
              <w:top w:val="nil"/>
              <w:left w:val="nil"/>
              <w:bottom w:val="nil"/>
              <w:right w:val="nil"/>
            </w:tcBorders>
            <w:shd w:val="clear" w:color="auto" w:fill="auto"/>
            <w:noWrap/>
            <w:vAlign w:val="bottom"/>
            <w:hideMark/>
          </w:tcPr>
          <w:p w14:paraId="1E0C62E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306</w:t>
            </w:r>
          </w:p>
        </w:tc>
        <w:tc>
          <w:tcPr>
            <w:tcW w:w="1261" w:type="dxa"/>
            <w:tcBorders>
              <w:top w:val="nil"/>
              <w:left w:val="nil"/>
              <w:bottom w:val="nil"/>
              <w:right w:val="nil"/>
            </w:tcBorders>
            <w:shd w:val="clear" w:color="auto" w:fill="auto"/>
            <w:noWrap/>
            <w:vAlign w:val="bottom"/>
            <w:hideMark/>
          </w:tcPr>
          <w:p w14:paraId="5C3B717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951.9</w:t>
            </w:r>
          </w:p>
        </w:tc>
        <w:tc>
          <w:tcPr>
            <w:tcW w:w="960" w:type="dxa"/>
            <w:tcBorders>
              <w:top w:val="nil"/>
              <w:left w:val="nil"/>
              <w:bottom w:val="nil"/>
              <w:right w:val="nil"/>
            </w:tcBorders>
            <w:shd w:val="clear" w:color="auto" w:fill="auto"/>
            <w:noWrap/>
            <w:vAlign w:val="bottom"/>
            <w:hideMark/>
          </w:tcPr>
          <w:p w14:paraId="6F7BD9D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267</w:t>
            </w:r>
          </w:p>
        </w:tc>
      </w:tr>
      <w:tr w:rsidR="00EE4837" w:rsidRPr="007239A6" w14:paraId="446927B5" w14:textId="77777777" w:rsidTr="00181ACD">
        <w:trPr>
          <w:trHeight w:val="288"/>
        </w:trPr>
        <w:tc>
          <w:tcPr>
            <w:tcW w:w="1586" w:type="dxa"/>
            <w:tcBorders>
              <w:top w:val="nil"/>
              <w:left w:val="nil"/>
              <w:bottom w:val="nil"/>
              <w:right w:val="nil"/>
            </w:tcBorders>
            <w:shd w:val="clear" w:color="auto" w:fill="auto"/>
            <w:noWrap/>
            <w:vAlign w:val="bottom"/>
            <w:hideMark/>
          </w:tcPr>
          <w:p w14:paraId="71841836"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Waterbury</w:t>
            </w:r>
          </w:p>
        </w:tc>
        <w:tc>
          <w:tcPr>
            <w:tcW w:w="1261" w:type="dxa"/>
            <w:tcBorders>
              <w:top w:val="nil"/>
              <w:left w:val="nil"/>
              <w:bottom w:val="nil"/>
              <w:right w:val="nil"/>
            </w:tcBorders>
            <w:shd w:val="clear" w:color="auto" w:fill="auto"/>
            <w:noWrap/>
            <w:vAlign w:val="bottom"/>
            <w:hideMark/>
          </w:tcPr>
          <w:p w14:paraId="73A1C6D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13,154.9</w:t>
            </w:r>
          </w:p>
        </w:tc>
        <w:tc>
          <w:tcPr>
            <w:tcW w:w="960" w:type="dxa"/>
            <w:tcBorders>
              <w:top w:val="nil"/>
              <w:left w:val="nil"/>
              <w:bottom w:val="nil"/>
              <w:right w:val="nil"/>
            </w:tcBorders>
            <w:shd w:val="clear" w:color="auto" w:fill="auto"/>
            <w:noWrap/>
            <w:vAlign w:val="bottom"/>
            <w:hideMark/>
          </w:tcPr>
          <w:p w14:paraId="20558C8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120</w:t>
            </w:r>
          </w:p>
        </w:tc>
        <w:tc>
          <w:tcPr>
            <w:tcW w:w="1261" w:type="dxa"/>
            <w:tcBorders>
              <w:top w:val="nil"/>
              <w:left w:val="nil"/>
              <w:bottom w:val="nil"/>
              <w:right w:val="nil"/>
            </w:tcBorders>
            <w:shd w:val="clear" w:color="auto" w:fill="auto"/>
            <w:noWrap/>
            <w:vAlign w:val="bottom"/>
            <w:hideMark/>
          </w:tcPr>
          <w:p w14:paraId="0CFDFFD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9,010.3</w:t>
            </w:r>
          </w:p>
        </w:tc>
        <w:tc>
          <w:tcPr>
            <w:tcW w:w="960" w:type="dxa"/>
            <w:tcBorders>
              <w:top w:val="nil"/>
              <w:left w:val="nil"/>
              <w:bottom w:val="nil"/>
              <w:right w:val="nil"/>
            </w:tcBorders>
            <w:shd w:val="clear" w:color="auto" w:fill="auto"/>
            <w:noWrap/>
            <w:vAlign w:val="bottom"/>
            <w:hideMark/>
          </w:tcPr>
          <w:p w14:paraId="074C0C2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82</w:t>
            </w:r>
          </w:p>
        </w:tc>
        <w:tc>
          <w:tcPr>
            <w:tcW w:w="1261" w:type="dxa"/>
            <w:tcBorders>
              <w:top w:val="nil"/>
              <w:left w:val="nil"/>
              <w:bottom w:val="nil"/>
              <w:right w:val="nil"/>
            </w:tcBorders>
            <w:shd w:val="clear" w:color="auto" w:fill="auto"/>
            <w:noWrap/>
            <w:vAlign w:val="bottom"/>
            <w:hideMark/>
          </w:tcPr>
          <w:p w14:paraId="0B7A3CF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17,716.7</w:t>
            </w:r>
          </w:p>
        </w:tc>
        <w:tc>
          <w:tcPr>
            <w:tcW w:w="960" w:type="dxa"/>
            <w:tcBorders>
              <w:top w:val="nil"/>
              <w:left w:val="nil"/>
              <w:bottom w:val="nil"/>
              <w:right w:val="nil"/>
            </w:tcBorders>
            <w:shd w:val="clear" w:color="auto" w:fill="auto"/>
            <w:noWrap/>
            <w:vAlign w:val="bottom"/>
            <w:hideMark/>
          </w:tcPr>
          <w:p w14:paraId="6B815D3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161</w:t>
            </w:r>
          </w:p>
        </w:tc>
        <w:tc>
          <w:tcPr>
            <w:tcW w:w="1261" w:type="dxa"/>
            <w:tcBorders>
              <w:top w:val="nil"/>
              <w:left w:val="nil"/>
              <w:bottom w:val="nil"/>
              <w:right w:val="nil"/>
            </w:tcBorders>
            <w:shd w:val="clear" w:color="auto" w:fill="auto"/>
            <w:noWrap/>
            <w:vAlign w:val="bottom"/>
            <w:hideMark/>
          </w:tcPr>
          <w:p w14:paraId="5CE1FB7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16,317.4</w:t>
            </w:r>
          </w:p>
        </w:tc>
        <w:tc>
          <w:tcPr>
            <w:tcW w:w="960" w:type="dxa"/>
            <w:tcBorders>
              <w:top w:val="nil"/>
              <w:left w:val="nil"/>
              <w:bottom w:val="nil"/>
              <w:right w:val="nil"/>
            </w:tcBorders>
            <w:shd w:val="clear" w:color="auto" w:fill="auto"/>
            <w:noWrap/>
            <w:vAlign w:val="bottom"/>
            <w:hideMark/>
          </w:tcPr>
          <w:p w14:paraId="6479FBF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148</w:t>
            </w:r>
          </w:p>
        </w:tc>
        <w:tc>
          <w:tcPr>
            <w:tcW w:w="1261" w:type="dxa"/>
            <w:tcBorders>
              <w:top w:val="nil"/>
              <w:left w:val="nil"/>
              <w:bottom w:val="nil"/>
              <w:right w:val="nil"/>
            </w:tcBorders>
            <w:shd w:val="clear" w:color="auto" w:fill="auto"/>
            <w:noWrap/>
            <w:vAlign w:val="bottom"/>
            <w:hideMark/>
          </w:tcPr>
          <w:p w14:paraId="36C53CB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17,063.2</w:t>
            </w:r>
          </w:p>
        </w:tc>
        <w:tc>
          <w:tcPr>
            <w:tcW w:w="960" w:type="dxa"/>
            <w:tcBorders>
              <w:top w:val="nil"/>
              <w:left w:val="nil"/>
              <w:bottom w:val="nil"/>
              <w:right w:val="nil"/>
            </w:tcBorders>
            <w:shd w:val="clear" w:color="auto" w:fill="auto"/>
            <w:noWrap/>
            <w:vAlign w:val="bottom"/>
            <w:hideMark/>
          </w:tcPr>
          <w:p w14:paraId="47B6A1C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155</w:t>
            </w:r>
          </w:p>
        </w:tc>
      </w:tr>
      <w:tr w:rsidR="00EE4837" w:rsidRPr="007239A6" w14:paraId="4FD487E4" w14:textId="77777777" w:rsidTr="00181ACD">
        <w:trPr>
          <w:trHeight w:val="288"/>
        </w:trPr>
        <w:tc>
          <w:tcPr>
            <w:tcW w:w="1586" w:type="dxa"/>
            <w:tcBorders>
              <w:top w:val="nil"/>
              <w:left w:val="nil"/>
              <w:bottom w:val="nil"/>
              <w:right w:val="nil"/>
            </w:tcBorders>
            <w:shd w:val="clear" w:color="auto" w:fill="auto"/>
            <w:noWrap/>
            <w:vAlign w:val="bottom"/>
            <w:hideMark/>
          </w:tcPr>
          <w:p w14:paraId="1125317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Waterford</w:t>
            </w:r>
          </w:p>
        </w:tc>
        <w:tc>
          <w:tcPr>
            <w:tcW w:w="1261" w:type="dxa"/>
            <w:tcBorders>
              <w:top w:val="nil"/>
              <w:left w:val="nil"/>
              <w:bottom w:val="nil"/>
              <w:right w:val="nil"/>
            </w:tcBorders>
            <w:shd w:val="clear" w:color="auto" w:fill="auto"/>
            <w:noWrap/>
            <w:vAlign w:val="bottom"/>
            <w:hideMark/>
          </w:tcPr>
          <w:p w14:paraId="5AE816A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5,117.1</w:t>
            </w:r>
          </w:p>
        </w:tc>
        <w:tc>
          <w:tcPr>
            <w:tcW w:w="960" w:type="dxa"/>
            <w:tcBorders>
              <w:top w:val="nil"/>
              <w:left w:val="nil"/>
              <w:bottom w:val="nil"/>
              <w:right w:val="nil"/>
            </w:tcBorders>
            <w:shd w:val="clear" w:color="auto" w:fill="auto"/>
            <w:noWrap/>
            <w:vAlign w:val="bottom"/>
            <w:hideMark/>
          </w:tcPr>
          <w:p w14:paraId="14B9A56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262</w:t>
            </w:r>
          </w:p>
        </w:tc>
        <w:tc>
          <w:tcPr>
            <w:tcW w:w="1261" w:type="dxa"/>
            <w:tcBorders>
              <w:top w:val="nil"/>
              <w:left w:val="nil"/>
              <w:bottom w:val="nil"/>
              <w:right w:val="nil"/>
            </w:tcBorders>
            <w:shd w:val="clear" w:color="auto" w:fill="auto"/>
            <w:noWrap/>
            <w:vAlign w:val="bottom"/>
            <w:hideMark/>
          </w:tcPr>
          <w:p w14:paraId="310B957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5,115.2</w:t>
            </w:r>
          </w:p>
        </w:tc>
        <w:tc>
          <w:tcPr>
            <w:tcW w:w="960" w:type="dxa"/>
            <w:tcBorders>
              <w:top w:val="nil"/>
              <w:left w:val="nil"/>
              <w:bottom w:val="nil"/>
              <w:right w:val="nil"/>
            </w:tcBorders>
            <w:shd w:val="clear" w:color="auto" w:fill="auto"/>
            <w:noWrap/>
            <w:vAlign w:val="bottom"/>
            <w:hideMark/>
          </w:tcPr>
          <w:p w14:paraId="24710A4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262</w:t>
            </w:r>
          </w:p>
        </w:tc>
        <w:tc>
          <w:tcPr>
            <w:tcW w:w="1261" w:type="dxa"/>
            <w:tcBorders>
              <w:top w:val="nil"/>
              <w:left w:val="nil"/>
              <w:bottom w:val="nil"/>
              <w:right w:val="nil"/>
            </w:tcBorders>
            <w:shd w:val="clear" w:color="auto" w:fill="auto"/>
            <w:noWrap/>
            <w:vAlign w:val="bottom"/>
            <w:hideMark/>
          </w:tcPr>
          <w:p w14:paraId="1FA369A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5,582.2</w:t>
            </w:r>
          </w:p>
        </w:tc>
        <w:tc>
          <w:tcPr>
            <w:tcW w:w="960" w:type="dxa"/>
            <w:tcBorders>
              <w:top w:val="nil"/>
              <w:left w:val="nil"/>
              <w:bottom w:val="nil"/>
              <w:right w:val="nil"/>
            </w:tcBorders>
            <w:shd w:val="clear" w:color="auto" w:fill="auto"/>
            <w:noWrap/>
            <w:vAlign w:val="bottom"/>
            <w:hideMark/>
          </w:tcPr>
          <w:p w14:paraId="5B1835A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286</w:t>
            </w:r>
          </w:p>
        </w:tc>
        <w:tc>
          <w:tcPr>
            <w:tcW w:w="1261" w:type="dxa"/>
            <w:tcBorders>
              <w:top w:val="nil"/>
              <w:left w:val="nil"/>
              <w:bottom w:val="nil"/>
              <w:right w:val="nil"/>
            </w:tcBorders>
            <w:shd w:val="clear" w:color="auto" w:fill="auto"/>
            <w:noWrap/>
            <w:vAlign w:val="bottom"/>
            <w:hideMark/>
          </w:tcPr>
          <w:p w14:paraId="4ACF44A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5,901.5</w:t>
            </w:r>
          </w:p>
        </w:tc>
        <w:tc>
          <w:tcPr>
            <w:tcW w:w="960" w:type="dxa"/>
            <w:tcBorders>
              <w:top w:val="nil"/>
              <w:left w:val="nil"/>
              <w:bottom w:val="nil"/>
              <w:right w:val="nil"/>
            </w:tcBorders>
            <w:shd w:val="clear" w:color="auto" w:fill="auto"/>
            <w:noWrap/>
            <w:vAlign w:val="bottom"/>
            <w:hideMark/>
          </w:tcPr>
          <w:p w14:paraId="0C896D3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303</w:t>
            </w:r>
          </w:p>
        </w:tc>
        <w:tc>
          <w:tcPr>
            <w:tcW w:w="1261" w:type="dxa"/>
            <w:tcBorders>
              <w:top w:val="nil"/>
              <w:left w:val="nil"/>
              <w:bottom w:val="nil"/>
              <w:right w:val="nil"/>
            </w:tcBorders>
            <w:shd w:val="clear" w:color="auto" w:fill="auto"/>
            <w:noWrap/>
            <w:vAlign w:val="bottom"/>
            <w:hideMark/>
          </w:tcPr>
          <w:p w14:paraId="0F30D4A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5,740.0</w:t>
            </w:r>
          </w:p>
        </w:tc>
        <w:tc>
          <w:tcPr>
            <w:tcW w:w="960" w:type="dxa"/>
            <w:tcBorders>
              <w:top w:val="nil"/>
              <w:left w:val="nil"/>
              <w:bottom w:val="nil"/>
              <w:right w:val="nil"/>
            </w:tcBorders>
            <w:shd w:val="clear" w:color="auto" w:fill="auto"/>
            <w:noWrap/>
            <w:vAlign w:val="bottom"/>
            <w:hideMark/>
          </w:tcPr>
          <w:p w14:paraId="5F5B623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294</w:t>
            </w:r>
          </w:p>
        </w:tc>
      </w:tr>
      <w:tr w:rsidR="00EE4837" w:rsidRPr="007239A6" w14:paraId="2DC2E4EB" w14:textId="77777777" w:rsidTr="00181ACD">
        <w:trPr>
          <w:trHeight w:val="288"/>
        </w:trPr>
        <w:tc>
          <w:tcPr>
            <w:tcW w:w="1586" w:type="dxa"/>
            <w:tcBorders>
              <w:top w:val="nil"/>
              <w:left w:val="nil"/>
              <w:bottom w:val="nil"/>
              <w:right w:val="nil"/>
            </w:tcBorders>
            <w:shd w:val="clear" w:color="auto" w:fill="auto"/>
            <w:noWrap/>
            <w:vAlign w:val="bottom"/>
            <w:hideMark/>
          </w:tcPr>
          <w:p w14:paraId="276E057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Watertown</w:t>
            </w:r>
          </w:p>
        </w:tc>
        <w:tc>
          <w:tcPr>
            <w:tcW w:w="1261" w:type="dxa"/>
            <w:tcBorders>
              <w:top w:val="nil"/>
              <w:left w:val="nil"/>
              <w:bottom w:val="nil"/>
              <w:right w:val="nil"/>
            </w:tcBorders>
            <w:shd w:val="clear" w:color="auto" w:fill="auto"/>
            <w:noWrap/>
            <w:vAlign w:val="bottom"/>
            <w:hideMark/>
          </w:tcPr>
          <w:p w14:paraId="42D4F66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5,330.3</w:t>
            </w:r>
          </w:p>
        </w:tc>
        <w:tc>
          <w:tcPr>
            <w:tcW w:w="960" w:type="dxa"/>
            <w:tcBorders>
              <w:top w:val="nil"/>
              <w:left w:val="nil"/>
              <w:bottom w:val="nil"/>
              <w:right w:val="nil"/>
            </w:tcBorders>
            <w:shd w:val="clear" w:color="auto" w:fill="auto"/>
            <w:noWrap/>
            <w:vAlign w:val="bottom"/>
            <w:hideMark/>
          </w:tcPr>
          <w:p w14:paraId="7EFCD80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238</w:t>
            </w:r>
          </w:p>
        </w:tc>
        <w:tc>
          <w:tcPr>
            <w:tcW w:w="1261" w:type="dxa"/>
            <w:tcBorders>
              <w:top w:val="nil"/>
              <w:left w:val="nil"/>
              <w:bottom w:val="nil"/>
              <w:right w:val="nil"/>
            </w:tcBorders>
            <w:shd w:val="clear" w:color="auto" w:fill="auto"/>
            <w:noWrap/>
            <w:vAlign w:val="bottom"/>
            <w:hideMark/>
          </w:tcPr>
          <w:p w14:paraId="44F7865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5,268.3</w:t>
            </w:r>
          </w:p>
        </w:tc>
        <w:tc>
          <w:tcPr>
            <w:tcW w:w="960" w:type="dxa"/>
            <w:tcBorders>
              <w:top w:val="nil"/>
              <w:left w:val="nil"/>
              <w:bottom w:val="nil"/>
              <w:right w:val="nil"/>
            </w:tcBorders>
            <w:shd w:val="clear" w:color="auto" w:fill="auto"/>
            <w:noWrap/>
            <w:vAlign w:val="bottom"/>
            <w:hideMark/>
          </w:tcPr>
          <w:p w14:paraId="66EA7C1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235</w:t>
            </w:r>
          </w:p>
        </w:tc>
        <w:tc>
          <w:tcPr>
            <w:tcW w:w="1261" w:type="dxa"/>
            <w:tcBorders>
              <w:top w:val="nil"/>
              <w:left w:val="nil"/>
              <w:bottom w:val="nil"/>
              <w:right w:val="nil"/>
            </w:tcBorders>
            <w:shd w:val="clear" w:color="auto" w:fill="auto"/>
            <w:noWrap/>
            <w:vAlign w:val="bottom"/>
            <w:hideMark/>
          </w:tcPr>
          <w:p w14:paraId="4CA87F0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4,080.7</w:t>
            </w:r>
          </w:p>
        </w:tc>
        <w:tc>
          <w:tcPr>
            <w:tcW w:w="960" w:type="dxa"/>
            <w:tcBorders>
              <w:top w:val="nil"/>
              <w:left w:val="nil"/>
              <w:bottom w:val="nil"/>
              <w:right w:val="nil"/>
            </w:tcBorders>
            <w:shd w:val="clear" w:color="auto" w:fill="auto"/>
            <w:noWrap/>
            <w:vAlign w:val="bottom"/>
            <w:hideMark/>
          </w:tcPr>
          <w:p w14:paraId="771E6AF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182</w:t>
            </w:r>
          </w:p>
        </w:tc>
        <w:tc>
          <w:tcPr>
            <w:tcW w:w="1261" w:type="dxa"/>
            <w:tcBorders>
              <w:top w:val="nil"/>
              <w:left w:val="nil"/>
              <w:bottom w:val="nil"/>
              <w:right w:val="nil"/>
            </w:tcBorders>
            <w:shd w:val="clear" w:color="auto" w:fill="auto"/>
            <w:noWrap/>
            <w:vAlign w:val="bottom"/>
            <w:hideMark/>
          </w:tcPr>
          <w:p w14:paraId="64F95DE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6,812.3</w:t>
            </w:r>
          </w:p>
        </w:tc>
        <w:tc>
          <w:tcPr>
            <w:tcW w:w="960" w:type="dxa"/>
            <w:tcBorders>
              <w:top w:val="nil"/>
              <w:left w:val="nil"/>
              <w:bottom w:val="nil"/>
              <w:right w:val="nil"/>
            </w:tcBorders>
            <w:shd w:val="clear" w:color="auto" w:fill="auto"/>
            <w:noWrap/>
            <w:vAlign w:val="bottom"/>
            <w:hideMark/>
          </w:tcPr>
          <w:p w14:paraId="4D93D27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304</w:t>
            </w:r>
          </w:p>
        </w:tc>
        <w:tc>
          <w:tcPr>
            <w:tcW w:w="1261" w:type="dxa"/>
            <w:tcBorders>
              <w:top w:val="nil"/>
              <w:left w:val="nil"/>
              <w:bottom w:val="nil"/>
              <w:right w:val="nil"/>
            </w:tcBorders>
            <w:shd w:val="clear" w:color="auto" w:fill="auto"/>
            <w:noWrap/>
            <w:vAlign w:val="bottom"/>
            <w:hideMark/>
          </w:tcPr>
          <w:p w14:paraId="3AFDE28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5,369.1</w:t>
            </w:r>
          </w:p>
        </w:tc>
        <w:tc>
          <w:tcPr>
            <w:tcW w:w="960" w:type="dxa"/>
            <w:tcBorders>
              <w:top w:val="nil"/>
              <w:left w:val="nil"/>
              <w:bottom w:val="nil"/>
              <w:right w:val="nil"/>
            </w:tcBorders>
            <w:shd w:val="clear" w:color="auto" w:fill="auto"/>
            <w:noWrap/>
            <w:vAlign w:val="bottom"/>
            <w:hideMark/>
          </w:tcPr>
          <w:p w14:paraId="38E7C02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240</w:t>
            </w:r>
          </w:p>
        </w:tc>
      </w:tr>
      <w:tr w:rsidR="00EE4837" w:rsidRPr="007239A6" w14:paraId="53CA0A2F" w14:textId="77777777" w:rsidTr="00181ACD">
        <w:trPr>
          <w:trHeight w:val="288"/>
        </w:trPr>
        <w:tc>
          <w:tcPr>
            <w:tcW w:w="1586" w:type="dxa"/>
            <w:tcBorders>
              <w:top w:val="nil"/>
              <w:left w:val="nil"/>
              <w:bottom w:val="nil"/>
              <w:right w:val="nil"/>
            </w:tcBorders>
            <w:shd w:val="clear" w:color="auto" w:fill="auto"/>
            <w:noWrap/>
            <w:vAlign w:val="bottom"/>
            <w:hideMark/>
          </w:tcPr>
          <w:p w14:paraId="28D4DBE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West Hartford</w:t>
            </w:r>
          </w:p>
        </w:tc>
        <w:tc>
          <w:tcPr>
            <w:tcW w:w="1261" w:type="dxa"/>
            <w:tcBorders>
              <w:top w:val="nil"/>
              <w:left w:val="nil"/>
              <w:bottom w:val="nil"/>
              <w:right w:val="nil"/>
            </w:tcBorders>
            <w:shd w:val="clear" w:color="auto" w:fill="auto"/>
            <w:noWrap/>
            <w:vAlign w:val="bottom"/>
            <w:hideMark/>
          </w:tcPr>
          <w:p w14:paraId="0905AA5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24,246.0</w:t>
            </w:r>
          </w:p>
        </w:tc>
        <w:tc>
          <w:tcPr>
            <w:tcW w:w="960" w:type="dxa"/>
            <w:tcBorders>
              <w:top w:val="nil"/>
              <w:left w:val="nil"/>
              <w:bottom w:val="nil"/>
              <w:right w:val="nil"/>
            </w:tcBorders>
            <w:shd w:val="clear" w:color="auto" w:fill="auto"/>
            <w:noWrap/>
            <w:vAlign w:val="bottom"/>
            <w:hideMark/>
          </w:tcPr>
          <w:p w14:paraId="396417D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383</w:t>
            </w:r>
          </w:p>
        </w:tc>
        <w:tc>
          <w:tcPr>
            <w:tcW w:w="1261" w:type="dxa"/>
            <w:tcBorders>
              <w:top w:val="nil"/>
              <w:left w:val="nil"/>
              <w:bottom w:val="nil"/>
              <w:right w:val="nil"/>
            </w:tcBorders>
            <w:shd w:val="clear" w:color="auto" w:fill="auto"/>
            <w:noWrap/>
            <w:vAlign w:val="bottom"/>
            <w:hideMark/>
          </w:tcPr>
          <w:p w14:paraId="4FF30C8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28,169.1</w:t>
            </w:r>
          </w:p>
        </w:tc>
        <w:tc>
          <w:tcPr>
            <w:tcW w:w="960" w:type="dxa"/>
            <w:tcBorders>
              <w:top w:val="nil"/>
              <w:left w:val="nil"/>
              <w:bottom w:val="nil"/>
              <w:right w:val="nil"/>
            </w:tcBorders>
            <w:shd w:val="clear" w:color="auto" w:fill="auto"/>
            <w:noWrap/>
            <w:vAlign w:val="bottom"/>
            <w:hideMark/>
          </w:tcPr>
          <w:p w14:paraId="3A33D80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445</w:t>
            </w:r>
          </w:p>
        </w:tc>
        <w:tc>
          <w:tcPr>
            <w:tcW w:w="1261" w:type="dxa"/>
            <w:tcBorders>
              <w:top w:val="nil"/>
              <w:left w:val="nil"/>
              <w:bottom w:val="nil"/>
              <w:right w:val="nil"/>
            </w:tcBorders>
            <w:shd w:val="clear" w:color="auto" w:fill="auto"/>
            <w:noWrap/>
            <w:vAlign w:val="bottom"/>
            <w:hideMark/>
          </w:tcPr>
          <w:p w14:paraId="71F3679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14,422.5</w:t>
            </w:r>
          </w:p>
        </w:tc>
        <w:tc>
          <w:tcPr>
            <w:tcW w:w="960" w:type="dxa"/>
            <w:tcBorders>
              <w:top w:val="nil"/>
              <w:left w:val="nil"/>
              <w:bottom w:val="nil"/>
              <w:right w:val="nil"/>
            </w:tcBorders>
            <w:shd w:val="clear" w:color="auto" w:fill="auto"/>
            <w:noWrap/>
            <w:vAlign w:val="bottom"/>
            <w:hideMark/>
          </w:tcPr>
          <w:p w14:paraId="21DA375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228</w:t>
            </w:r>
          </w:p>
        </w:tc>
        <w:tc>
          <w:tcPr>
            <w:tcW w:w="1261" w:type="dxa"/>
            <w:tcBorders>
              <w:top w:val="nil"/>
              <w:left w:val="nil"/>
              <w:bottom w:val="nil"/>
              <w:right w:val="nil"/>
            </w:tcBorders>
            <w:shd w:val="clear" w:color="auto" w:fill="auto"/>
            <w:noWrap/>
            <w:vAlign w:val="bottom"/>
            <w:hideMark/>
          </w:tcPr>
          <w:p w14:paraId="4B8AE27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28,146.8</w:t>
            </w:r>
          </w:p>
        </w:tc>
        <w:tc>
          <w:tcPr>
            <w:tcW w:w="960" w:type="dxa"/>
            <w:tcBorders>
              <w:top w:val="nil"/>
              <w:left w:val="nil"/>
              <w:bottom w:val="nil"/>
              <w:right w:val="nil"/>
            </w:tcBorders>
            <w:shd w:val="clear" w:color="auto" w:fill="auto"/>
            <w:noWrap/>
            <w:vAlign w:val="bottom"/>
            <w:hideMark/>
          </w:tcPr>
          <w:p w14:paraId="2A1E0C5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444</w:t>
            </w:r>
          </w:p>
        </w:tc>
        <w:tc>
          <w:tcPr>
            <w:tcW w:w="1261" w:type="dxa"/>
            <w:tcBorders>
              <w:top w:val="nil"/>
              <w:left w:val="nil"/>
              <w:bottom w:val="nil"/>
              <w:right w:val="nil"/>
            </w:tcBorders>
            <w:shd w:val="clear" w:color="auto" w:fill="auto"/>
            <w:noWrap/>
            <w:vAlign w:val="bottom"/>
            <w:hideMark/>
          </w:tcPr>
          <w:p w14:paraId="5DCBAEF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20,813.1</w:t>
            </w:r>
          </w:p>
        </w:tc>
        <w:tc>
          <w:tcPr>
            <w:tcW w:w="960" w:type="dxa"/>
            <w:tcBorders>
              <w:top w:val="nil"/>
              <w:left w:val="nil"/>
              <w:bottom w:val="nil"/>
              <w:right w:val="nil"/>
            </w:tcBorders>
            <w:shd w:val="clear" w:color="auto" w:fill="auto"/>
            <w:noWrap/>
            <w:vAlign w:val="bottom"/>
            <w:hideMark/>
          </w:tcPr>
          <w:p w14:paraId="6A04C36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329</w:t>
            </w:r>
          </w:p>
        </w:tc>
      </w:tr>
      <w:tr w:rsidR="00EE4837" w:rsidRPr="007239A6" w14:paraId="59676213" w14:textId="77777777" w:rsidTr="00181ACD">
        <w:trPr>
          <w:trHeight w:val="288"/>
        </w:trPr>
        <w:tc>
          <w:tcPr>
            <w:tcW w:w="1586" w:type="dxa"/>
            <w:tcBorders>
              <w:top w:val="nil"/>
              <w:left w:val="nil"/>
              <w:bottom w:val="nil"/>
              <w:right w:val="nil"/>
            </w:tcBorders>
            <w:shd w:val="clear" w:color="auto" w:fill="auto"/>
            <w:noWrap/>
            <w:vAlign w:val="bottom"/>
            <w:hideMark/>
          </w:tcPr>
          <w:p w14:paraId="08F581E6"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lastRenderedPageBreak/>
              <w:t>West Haven</w:t>
            </w:r>
          </w:p>
        </w:tc>
        <w:tc>
          <w:tcPr>
            <w:tcW w:w="1261" w:type="dxa"/>
            <w:tcBorders>
              <w:top w:val="nil"/>
              <w:left w:val="nil"/>
              <w:bottom w:val="nil"/>
              <w:right w:val="nil"/>
            </w:tcBorders>
            <w:shd w:val="clear" w:color="auto" w:fill="auto"/>
            <w:noWrap/>
            <w:vAlign w:val="bottom"/>
            <w:hideMark/>
          </w:tcPr>
          <w:p w14:paraId="4D84F95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8,450.0</w:t>
            </w:r>
          </w:p>
        </w:tc>
        <w:tc>
          <w:tcPr>
            <w:tcW w:w="960" w:type="dxa"/>
            <w:tcBorders>
              <w:top w:val="nil"/>
              <w:left w:val="nil"/>
              <w:bottom w:val="nil"/>
              <w:right w:val="nil"/>
            </w:tcBorders>
            <w:shd w:val="clear" w:color="auto" w:fill="auto"/>
            <w:noWrap/>
            <w:vAlign w:val="bottom"/>
            <w:hideMark/>
          </w:tcPr>
          <w:p w14:paraId="015E85E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153</w:t>
            </w:r>
          </w:p>
        </w:tc>
        <w:tc>
          <w:tcPr>
            <w:tcW w:w="1261" w:type="dxa"/>
            <w:tcBorders>
              <w:top w:val="nil"/>
              <w:left w:val="nil"/>
              <w:bottom w:val="nil"/>
              <w:right w:val="nil"/>
            </w:tcBorders>
            <w:shd w:val="clear" w:color="auto" w:fill="auto"/>
            <w:noWrap/>
            <w:vAlign w:val="bottom"/>
            <w:hideMark/>
          </w:tcPr>
          <w:p w14:paraId="2244B09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6,749.2</w:t>
            </w:r>
          </w:p>
        </w:tc>
        <w:tc>
          <w:tcPr>
            <w:tcW w:w="960" w:type="dxa"/>
            <w:tcBorders>
              <w:top w:val="nil"/>
              <w:left w:val="nil"/>
              <w:bottom w:val="nil"/>
              <w:right w:val="nil"/>
            </w:tcBorders>
            <w:shd w:val="clear" w:color="auto" w:fill="auto"/>
            <w:noWrap/>
            <w:vAlign w:val="bottom"/>
            <w:hideMark/>
          </w:tcPr>
          <w:p w14:paraId="40373C0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122</w:t>
            </w:r>
          </w:p>
        </w:tc>
        <w:tc>
          <w:tcPr>
            <w:tcW w:w="1261" w:type="dxa"/>
            <w:tcBorders>
              <w:top w:val="nil"/>
              <w:left w:val="nil"/>
              <w:bottom w:val="nil"/>
              <w:right w:val="nil"/>
            </w:tcBorders>
            <w:shd w:val="clear" w:color="auto" w:fill="auto"/>
            <w:noWrap/>
            <w:vAlign w:val="bottom"/>
            <w:hideMark/>
          </w:tcPr>
          <w:p w14:paraId="22063C6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8,202.8</w:t>
            </w:r>
          </w:p>
        </w:tc>
        <w:tc>
          <w:tcPr>
            <w:tcW w:w="960" w:type="dxa"/>
            <w:tcBorders>
              <w:top w:val="nil"/>
              <w:left w:val="nil"/>
              <w:bottom w:val="nil"/>
              <w:right w:val="nil"/>
            </w:tcBorders>
            <w:shd w:val="clear" w:color="auto" w:fill="auto"/>
            <w:noWrap/>
            <w:vAlign w:val="bottom"/>
            <w:hideMark/>
          </w:tcPr>
          <w:p w14:paraId="644846E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148</w:t>
            </w:r>
          </w:p>
        </w:tc>
        <w:tc>
          <w:tcPr>
            <w:tcW w:w="1261" w:type="dxa"/>
            <w:tcBorders>
              <w:top w:val="nil"/>
              <w:left w:val="nil"/>
              <w:bottom w:val="nil"/>
              <w:right w:val="nil"/>
            </w:tcBorders>
            <w:shd w:val="clear" w:color="auto" w:fill="auto"/>
            <w:noWrap/>
            <w:vAlign w:val="bottom"/>
            <w:hideMark/>
          </w:tcPr>
          <w:p w14:paraId="43D620E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10,515.9</w:t>
            </w:r>
          </w:p>
        </w:tc>
        <w:tc>
          <w:tcPr>
            <w:tcW w:w="960" w:type="dxa"/>
            <w:tcBorders>
              <w:top w:val="nil"/>
              <w:left w:val="nil"/>
              <w:bottom w:val="nil"/>
              <w:right w:val="nil"/>
            </w:tcBorders>
            <w:shd w:val="clear" w:color="auto" w:fill="auto"/>
            <w:noWrap/>
            <w:vAlign w:val="bottom"/>
            <w:hideMark/>
          </w:tcPr>
          <w:p w14:paraId="08B9353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190</w:t>
            </w:r>
          </w:p>
        </w:tc>
        <w:tc>
          <w:tcPr>
            <w:tcW w:w="1261" w:type="dxa"/>
            <w:tcBorders>
              <w:top w:val="nil"/>
              <w:left w:val="nil"/>
              <w:bottom w:val="nil"/>
              <w:right w:val="nil"/>
            </w:tcBorders>
            <w:shd w:val="clear" w:color="auto" w:fill="auto"/>
            <w:noWrap/>
            <w:vAlign w:val="bottom"/>
            <w:hideMark/>
          </w:tcPr>
          <w:p w14:paraId="443AEC5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9,322.5</w:t>
            </w:r>
          </w:p>
        </w:tc>
        <w:tc>
          <w:tcPr>
            <w:tcW w:w="960" w:type="dxa"/>
            <w:tcBorders>
              <w:top w:val="nil"/>
              <w:left w:val="nil"/>
              <w:bottom w:val="nil"/>
              <w:right w:val="nil"/>
            </w:tcBorders>
            <w:shd w:val="clear" w:color="auto" w:fill="auto"/>
            <w:noWrap/>
            <w:vAlign w:val="bottom"/>
            <w:hideMark/>
          </w:tcPr>
          <w:p w14:paraId="2388FD3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168</w:t>
            </w:r>
          </w:p>
        </w:tc>
      </w:tr>
      <w:tr w:rsidR="00EE4837" w:rsidRPr="007239A6" w14:paraId="19807E74" w14:textId="77777777" w:rsidTr="00181ACD">
        <w:trPr>
          <w:trHeight w:val="288"/>
        </w:trPr>
        <w:tc>
          <w:tcPr>
            <w:tcW w:w="1586" w:type="dxa"/>
            <w:tcBorders>
              <w:top w:val="nil"/>
              <w:left w:val="nil"/>
              <w:bottom w:val="nil"/>
              <w:right w:val="nil"/>
            </w:tcBorders>
            <w:shd w:val="clear" w:color="auto" w:fill="auto"/>
            <w:noWrap/>
            <w:vAlign w:val="bottom"/>
            <w:hideMark/>
          </w:tcPr>
          <w:p w14:paraId="6E2A6218"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Westbrook</w:t>
            </w:r>
          </w:p>
        </w:tc>
        <w:tc>
          <w:tcPr>
            <w:tcW w:w="1261" w:type="dxa"/>
            <w:tcBorders>
              <w:top w:val="nil"/>
              <w:left w:val="nil"/>
              <w:bottom w:val="nil"/>
              <w:right w:val="nil"/>
            </w:tcBorders>
            <w:shd w:val="clear" w:color="auto" w:fill="auto"/>
            <w:noWrap/>
            <w:vAlign w:val="bottom"/>
            <w:hideMark/>
          </w:tcPr>
          <w:p w14:paraId="6B0221D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1,867.2</w:t>
            </w:r>
          </w:p>
        </w:tc>
        <w:tc>
          <w:tcPr>
            <w:tcW w:w="960" w:type="dxa"/>
            <w:tcBorders>
              <w:top w:val="nil"/>
              <w:left w:val="nil"/>
              <w:bottom w:val="nil"/>
              <w:right w:val="nil"/>
            </w:tcBorders>
            <w:shd w:val="clear" w:color="auto" w:fill="auto"/>
            <w:noWrap/>
            <w:vAlign w:val="bottom"/>
            <w:hideMark/>
          </w:tcPr>
          <w:p w14:paraId="4BD8F6F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270</w:t>
            </w:r>
          </w:p>
        </w:tc>
        <w:tc>
          <w:tcPr>
            <w:tcW w:w="1261" w:type="dxa"/>
            <w:tcBorders>
              <w:top w:val="nil"/>
              <w:left w:val="nil"/>
              <w:bottom w:val="nil"/>
              <w:right w:val="nil"/>
            </w:tcBorders>
            <w:shd w:val="clear" w:color="auto" w:fill="auto"/>
            <w:noWrap/>
            <w:vAlign w:val="bottom"/>
            <w:hideMark/>
          </w:tcPr>
          <w:p w14:paraId="5D87550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1,958.1</w:t>
            </w:r>
          </w:p>
        </w:tc>
        <w:tc>
          <w:tcPr>
            <w:tcW w:w="960" w:type="dxa"/>
            <w:tcBorders>
              <w:top w:val="nil"/>
              <w:left w:val="nil"/>
              <w:bottom w:val="nil"/>
              <w:right w:val="nil"/>
            </w:tcBorders>
            <w:shd w:val="clear" w:color="auto" w:fill="auto"/>
            <w:noWrap/>
            <w:vAlign w:val="bottom"/>
            <w:hideMark/>
          </w:tcPr>
          <w:p w14:paraId="2BD675B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283</w:t>
            </w:r>
          </w:p>
        </w:tc>
        <w:tc>
          <w:tcPr>
            <w:tcW w:w="1261" w:type="dxa"/>
            <w:tcBorders>
              <w:top w:val="nil"/>
              <w:left w:val="nil"/>
              <w:bottom w:val="nil"/>
              <w:right w:val="nil"/>
            </w:tcBorders>
            <w:shd w:val="clear" w:color="auto" w:fill="auto"/>
            <w:noWrap/>
            <w:vAlign w:val="bottom"/>
            <w:hideMark/>
          </w:tcPr>
          <w:p w14:paraId="5D6FBF5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1,913.8</w:t>
            </w:r>
          </w:p>
        </w:tc>
        <w:tc>
          <w:tcPr>
            <w:tcW w:w="960" w:type="dxa"/>
            <w:tcBorders>
              <w:top w:val="nil"/>
              <w:left w:val="nil"/>
              <w:bottom w:val="nil"/>
              <w:right w:val="nil"/>
            </w:tcBorders>
            <w:shd w:val="clear" w:color="auto" w:fill="auto"/>
            <w:noWrap/>
            <w:vAlign w:val="bottom"/>
            <w:hideMark/>
          </w:tcPr>
          <w:p w14:paraId="230BFA6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276</w:t>
            </w:r>
          </w:p>
        </w:tc>
        <w:tc>
          <w:tcPr>
            <w:tcW w:w="1261" w:type="dxa"/>
            <w:tcBorders>
              <w:top w:val="nil"/>
              <w:left w:val="nil"/>
              <w:bottom w:val="nil"/>
              <w:right w:val="nil"/>
            </w:tcBorders>
            <w:shd w:val="clear" w:color="auto" w:fill="auto"/>
            <w:noWrap/>
            <w:vAlign w:val="bottom"/>
            <w:hideMark/>
          </w:tcPr>
          <w:p w14:paraId="1D91B85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2,121.3</w:t>
            </w:r>
          </w:p>
        </w:tc>
        <w:tc>
          <w:tcPr>
            <w:tcW w:w="960" w:type="dxa"/>
            <w:tcBorders>
              <w:top w:val="nil"/>
              <w:left w:val="nil"/>
              <w:bottom w:val="nil"/>
              <w:right w:val="nil"/>
            </w:tcBorders>
            <w:shd w:val="clear" w:color="auto" w:fill="auto"/>
            <w:noWrap/>
            <w:vAlign w:val="bottom"/>
            <w:hideMark/>
          </w:tcPr>
          <w:p w14:paraId="7A5A2F5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306</w:t>
            </w:r>
          </w:p>
        </w:tc>
        <w:tc>
          <w:tcPr>
            <w:tcW w:w="1261" w:type="dxa"/>
            <w:tcBorders>
              <w:top w:val="nil"/>
              <w:left w:val="nil"/>
              <w:bottom w:val="nil"/>
              <w:right w:val="nil"/>
            </w:tcBorders>
            <w:shd w:val="clear" w:color="auto" w:fill="auto"/>
            <w:noWrap/>
            <w:vAlign w:val="bottom"/>
            <w:hideMark/>
          </w:tcPr>
          <w:p w14:paraId="70D7AE0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2,016.3</w:t>
            </w:r>
          </w:p>
        </w:tc>
        <w:tc>
          <w:tcPr>
            <w:tcW w:w="960" w:type="dxa"/>
            <w:tcBorders>
              <w:top w:val="nil"/>
              <w:left w:val="nil"/>
              <w:bottom w:val="nil"/>
              <w:right w:val="nil"/>
            </w:tcBorders>
            <w:shd w:val="clear" w:color="auto" w:fill="auto"/>
            <w:noWrap/>
            <w:vAlign w:val="bottom"/>
            <w:hideMark/>
          </w:tcPr>
          <w:p w14:paraId="1D3BC85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291</w:t>
            </w:r>
          </w:p>
        </w:tc>
      </w:tr>
      <w:tr w:rsidR="00EE4837" w:rsidRPr="007239A6" w14:paraId="76B6E0FC" w14:textId="77777777" w:rsidTr="00181ACD">
        <w:trPr>
          <w:trHeight w:val="288"/>
        </w:trPr>
        <w:tc>
          <w:tcPr>
            <w:tcW w:w="1586" w:type="dxa"/>
            <w:tcBorders>
              <w:top w:val="nil"/>
              <w:left w:val="nil"/>
              <w:bottom w:val="nil"/>
              <w:right w:val="nil"/>
            </w:tcBorders>
            <w:shd w:val="clear" w:color="auto" w:fill="auto"/>
            <w:noWrap/>
            <w:vAlign w:val="bottom"/>
            <w:hideMark/>
          </w:tcPr>
          <w:p w14:paraId="717FF65D"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Weston</w:t>
            </w:r>
          </w:p>
        </w:tc>
        <w:tc>
          <w:tcPr>
            <w:tcW w:w="1261" w:type="dxa"/>
            <w:tcBorders>
              <w:top w:val="nil"/>
              <w:left w:val="nil"/>
              <w:bottom w:val="nil"/>
              <w:right w:val="nil"/>
            </w:tcBorders>
            <w:shd w:val="clear" w:color="auto" w:fill="auto"/>
            <w:noWrap/>
            <w:vAlign w:val="bottom"/>
            <w:hideMark/>
          </w:tcPr>
          <w:p w14:paraId="551B3FE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10,305.8</w:t>
            </w:r>
          </w:p>
        </w:tc>
        <w:tc>
          <w:tcPr>
            <w:tcW w:w="960" w:type="dxa"/>
            <w:tcBorders>
              <w:top w:val="nil"/>
              <w:left w:val="nil"/>
              <w:bottom w:val="nil"/>
              <w:right w:val="nil"/>
            </w:tcBorders>
            <w:shd w:val="clear" w:color="auto" w:fill="auto"/>
            <w:noWrap/>
            <w:vAlign w:val="bottom"/>
            <w:hideMark/>
          </w:tcPr>
          <w:p w14:paraId="116F4CF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1004</w:t>
            </w:r>
          </w:p>
        </w:tc>
        <w:tc>
          <w:tcPr>
            <w:tcW w:w="1261" w:type="dxa"/>
            <w:tcBorders>
              <w:top w:val="nil"/>
              <w:left w:val="nil"/>
              <w:bottom w:val="nil"/>
              <w:right w:val="nil"/>
            </w:tcBorders>
            <w:shd w:val="clear" w:color="auto" w:fill="auto"/>
            <w:noWrap/>
            <w:vAlign w:val="bottom"/>
            <w:hideMark/>
          </w:tcPr>
          <w:p w14:paraId="75E8ADF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10,897.9</w:t>
            </w:r>
          </w:p>
        </w:tc>
        <w:tc>
          <w:tcPr>
            <w:tcW w:w="960" w:type="dxa"/>
            <w:tcBorders>
              <w:top w:val="nil"/>
              <w:left w:val="nil"/>
              <w:bottom w:val="nil"/>
              <w:right w:val="nil"/>
            </w:tcBorders>
            <w:shd w:val="clear" w:color="auto" w:fill="auto"/>
            <w:noWrap/>
            <w:vAlign w:val="bottom"/>
            <w:hideMark/>
          </w:tcPr>
          <w:p w14:paraId="7A65ED4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1062</w:t>
            </w:r>
          </w:p>
        </w:tc>
        <w:tc>
          <w:tcPr>
            <w:tcW w:w="1261" w:type="dxa"/>
            <w:tcBorders>
              <w:top w:val="nil"/>
              <w:left w:val="nil"/>
              <w:bottom w:val="nil"/>
              <w:right w:val="nil"/>
            </w:tcBorders>
            <w:shd w:val="clear" w:color="auto" w:fill="auto"/>
            <w:noWrap/>
            <w:vAlign w:val="bottom"/>
            <w:hideMark/>
          </w:tcPr>
          <w:p w14:paraId="334DEC2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860.2</w:t>
            </w:r>
          </w:p>
        </w:tc>
        <w:tc>
          <w:tcPr>
            <w:tcW w:w="960" w:type="dxa"/>
            <w:tcBorders>
              <w:top w:val="nil"/>
              <w:left w:val="nil"/>
              <w:bottom w:val="nil"/>
              <w:right w:val="nil"/>
            </w:tcBorders>
            <w:shd w:val="clear" w:color="auto" w:fill="auto"/>
            <w:noWrap/>
            <w:vAlign w:val="bottom"/>
            <w:hideMark/>
          </w:tcPr>
          <w:p w14:paraId="4F69892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84</w:t>
            </w:r>
          </w:p>
        </w:tc>
        <w:tc>
          <w:tcPr>
            <w:tcW w:w="1261" w:type="dxa"/>
            <w:tcBorders>
              <w:top w:val="nil"/>
              <w:left w:val="nil"/>
              <w:bottom w:val="nil"/>
              <w:right w:val="nil"/>
            </w:tcBorders>
            <w:shd w:val="clear" w:color="auto" w:fill="auto"/>
            <w:noWrap/>
            <w:vAlign w:val="bottom"/>
            <w:hideMark/>
          </w:tcPr>
          <w:p w14:paraId="1EBEA59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6,961.2</w:t>
            </w:r>
          </w:p>
        </w:tc>
        <w:tc>
          <w:tcPr>
            <w:tcW w:w="960" w:type="dxa"/>
            <w:tcBorders>
              <w:top w:val="nil"/>
              <w:left w:val="nil"/>
              <w:bottom w:val="nil"/>
              <w:right w:val="nil"/>
            </w:tcBorders>
            <w:shd w:val="clear" w:color="auto" w:fill="auto"/>
            <w:noWrap/>
            <w:vAlign w:val="bottom"/>
            <w:hideMark/>
          </w:tcPr>
          <w:p w14:paraId="12E322D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678</w:t>
            </w:r>
          </w:p>
        </w:tc>
        <w:tc>
          <w:tcPr>
            <w:tcW w:w="1261" w:type="dxa"/>
            <w:tcBorders>
              <w:top w:val="nil"/>
              <w:left w:val="nil"/>
              <w:bottom w:val="nil"/>
              <w:right w:val="nil"/>
            </w:tcBorders>
            <w:shd w:val="clear" w:color="auto" w:fill="auto"/>
            <w:noWrap/>
            <w:vAlign w:val="bottom"/>
            <w:hideMark/>
          </w:tcPr>
          <w:p w14:paraId="2EBD5B0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3,632.2</w:t>
            </w:r>
          </w:p>
        </w:tc>
        <w:tc>
          <w:tcPr>
            <w:tcW w:w="960" w:type="dxa"/>
            <w:tcBorders>
              <w:top w:val="nil"/>
              <w:left w:val="nil"/>
              <w:bottom w:val="nil"/>
              <w:right w:val="nil"/>
            </w:tcBorders>
            <w:shd w:val="clear" w:color="auto" w:fill="auto"/>
            <w:noWrap/>
            <w:vAlign w:val="bottom"/>
            <w:hideMark/>
          </w:tcPr>
          <w:p w14:paraId="315A77E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354</w:t>
            </w:r>
          </w:p>
        </w:tc>
      </w:tr>
      <w:tr w:rsidR="00EE4837" w:rsidRPr="007239A6" w14:paraId="0AF7B844" w14:textId="77777777" w:rsidTr="00181ACD">
        <w:trPr>
          <w:trHeight w:val="288"/>
        </w:trPr>
        <w:tc>
          <w:tcPr>
            <w:tcW w:w="1586" w:type="dxa"/>
            <w:tcBorders>
              <w:top w:val="nil"/>
              <w:left w:val="nil"/>
              <w:bottom w:val="nil"/>
              <w:right w:val="nil"/>
            </w:tcBorders>
            <w:shd w:val="clear" w:color="auto" w:fill="auto"/>
            <w:noWrap/>
            <w:vAlign w:val="bottom"/>
            <w:hideMark/>
          </w:tcPr>
          <w:p w14:paraId="60E21E5A"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Westport</w:t>
            </w:r>
          </w:p>
        </w:tc>
        <w:tc>
          <w:tcPr>
            <w:tcW w:w="1261" w:type="dxa"/>
            <w:tcBorders>
              <w:top w:val="nil"/>
              <w:left w:val="nil"/>
              <w:bottom w:val="nil"/>
              <w:right w:val="nil"/>
            </w:tcBorders>
            <w:shd w:val="clear" w:color="auto" w:fill="auto"/>
            <w:noWrap/>
            <w:vAlign w:val="bottom"/>
            <w:hideMark/>
          </w:tcPr>
          <w:p w14:paraId="5DB357C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31,456.7</w:t>
            </w:r>
          </w:p>
        </w:tc>
        <w:tc>
          <w:tcPr>
            <w:tcW w:w="960" w:type="dxa"/>
            <w:tcBorders>
              <w:top w:val="nil"/>
              <w:left w:val="nil"/>
              <w:bottom w:val="nil"/>
              <w:right w:val="nil"/>
            </w:tcBorders>
            <w:shd w:val="clear" w:color="auto" w:fill="auto"/>
            <w:noWrap/>
            <w:vAlign w:val="bottom"/>
            <w:hideMark/>
          </w:tcPr>
          <w:p w14:paraId="443C765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1175</w:t>
            </w:r>
          </w:p>
        </w:tc>
        <w:tc>
          <w:tcPr>
            <w:tcW w:w="1261" w:type="dxa"/>
            <w:tcBorders>
              <w:top w:val="nil"/>
              <w:left w:val="nil"/>
              <w:bottom w:val="nil"/>
              <w:right w:val="nil"/>
            </w:tcBorders>
            <w:shd w:val="clear" w:color="auto" w:fill="auto"/>
            <w:noWrap/>
            <w:vAlign w:val="bottom"/>
            <w:hideMark/>
          </w:tcPr>
          <w:p w14:paraId="5E95C9A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32,390.2</w:t>
            </w:r>
          </w:p>
        </w:tc>
        <w:tc>
          <w:tcPr>
            <w:tcW w:w="960" w:type="dxa"/>
            <w:tcBorders>
              <w:top w:val="nil"/>
              <w:left w:val="nil"/>
              <w:bottom w:val="nil"/>
              <w:right w:val="nil"/>
            </w:tcBorders>
            <w:shd w:val="clear" w:color="auto" w:fill="auto"/>
            <w:noWrap/>
            <w:vAlign w:val="bottom"/>
            <w:hideMark/>
          </w:tcPr>
          <w:p w14:paraId="33657C1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1210</w:t>
            </w:r>
          </w:p>
        </w:tc>
        <w:tc>
          <w:tcPr>
            <w:tcW w:w="1261" w:type="dxa"/>
            <w:tcBorders>
              <w:top w:val="nil"/>
              <w:left w:val="nil"/>
              <w:bottom w:val="nil"/>
              <w:right w:val="nil"/>
            </w:tcBorders>
            <w:shd w:val="clear" w:color="auto" w:fill="auto"/>
            <w:noWrap/>
            <w:vAlign w:val="bottom"/>
            <w:hideMark/>
          </w:tcPr>
          <w:p w14:paraId="575613D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17,316.4</w:t>
            </w:r>
          </w:p>
        </w:tc>
        <w:tc>
          <w:tcPr>
            <w:tcW w:w="960" w:type="dxa"/>
            <w:tcBorders>
              <w:top w:val="nil"/>
              <w:left w:val="nil"/>
              <w:bottom w:val="nil"/>
              <w:right w:val="nil"/>
            </w:tcBorders>
            <w:shd w:val="clear" w:color="auto" w:fill="auto"/>
            <w:noWrap/>
            <w:vAlign w:val="bottom"/>
            <w:hideMark/>
          </w:tcPr>
          <w:p w14:paraId="1C44BDC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647</w:t>
            </w:r>
          </w:p>
        </w:tc>
        <w:tc>
          <w:tcPr>
            <w:tcW w:w="1261" w:type="dxa"/>
            <w:tcBorders>
              <w:top w:val="nil"/>
              <w:left w:val="nil"/>
              <w:bottom w:val="nil"/>
              <w:right w:val="nil"/>
            </w:tcBorders>
            <w:shd w:val="clear" w:color="auto" w:fill="auto"/>
            <w:noWrap/>
            <w:vAlign w:val="bottom"/>
            <w:hideMark/>
          </w:tcPr>
          <w:p w14:paraId="143179D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18,968.4</w:t>
            </w:r>
          </w:p>
        </w:tc>
        <w:tc>
          <w:tcPr>
            <w:tcW w:w="960" w:type="dxa"/>
            <w:tcBorders>
              <w:top w:val="nil"/>
              <w:left w:val="nil"/>
              <w:bottom w:val="nil"/>
              <w:right w:val="nil"/>
            </w:tcBorders>
            <w:shd w:val="clear" w:color="auto" w:fill="auto"/>
            <w:noWrap/>
            <w:vAlign w:val="bottom"/>
            <w:hideMark/>
          </w:tcPr>
          <w:p w14:paraId="491C4BA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709</w:t>
            </w:r>
          </w:p>
        </w:tc>
        <w:tc>
          <w:tcPr>
            <w:tcW w:w="1261" w:type="dxa"/>
            <w:tcBorders>
              <w:top w:val="nil"/>
              <w:left w:val="nil"/>
              <w:bottom w:val="nil"/>
              <w:right w:val="nil"/>
            </w:tcBorders>
            <w:shd w:val="clear" w:color="auto" w:fill="auto"/>
            <w:noWrap/>
            <w:vAlign w:val="bottom"/>
            <w:hideMark/>
          </w:tcPr>
          <w:p w14:paraId="5D8F2CF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18,154.6</w:t>
            </w:r>
          </w:p>
        </w:tc>
        <w:tc>
          <w:tcPr>
            <w:tcW w:w="960" w:type="dxa"/>
            <w:tcBorders>
              <w:top w:val="nil"/>
              <w:left w:val="nil"/>
              <w:bottom w:val="nil"/>
              <w:right w:val="nil"/>
            </w:tcBorders>
            <w:shd w:val="clear" w:color="auto" w:fill="auto"/>
            <w:noWrap/>
            <w:vAlign w:val="bottom"/>
            <w:hideMark/>
          </w:tcPr>
          <w:p w14:paraId="58BDF89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678</w:t>
            </w:r>
          </w:p>
        </w:tc>
      </w:tr>
      <w:tr w:rsidR="00EE4837" w:rsidRPr="007239A6" w14:paraId="3D302320" w14:textId="77777777" w:rsidTr="00181ACD">
        <w:trPr>
          <w:trHeight w:val="288"/>
        </w:trPr>
        <w:tc>
          <w:tcPr>
            <w:tcW w:w="1586" w:type="dxa"/>
            <w:tcBorders>
              <w:top w:val="nil"/>
              <w:left w:val="nil"/>
              <w:bottom w:val="nil"/>
              <w:right w:val="nil"/>
            </w:tcBorders>
            <w:shd w:val="clear" w:color="auto" w:fill="auto"/>
            <w:noWrap/>
            <w:vAlign w:val="bottom"/>
            <w:hideMark/>
          </w:tcPr>
          <w:p w14:paraId="5C64CDA3"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Wethersfield</w:t>
            </w:r>
          </w:p>
        </w:tc>
        <w:tc>
          <w:tcPr>
            <w:tcW w:w="1261" w:type="dxa"/>
            <w:tcBorders>
              <w:top w:val="nil"/>
              <w:left w:val="nil"/>
              <w:bottom w:val="nil"/>
              <w:right w:val="nil"/>
            </w:tcBorders>
            <w:shd w:val="clear" w:color="auto" w:fill="auto"/>
            <w:noWrap/>
            <w:vAlign w:val="bottom"/>
            <w:hideMark/>
          </w:tcPr>
          <w:p w14:paraId="2231C44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7,292.3</w:t>
            </w:r>
          </w:p>
        </w:tc>
        <w:tc>
          <w:tcPr>
            <w:tcW w:w="960" w:type="dxa"/>
            <w:tcBorders>
              <w:top w:val="nil"/>
              <w:left w:val="nil"/>
              <w:bottom w:val="nil"/>
              <w:right w:val="nil"/>
            </w:tcBorders>
            <w:shd w:val="clear" w:color="auto" w:fill="auto"/>
            <w:noWrap/>
            <w:vAlign w:val="bottom"/>
            <w:hideMark/>
          </w:tcPr>
          <w:p w14:paraId="6A42A38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274</w:t>
            </w:r>
          </w:p>
        </w:tc>
        <w:tc>
          <w:tcPr>
            <w:tcW w:w="1261" w:type="dxa"/>
            <w:tcBorders>
              <w:top w:val="nil"/>
              <w:left w:val="nil"/>
              <w:bottom w:val="nil"/>
              <w:right w:val="nil"/>
            </w:tcBorders>
            <w:shd w:val="clear" w:color="auto" w:fill="auto"/>
            <w:noWrap/>
            <w:vAlign w:val="bottom"/>
            <w:hideMark/>
          </w:tcPr>
          <w:p w14:paraId="1987D7B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7,413.5</w:t>
            </w:r>
          </w:p>
        </w:tc>
        <w:tc>
          <w:tcPr>
            <w:tcW w:w="960" w:type="dxa"/>
            <w:tcBorders>
              <w:top w:val="nil"/>
              <w:left w:val="nil"/>
              <w:bottom w:val="nil"/>
              <w:right w:val="nil"/>
            </w:tcBorders>
            <w:shd w:val="clear" w:color="auto" w:fill="auto"/>
            <w:noWrap/>
            <w:vAlign w:val="bottom"/>
            <w:hideMark/>
          </w:tcPr>
          <w:p w14:paraId="0B6C773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279</w:t>
            </w:r>
          </w:p>
        </w:tc>
        <w:tc>
          <w:tcPr>
            <w:tcW w:w="1261" w:type="dxa"/>
            <w:tcBorders>
              <w:top w:val="nil"/>
              <w:left w:val="nil"/>
              <w:bottom w:val="nil"/>
              <w:right w:val="nil"/>
            </w:tcBorders>
            <w:shd w:val="clear" w:color="auto" w:fill="auto"/>
            <w:noWrap/>
            <w:vAlign w:val="bottom"/>
            <w:hideMark/>
          </w:tcPr>
          <w:p w14:paraId="5B26D8C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4,877.2</w:t>
            </w:r>
          </w:p>
        </w:tc>
        <w:tc>
          <w:tcPr>
            <w:tcW w:w="960" w:type="dxa"/>
            <w:tcBorders>
              <w:top w:val="nil"/>
              <w:left w:val="nil"/>
              <w:bottom w:val="nil"/>
              <w:right w:val="nil"/>
            </w:tcBorders>
            <w:shd w:val="clear" w:color="auto" w:fill="auto"/>
            <w:noWrap/>
            <w:vAlign w:val="bottom"/>
            <w:hideMark/>
          </w:tcPr>
          <w:p w14:paraId="7C57ACB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183</w:t>
            </w:r>
          </w:p>
        </w:tc>
        <w:tc>
          <w:tcPr>
            <w:tcW w:w="1261" w:type="dxa"/>
            <w:tcBorders>
              <w:top w:val="nil"/>
              <w:left w:val="nil"/>
              <w:bottom w:val="nil"/>
              <w:right w:val="nil"/>
            </w:tcBorders>
            <w:shd w:val="clear" w:color="auto" w:fill="auto"/>
            <w:noWrap/>
            <w:vAlign w:val="bottom"/>
            <w:hideMark/>
          </w:tcPr>
          <w:p w14:paraId="4A8A324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9,545.9</w:t>
            </w:r>
          </w:p>
        </w:tc>
        <w:tc>
          <w:tcPr>
            <w:tcW w:w="960" w:type="dxa"/>
            <w:tcBorders>
              <w:top w:val="nil"/>
              <w:left w:val="nil"/>
              <w:bottom w:val="nil"/>
              <w:right w:val="nil"/>
            </w:tcBorders>
            <w:shd w:val="clear" w:color="auto" w:fill="auto"/>
            <w:noWrap/>
            <w:vAlign w:val="bottom"/>
            <w:hideMark/>
          </w:tcPr>
          <w:p w14:paraId="32B7145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359</w:t>
            </w:r>
          </w:p>
        </w:tc>
        <w:tc>
          <w:tcPr>
            <w:tcW w:w="1261" w:type="dxa"/>
            <w:tcBorders>
              <w:top w:val="nil"/>
              <w:left w:val="nil"/>
              <w:bottom w:val="nil"/>
              <w:right w:val="nil"/>
            </w:tcBorders>
            <w:shd w:val="clear" w:color="auto" w:fill="auto"/>
            <w:noWrap/>
            <w:vAlign w:val="bottom"/>
            <w:hideMark/>
          </w:tcPr>
          <w:p w14:paraId="349381C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7,110.5</w:t>
            </w:r>
          </w:p>
        </w:tc>
        <w:tc>
          <w:tcPr>
            <w:tcW w:w="960" w:type="dxa"/>
            <w:tcBorders>
              <w:top w:val="nil"/>
              <w:left w:val="nil"/>
              <w:bottom w:val="nil"/>
              <w:right w:val="nil"/>
            </w:tcBorders>
            <w:shd w:val="clear" w:color="auto" w:fill="auto"/>
            <w:noWrap/>
            <w:vAlign w:val="bottom"/>
            <w:hideMark/>
          </w:tcPr>
          <w:p w14:paraId="19E6900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267</w:t>
            </w:r>
          </w:p>
        </w:tc>
      </w:tr>
      <w:tr w:rsidR="00EE4837" w:rsidRPr="007239A6" w14:paraId="06190FD7" w14:textId="77777777" w:rsidTr="00181ACD">
        <w:trPr>
          <w:trHeight w:val="288"/>
        </w:trPr>
        <w:tc>
          <w:tcPr>
            <w:tcW w:w="1586" w:type="dxa"/>
            <w:tcBorders>
              <w:top w:val="nil"/>
              <w:left w:val="nil"/>
              <w:bottom w:val="nil"/>
              <w:right w:val="nil"/>
            </w:tcBorders>
            <w:shd w:val="clear" w:color="auto" w:fill="auto"/>
            <w:noWrap/>
            <w:vAlign w:val="bottom"/>
            <w:hideMark/>
          </w:tcPr>
          <w:p w14:paraId="7AC06082"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Willington</w:t>
            </w:r>
          </w:p>
        </w:tc>
        <w:tc>
          <w:tcPr>
            <w:tcW w:w="1261" w:type="dxa"/>
            <w:tcBorders>
              <w:top w:val="nil"/>
              <w:left w:val="nil"/>
              <w:bottom w:val="nil"/>
              <w:right w:val="nil"/>
            </w:tcBorders>
            <w:shd w:val="clear" w:color="auto" w:fill="auto"/>
            <w:noWrap/>
            <w:vAlign w:val="bottom"/>
            <w:hideMark/>
          </w:tcPr>
          <w:p w14:paraId="41434BE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1,371.4</w:t>
            </w:r>
          </w:p>
        </w:tc>
        <w:tc>
          <w:tcPr>
            <w:tcW w:w="960" w:type="dxa"/>
            <w:tcBorders>
              <w:top w:val="nil"/>
              <w:left w:val="nil"/>
              <w:bottom w:val="nil"/>
              <w:right w:val="nil"/>
            </w:tcBorders>
            <w:shd w:val="clear" w:color="auto" w:fill="auto"/>
            <w:noWrap/>
            <w:vAlign w:val="bottom"/>
            <w:hideMark/>
          </w:tcPr>
          <w:p w14:paraId="4DC4576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228</w:t>
            </w:r>
          </w:p>
        </w:tc>
        <w:tc>
          <w:tcPr>
            <w:tcW w:w="1261" w:type="dxa"/>
            <w:tcBorders>
              <w:top w:val="nil"/>
              <w:left w:val="nil"/>
              <w:bottom w:val="nil"/>
              <w:right w:val="nil"/>
            </w:tcBorders>
            <w:shd w:val="clear" w:color="auto" w:fill="auto"/>
            <w:noWrap/>
            <w:vAlign w:val="bottom"/>
            <w:hideMark/>
          </w:tcPr>
          <w:p w14:paraId="0059ECE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1,301.8</w:t>
            </w:r>
          </w:p>
        </w:tc>
        <w:tc>
          <w:tcPr>
            <w:tcW w:w="960" w:type="dxa"/>
            <w:tcBorders>
              <w:top w:val="nil"/>
              <w:left w:val="nil"/>
              <w:bottom w:val="nil"/>
              <w:right w:val="nil"/>
            </w:tcBorders>
            <w:shd w:val="clear" w:color="auto" w:fill="auto"/>
            <w:noWrap/>
            <w:vAlign w:val="bottom"/>
            <w:hideMark/>
          </w:tcPr>
          <w:p w14:paraId="14E11AC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216</w:t>
            </w:r>
          </w:p>
        </w:tc>
        <w:tc>
          <w:tcPr>
            <w:tcW w:w="1261" w:type="dxa"/>
            <w:tcBorders>
              <w:top w:val="nil"/>
              <w:left w:val="nil"/>
              <w:bottom w:val="nil"/>
              <w:right w:val="nil"/>
            </w:tcBorders>
            <w:shd w:val="clear" w:color="auto" w:fill="auto"/>
            <w:noWrap/>
            <w:vAlign w:val="bottom"/>
            <w:hideMark/>
          </w:tcPr>
          <w:p w14:paraId="1ACD102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475.0</w:t>
            </w:r>
          </w:p>
        </w:tc>
        <w:tc>
          <w:tcPr>
            <w:tcW w:w="960" w:type="dxa"/>
            <w:tcBorders>
              <w:top w:val="nil"/>
              <w:left w:val="nil"/>
              <w:bottom w:val="nil"/>
              <w:right w:val="nil"/>
            </w:tcBorders>
            <w:shd w:val="clear" w:color="auto" w:fill="auto"/>
            <w:noWrap/>
            <w:vAlign w:val="bottom"/>
            <w:hideMark/>
          </w:tcPr>
          <w:p w14:paraId="47F0569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79</w:t>
            </w:r>
          </w:p>
        </w:tc>
        <w:tc>
          <w:tcPr>
            <w:tcW w:w="1261" w:type="dxa"/>
            <w:tcBorders>
              <w:top w:val="nil"/>
              <w:left w:val="nil"/>
              <w:bottom w:val="nil"/>
              <w:right w:val="nil"/>
            </w:tcBorders>
            <w:shd w:val="clear" w:color="auto" w:fill="auto"/>
            <w:noWrap/>
            <w:vAlign w:val="bottom"/>
            <w:hideMark/>
          </w:tcPr>
          <w:p w14:paraId="6A36253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1,641.3</w:t>
            </w:r>
          </w:p>
        </w:tc>
        <w:tc>
          <w:tcPr>
            <w:tcW w:w="960" w:type="dxa"/>
            <w:tcBorders>
              <w:top w:val="nil"/>
              <w:left w:val="nil"/>
              <w:bottom w:val="nil"/>
              <w:right w:val="nil"/>
            </w:tcBorders>
            <w:shd w:val="clear" w:color="auto" w:fill="auto"/>
            <w:noWrap/>
            <w:vAlign w:val="bottom"/>
            <w:hideMark/>
          </w:tcPr>
          <w:p w14:paraId="3A3F54D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273</w:t>
            </w:r>
          </w:p>
        </w:tc>
        <w:tc>
          <w:tcPr>
            <w:tcW w:w="1261" w:type="dxa"/>
            <w:tcBorders>
              <w:top w:val="nil"/>
              <w:left w:val="nil"/>
              <w:bottom w:val="nil"/>
              <w:right w:val="nil"/>
            </w:tcBorders>
            <w:shd w:val="clear" w:color="auto" w:fill="auto"/>
            <w:noWrap/>
            <w:vAlign w:val="bottom"/>
            <w:hideMark/>
          </w:tcPr>
          <w:p w14:paraId="2AA6F1C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1,043.3</w:t>
            </w:r>
          </w:p>
        </w:tc>
        <w:tc>
          <w:tcPr>
            <w:tcW w:w="960" w:type="dxa"/>
            <w:tcBorders>
              <w:top w:val="nil"/>
              <w:left w:val="nil"/>
              <w:bottom w:val="nil"/>
              <w:right w:val="nil"/>
            </w:tcBorders>
            <w:shd w:val="clear" w:color="auto" w:fill="auto"/>
            <w:noWrap/>
            <w:vAlign w:val="bottom"/>
            <w:hideMark/>
          </w:tcPr>
          <w:p w14:paraId="6197580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173</w:t>
            </w:r>
          </w:p>
        </w:tc>
      </w:tr>
      <w:tr w:rsidR="00EE4837" w:rsidRPr="007239A6" w14:paraId="2DF1B9BF" w14:textId="77777777" w:rsidTr="00181ACD">
        <w:trPr>
          <w:trHeight w:val="288"/>
        </w:trPr>
        <w:tc>
          <w:tcPr>
            <w:tcW w:w="1586" w:type="dxa"/>
            <w:tcBorders>
              <w:top w:val="nil"/>
              <w:left w:val="nil"/>
              <w:bottom w:val="nil"/>
              <w:right w:val="nil"/>
            </w:tcBorders>
            <w:shd w:val="clear" w:color="auto" w:fill="auto"/>
            <w:noWrap/>
            <w:vAlign w:val="bottom"/>
            <w:hideMark/>
          </w:tcPr>
          <w:p w14:paraId="0A8151EC"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Wilton</w:t>
            </w:r>
          </w:p>
        </w:tc>
        <w:tc>
          <w:tcPr>
            <w:tcW w:w="1261" w:type="dxa"/>
            <w:tcBorders>
              <w:top w:val="nil"/>
              <w:left w:val="nil"/>
              <w:bottom w:val="nil"/>
              <w:right w:val="nil"/>
            </w:tcBorders>
            <w:shd w:val="clear" w:color="auto" w:fill="auto"/>
            <w:noWrap/>
            <w:vAlign w:val="bottom"/>
            <w:hideMark/>
          </w:tcPr>
          <w:p w14:paraId="1E3081A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16,022.8</w:t>
            </w:r>
          </w:p>
        </w:tc>
        <w:tc>
          <w:tcPr>
            <w:tcW w:w="960" w:type="dxa"/>
            <w:tcBorders>
              <w:top w:val="nil"/>
              <w:left w:val="nil"/>
              <w:bottom w:val="nil"/>
              <w:right w:val="nil"/>
            </w:tcBorders>
            <w:shd w:val="clear" w:color="auto" w:fill="auto"/>
            <w:noWrap/>
            <w:vAlign w:val="bottom"/>
            <w:hideMark/>
          </w:tcPr>
          <w:p w14:paraId="45EAE95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873</w:t>
            </w:r>
          </w:p>
        </w:tc>
        <w:tc>
          <w:tcPr>
            <w:tcW w:w="1261" w:type="dxa"/>
            <w:tcBorders>
              <w:top w:val="nil"/>
              <w:left w:val="nil"/>
              <w:bottom w:val="nil"/>
              <w:right w:val="nil"/>
            </w:tcBorders>
            <w:shd w:val="clear" w:color="auto" w:fill="auto"/>
            <w:noWrap/>
            <w:vAlign w:val="bottom"/>
            <w:hideMark/>
          </w:tcPr>
          <w:p w14:paraId="60068A3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16,215.8</w:t>
            </w:r>
          </w:p>
        </w:tc>
        <w:tc>
          <w:tcPr>
            <w:tcW w:w="960" w:type="dxa"/>
            <w:tcBorders>
              <w:top w:val="nil"/>
              <w:left w:val="nil"/>
              <w:bottom w:val="nil"/>
              <w:right w:val="nil"/>
            </w:tcBorders>
            <w:shd w:val="clear" w:color="auto" w:fill="auto"/>
            <w:noWrap/>
            <w:vAlign w:val="bottom"/>
            <w:hideMark/>
          </w:tcPr>
          <w:p w14:paraId="75F24BF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884</w:t>
            </w:r>
          </w:p>
        </w:tc>
        <w:tc>
          <w:tcPr>
            <w:tcW w:w="1261" w:type="dxa"/>
            <w:tcBorders>
              <w:top w:val="nil"/>
              <w:left w:val="nil"/>
              <w:bottom w:val="nil"/>
              <w:right w:val="nil"/>
            </w:tcBorders>
            <w:shd w:val="clear" w:color="auto" w:fill="auto"/>
            <w:noWrap/>
            <w:vAlign w:val="bottom"/>
            <w:hideMark/>
          </w:tcPr>
          <w:p w14:paraId="6B59C5C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13,912.4</w:t>
            </w:r>
          </w:p>
        </w:tc>
        <w:tc>
          <w:tcPr>
            <w:tcW w:w="960" w:type="dxa"/>
            <w:tcBorders>
              <w:top w:val="nil"/>
              <w:left w:val="nil"/>
              <w:bottom w:val="nil"/>
              <w:right w:val="nil"/>
            </w:tcBorders>
            <w:shd w:val="clear" w:color="auto" w:fill="auto"/>
            <w:noWrap/>
            <w:vAlign w:val="bottom"/>
            <w:hideMark/>
          </w:tcPr>
          <w:p w14:paraId="6E047AC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758</w:t>
            </w:r>
          </w:p>
        </w:tc>
        <w:tc>
          <w:tcPr>
            <w:tcW w:w="1261" w:type="dxa"/>
            <w:tcBorders>
              <w:top w:val="nil"/>
              <w:left w:val="nil"/>
              <w:bottom w:val="nil"/>
              <w:right w:val="nil"/>
            </w:tcBorders>
            <w:shd w:val="clear" w:color="auto" w:fill="auto"/>
            <w:noWrap/>
            <w:vAlign w:val="bottom"/>
            <w:hideMark/>
          </w:tcPr>
          <w:p w14:paraId="3CE6A29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11,992.7</w:t>
            </w:r>
          </w:p>
        </w:tc>
        <w:tc>
          <w:tcPr>
            <w:tcW w:w="960" w:type="dxa"/>
            <w:tcBorders>
              <w:top w:val="nil"/>
              <w:left w:val="nil"/>
              <w:bottom w:val="nil"/>
              <w:right w:val="nil"/>
            </w:tcBorders>
            <w:shd w:val="clear" w:color="auto" w:fill="auto"/>
            <w:noWrap/>
            <w:vAlign w:val="bottom"/>
            <w:hideMark/>
          </w:tcPr>
          <w:p w14:paraId="76F78E2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653</w:t>
            </w:r>
          </w:p>
        </w:tc>
        <w:tc>
          <w:tcPr>
            <w:tcW w:w="1261" w:type="dxa"/>
            <w:tcBorders>
              <w:top w:val="nil"/>
              <w:left w:val="nil"/>
              <w:bottom w:val="nil"/>
              <w:right w:val="nil"/>
            </w:tcBorders>
            <w:shd w:val="clear" w:color="auto" w:fill="auto"/>
            <w:noWrap/>
            <w:vAlign w:val="bottom"/>
            <w:hideMark/>
          </w:tcPr>
          <w:p w14:paraId="1214990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13,035.1</w:t>
            </w:r>
          </w:p>
        </w:tc>
        <w:tc>
          <w:tcPr>
            <w:tcW w:w="960" w:type="dxa"/>
            <w:tcBorders>
              <w:top w:val="nil"/>
              <w:left w:val="nil"/>
              <w:bottom w:val="nil"/>
              <w:right w:val="nil"/>
            </w:tcBorders>
            <w:shd w:val="clear" w:color="auto" w:fill="auto"/>
            <w:noWrap/>
            <w:vAlign w:val="bottom"/>
            <w:hideMark/>
          </w:tcPr>
          <w:p w14:paraId="3B40546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710</w:t>
            </w:r>
          </w:p>
        </w:tc>
      </w:tr>
      <w:tr w:rsidR="00EE4837" w:rsidRPr="007239A6" w14:paraId="0941089B" w14:textId="77777777" w:rsidTr="00181ACD">
        <w:trPr>
          <w:trHeight w:val="288"/>
        </w:trPr>
        <w:tc>
          <w:tcPr>
            <w:tcW w:w="1586" w:type="dxa"/>
            <w:tcBorders>
              <w:top w:val="nil"/>
              <w:left w:val="nil"/>
              <w:bottom w:val="nil"/>
              <w:right w:val="nil"/>
            </w:tcBorders>
            <w:shd w:val="clear" w:color="auto" w:fill="auto"/>
            <w:noWrap/>
            <w:vAlign w:val="bottom"/>
            <w:hideMark/>
          </w:tcPr>
          <w:p w14:paraId="2D6FAA2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Winchester</w:t>
            </w:r>
          </w:p>
        </w:tc>
        <w:tc>
          <w:tcPr>
            <w:tcW w:w="1261" w:type="dxa"/>
            <w:tcBorders>
              <w:top w:val="nil"/>
              <w:left w:val="nil"/>
              <w:bottom w:val="nil"/>
              <w:right w:val="nil"/>
            </w:tcBorders>
            <w:shd w:val="clear" w:color="auto" w:fill="auto"/>
            <w:noWrap/>
            <w:vAlign w:val="bottom"/>
            <w:hideMark/>
          </w:tcPr>
          <w:p w14:paraId="2FE07FB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2,023.1</w:t>
            </w:r>
          </w:p>
        </w:tc>
        <w:tc>
          <w:tcPr>
            <w:tcW w:w="960" w:type="dxa"/>
            <w:tcBorders>
              <w:top w:val="nil"/>
              <w:left w:val="nil"/>
              <w:bottom w:val="nil"/>
              <w:right w:val="nil"/>
            </w:tcBorders>
            <w:shd w:val="clear" w:color="auto" w:fill="auto"/>
            <w:noWrap/>
            <w:vAlign w:val="bottom"/>
            <w:hideMark/>
          </w:tcPr>
          <w:p w14:paraId="5290D45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181</w:t>
            </w:r>
          </w:p>
        </w:tc>
        <w:tc>
          <w:tcPr>
            <w:tcW w:w="1261" w:type="dxa"/>
            <w:tcBorders>
              <w:top w:val="nil"/>
              <w:left w:val="nil"/>
              <w:bottom w:val="nil"/>
              <w:right w:val="nil"/>
            </w:tcBorders>
            <w:shd w:val="clear" w:color="auto" w:fill="auto"/>
            <w:noWrap/>
            <w:vAlign w:val="bottom"/>
            <w:hideMark/>
          </w:tcPr>
          <w:p w14:paraId="192E07C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1,676.8</w:t>
            </w:r>
          </w:p>
        </w:tc>
        <w:tc>
          <w:tcPr>
            <w:tcW w:w="960" w:type="dxa"/>
            <w:tcBorders>
              <w:top w:val="nil"/>
              <w:left w:val="nil"/>
              <w:bottom w:val="nil"/>
              <w:right w:val="nil"/>
            </w:tcBorders>
            <w:shd w:val="clear" w:color="auto" w:fill="auto"/>
            <w:noWrap/>
            <w:vAlign w:val="bottom"/>
            <w:hideMark/>
          </w:tcPr>
          <w:p w14:paraId="15ED742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150</w:t>
            </w:r>
          </w:p>
        </w:tc>
        <w:tc>
          <w:tcPr>
            <w:tcW w:w="1261" w:type="dxa"/>
            <w:tcBorders>
              <w:top w:val="nil"/>
              <w:left w:val="nil"/>
              <w:bottom w:val="nil"/>
              <w:right w:val="nil"/>
            </w:tcBorders>
            <w:shd w:val="clear" w:color="auto" w:fill="auto"/>
            <w:noWrap/>
            <w:vAlign w:val="bottom"/>
            <w:hideMark/>
          </w:tcPr>
          <w:p w14:paraId="518CBBC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1,565.3</w:t>
            </w:r>
          </w:p>
        </w:tc>
        <w:tc>
          <w:tcPr>
            <w:tcW w:w="960" w:type="dxa"/>
            <w:tcBorders>
              <w:top w:val="nil"/>
              <w:left w:val="nil"/>
              <w:bottom w:val="nil"/>
              <w:right w:val="nil"/>
            </w:tcBorders>
            <w:shd w:val="clear" w:color="auto" w:fill="auto"/>
            <w:noWrap/>
            <w:vAlign w:val="bottom"/>
            <w:hideMark/>
          </w:tcPr>
          <w:p w14:paraId="1F0BA39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140</w:t>
            </w:r>
          </w:p>
        </w:tc>
        <w:tc>
          <w:tcPr>
            <w:tcW w:w="1261" w:type="dxa"/>
            <w:tcBorders>
              <w:top w:val="nil"/>
              <w:left w:val="nil"/>
              <w:bottom w:val="nil"/>
              <w:right w:val="nil"/>
            </w:tcBorders>
            <w:shd w:val="clear" w:color="auto" w:fill="auto"/>
            <w:noWrap/>
            <w:vAlign w:val="bottom"/>
            <w:hideMark/>
          </w:tcPr>
          <w:p w14:paraId="1C8EE45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2,507.9</w:t>
            </w:r>
          </w:p>
        </w:tc>
        <w:tc>
          <w:tcPr>
            <w:tcW w:w="960" w:type="dxa"/>
            <w:tcBorders>
              <w:top w:val="nil"/>
              <w:left w:val="nil"/>
              <w:bottom w:val="nil"/>
              <w:right w:val="nil"/>
            </w:tcBorders>
            <w:shd w:val="clear" w:color="auto" w:fill="auto"/>
            <w:noWrap/>
            <w:vAlign w:val="bottom"/>
            <w:hideMark/>
          </w:tcPr>
          <w:p w14:paraId="30D9CDD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225</w:t>
            </w:r>
          </w:p>
        </w:tc>
        <w:tc>
          <w:tcPr>
            <w:tcW w:w="1261" w:type="dxa"/>
            <w:tcBorders>
              <w:top w:val="nil"/>
              <w:left w:val="nil"/>
              <w:bottom w:val="nil"/>
              <w:right w:val="nil"/>
            </w:tcBorders>
            <w:shd w:val="clear" w:color="auto" w:fill="auto"/>
            <w:noWrap/>
            <w:vAlign w:val="bottom"/>
            <w:hideMark/>
          </w:tcPr>
          <w:p w14:paraId="2EB9B55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2,005.7</w:t>
            </w:r>
          </w:p>
        </w:tc>
        <w:tc>
          <w:tcPr>
            <w:tcW w:w="960" w:type="dxa"/>
            <w:tcBorders>
              <w:top w:val="nil"/>
              <w:left w:val="nil"/>
              <w:bottom w:val="nil"/>
              <w:right w:val="nil"/>
            </w:tcBorders>
            <w:shd w:val="clear" w:color="auto" w:fill="auto"/>
            <w:noWrap/>
            <w:vAlign w:val="bottom"/>
            <w:hideMark/>
          </w:tcPr>
          <w:p w14:paraId="256E084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180</w:t>
            </w:r>
          </w:p>
        </w:tc>
      </w:tr>
      <w:tr w:rsidR="00EE4837" w:rsidRPr="007239A6" w14:paraId="312C39EE" w14:textId="77777777" w:rsidTr="00181ACD">
        <w:trPr>
          <w:trHeight w:val="288"/>
        </w:trPr>
        <w:tc>
          <w:tcPr>
            <w:tcW w:w="1586" w:type="dxa"/>
            <w:tcBorders>
              <w:top w:val="nil"/>
              <w:left w:val="nil"/>
              <w:bottom w:val="nil"/>
              <w:right w:val="nil"/>
            </w:tcBorders>
            <w:shd w:val="clear" w:color="auto" w:fill="auto"/>
            <w:noWrap/>
            <w:vAlign w:val="bottom"/>
            <w:hideMark/>
          </w:tcPr>
          <w:p w14:paraId="1EF3D03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Windham</w:t>
            </w:r>
          </w:p>
        </w:tc>
        <w:tc>
          <w:tcPr>
            <w:tcW w:w="1261" w:type="dxa"/>
            <w:tcBorders>
              <w:top w:val="nil"/>
              <w:left w:val="nil"/>
              <w:bottom w:val="nil"/>
              <w:right w:val="nil"/>
            </w:tcBorders>
            <w:shd w:val="clear" w:color="auto" w:fill="auto"/>
            <w:noWrap/>
            <w:vAlign w:val="bottom"/>
            <w:hideMark/>
          </w:tcPr>
          <w:p w14:paraId="0A889B4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2,804.3</w:t>
            </w:r>
          </w:p>
        </w:tc>
        <w:tc>
          <w:tcPr>
            <w:tcW w:w="960" w:type="dxa"/>
            <w:tcBorders>
              <w:top w:val="nil"/>
              <w:left w:val="nil"/>
              <w:bottom w:val="nil"/>
              <w:right w:val="nil"/>
            </w:tcBorders>
            <w:shd w:val="clear" w:color="auto" w:fill="auto"/>
            <w:noWrap/>
            <w:vAlign w:val="bottom"/>
            <w:hideMark/>
          </w:tcPr>
          <w:p w14:paraId="35B930C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111</w:t>
            </w:r>
          </w:p>
        </w:tc>
        <w:tc>
          <w:tcPr>
            <w:tcW w:w="1261" w:type="dxa"/>
            <w:tcBorders>
              <w:top w:val="nil"/>
              <w:left w:val="nil"/>
              <w:bottom w:val="nil"/>
              <w:right w:val="nil"/>
            </w:tcBorders>
            <w:shd w:val="clear" w:color="auto" w:fill="auto"/>
            <w:noWrap/>
            <w:vAlign w:val="bottom"/>
            <w:hideMark/>
          </w:tcPr>
          <w:p w14:paraId="1C91418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1,979.9</w:t>
            </w:r>
          </w:p>
        </w:tc>
        <w:tc>
          <w:tcPr>
            <w:tcW w:w="960" w:type="dxa"/>
            <w:tcBorders>
              <w:top w:val="nil"/>
              <w:left w:val="nil"/>
              <w:bottom w:val="nil"/>
              <w:right w:val="nil"/>
            </w:tcBorders>
            <w:shd w:val="clear" w:color="auto" w:fill="auto"/>
            <w:noWrap/>
            <w:vAlign w:val="bottom"/>
            <w:hideMark/>
          </w:tcPr>
          <w:p w14:paraId="0B8B757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78</w:t>
            </w:r>
          </w:p>
        </w:tc>
        <w:tc>
          <w:tcPr>
            <w:tcW w:w="1261" w:type="dxa"/>
            <w:tcBorders>
              <w:top w:val="nil"/>
              <w:left w:val="nil"/>
              <w:bottom w:val="nil"/>
              <w:right w:val="nil"/>
            </w:tcBorders>
            <w:shd w:val="clear" w:color="auto" w:fill="auto"/>
            <w:noWrap/>
            <w:vAlign w:val="bottom"/>
            <w:hideMark/>
          </w:tcPr>
          <w:p w14:paraId="0027250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4,515.0</w:t>
            </w:r>
          </w:p>
        </w:tc>
        <w:tc>
          <w:tcPr>
            <w:tcW w:w="960" w:type="dxa"/>
            <w:tcBorders>
              <w:top w:val="nil"/>
              <w:left w:val="nil"/>
              <w:bottom w:val="nil"/>
              <w:right w:val="nil"/>
            </w:tcBorders>
            <w:shd w:val="clear" w:color="auto" w:fill="auto"/>
            <w:noWrap/>
            <w:vAlign w:val="bottom"/>
            <w:hideMark/>
          </w:tcPr>
          <w:p w14:paraId="78C3AD7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178</w:t>
            </w:r>
          </w:p>
        </w:tc>
        <w:tc>
          <w:tcPr>
            <w:tcW w:w="1261" w:type="dxa"/>
            <w:tcBorders>
              <w:top w:val="nil"/>
              <w:left w:val="nil"/>
              <w:bottom w:val="nil"/>
              <w:right w:val="nil"/>
            </w:tcBorders>
            <w:shd w:val="clear" w:color="auto" w:fill="auto"/>
            <w:noWrap/>
            <w:vAlign w:val="bottom"/>
            <w:hideMark/>
          </w:tcPr>
          <w:p w14:paraId="05E1C19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3,527.2</w:t>
            </w:r>
          </w:p>
        </w:tc>
        <w:tc>
          <w:tcPr>
            <w:tcW w:w="960" w:type="dxa"/>
            <w:tcBorders>
              <w:top w:val="nil"/>
              <w:left w:val="nil"/>
              <w:bottom w:val="nil"/>
              <w:right w:val="nil"/>
            </w:tcBorders>
            <w:shd w:val="clear" w:color="auto" w:fill="auto"/>
            <w:noWrap/>
            <w:vAlign w:val="bottom"/>
            <w:hideMark/>
          </w:tcPr>
          <w:p w14:paraId="40CC712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139</w:t>
            </w:r>
          </w:p>
        </w:tc>
        <w:tc>
          <w:tcPr>
            <w:tcW w:w="1261" w:type="dxa"/>
            <w:tcBorders>
              <w:top w:val="nil"/>
              <w:left w:val="nil"/>
              <w:bottom w:val="nil"/>
              <w:right w:val="nil"/>
            </w:tcBorders>
            <w:shd w:val="clear" w:color="auto" w:fill="auto"/>
            <w:noWrap/>
            <w:vAlign w:val="bottom"/>
            <w:hideMark/>
          </w:tcPr>
          <w:p w14:paraId="7E1EDBC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4,064.2</w:t>
            </w:r>
          </w:p>
        </w:tc>
        <w:tc>
          <w:tcPr>
            <w:tcW w:w="960" w:type="dxa"/>
            <w:tcBorders>
              <w:top w:val="nil"/>
              <w:left w:val="nil"/>
              <w:bottom w:val="nil"/>
              <w:right w:val="nil"/>
            </w:tcBorders>
            <w:shd w:val="clear" w:color="auto" w:fill="auto"/>
            <w:noWrap/>
            <w:vAlign w:val="bottom"/>
            <w:hideMark/>
          </w:tcPr>
          <w:p w14:paraId="00E375D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161</w:t>
            </w:r>
          </w:p>
        </w:tc>
      </w:tr>
      <w:tr w:rsidR="00EE4837" w:rsidRPr="007239A6" w14:paraId="1DC6C282" w14:textId="77777777" w:rsidTr="00181ACD">
        <w:trPr>
          <w:trHeight w:val="288"/>
        </w:trPr>
        <w:tc>
          <w:tcPr>
            <w:tcW w:w="1586" w:type="dxa"/>
            <w:tcBorders>
              <w:top w:val="nil"/>
              <w:left w:val="nil"/>
              <w:bottom w:val="nil"/>
              <w:right w:val="nil"/>
            </w:tcBorders>
            <w:shd w:val="clear" w:color="auto" w:fill="auto"/>
            <w:noWrap/>
            <w:vAlign w:val="bottom"/>
            <w:hideMark/>
          </w:tcPr>
          <w:p w14:paraId="08B7393B"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Windsor</w:t>
            </w:r>
          </w:p>
        </w:tc>
        <w:tc>
          <w:tcPr>
            <w:tcW w:w="1261" w:type="dxa"/>
            <w:tcBorders>
              <w:top w:val="nil"/>
              <w:left w:val="nil"/>
              <w:bottom w:val="nil"/>
              <w:right w:val="nil"/>
            </w:tcBorders>
            <w:shd w:val="clear" w:color="auto" w:fill="auto"/>
            <w:noWrap/>
            <w:vAlign w:val="bottom"/>
            <w:hideMark/>
          </w:tcPr>
          <w:p w14:paraId="781B3C4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7,028.1</w:t>
            </w:r>
          </w:p>
        </w:tc>
        <w:tc>
          <w:tcPr>
            <w:tcW w:w="960" w:type="dxa"/>
            <w:tcBorders>
              <w:top w:val="nil"/>
              <w:left w:val="nil"/>
              <w:bottom w:val="nil"/>
              <w:right w:val="nil"/>
            </w:tcBorders>
            <w:shd w:val="clear" w:color="auto" w:fill="auto"/>
            <w:noWrap/>
            <w:vAlign w:val="bottom"/>
            <w:hideMark/>
          </w:tcPr>
          <w:p w14:paraId="47E43597" w14:textId="50CD86D6" w:rsidR="00EE4837" w:rsidRPr="007239A6" w:rsidRDefault="00AE6E61" w:rsidP="00AE6E61">
            <w:pPr>
              <w:spacing w:after="0" w:line="240" w:lineRule="auto"/>
              <w:jc w:val="right"/>
              <w:rPr>
                <w:color w:val="000000"/>
                <w:sz w:val="20"/>
                <w:szCs w:val="20"/>
                <w:lang w:bidi="ar-SA"/>
              </w:rPr>
            </w:pPr>
            <w:r w:rsidRPr="007239A6">
              <w:rPr>
                <w:color w:val="000000"/>
                <w:sz w:val="20"/>
                <w:szCs w:val="20"/>
                <w:lang w:bidi="ar-SA"/>
              </w:rPr>
              <w:t>242</w:t>
            </w:r>
          </w:p>
        </w:tc>
        <w:tc>
          <w:tcPr>
            <w:tcW w:w="1261" w:type="dxa"/>
            <w:tcBorders>
              <w:top w:val="nil"/>
              <w:left w:val="nil"/>
              <w:bottom w:val="nil"/>
              <w:right w:val="nil"/>
            </w:tcBorders>
            <w:shd w:val="clear" w:color="auto" w:fill="auto"/>
            <w:noWrap/>
            <w:vAlign w:val="bottom"/>
            <w:hideMark/>
          </w:tcPr>
          <w:p w14:paraId="18E8B02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6,636.2</w:t>
            </w:r>
          </w:p>
        </w:tc>
        <w:tc>
          <w:tcPr>
            <w:tcW w:w="960" w:type="dxa"/>
            <w:tcBorders>
              <w:top w:val="nil"/>
              <w:left w:val="nil"/>
              <w:bottom w:val="nil"/>
              <w:right w:val="nil"/>
            </w:tcBorders>
            <w:shd w:val="clear" w:color="auto" w:fill="auto"/>
            <w:noWrap/>
            <w:vAlign w:val="bottom"/>
            <w:hideMark/>
          </w:tcPr>
          <w:p w14:paraId="31BAC141" w14:textId="616B1117" w:rsidR="00EE4837" w:rsidRPr="007239A6" w:rsidRDefault="00AE6E61" w:rsidP="00AE6E61">
            <w:pPr>
              <w:spacing w:after="0" w:line="240" w:lineRule="auto"/>
              <w:jc w:val="right"/>
              <w:rPr>
                <w:color w:val="000000"/>
                <w:sz w:val="20"/>
                <w:szCs w:val="20"/>
                <w:lang w:bidi="ar-SA"/>
              </w:rPr>
            </w:pPr>
            <w:r w:rsidRPr="007239A6">
              <w:rPr>
                <w:color w:val="000000"/>
                <w:sz w:val="20"/>
                <w:szCs w:val="20"/>
                <w:lang w:bidi="ar-SA"/>
              </w:rPr>
              <w:t>228</w:t>
            </w:r>
          </w:p>
        </w:tc>
        <w:tc>
          <w:tcPr>
            <w:tcW w:w="1261" w:type="dxa"/>
            <w:tcBorders>
              <w:top w:val="nil"/>
              <w:left w:val="nil"/>
              <w:bottom w:val="nil"/>
              <w:right w:val="nil"/>
            </w:tcBorders>
            <w:shd w:val="clear" w:color="auto" w:fill="auto"/>
            <w:noWrap/>
            <w:vAlign w:val="bottom"/>
            <w:hideMark/>
          </w:tcPr>
          <w:p w14:paraId="6494A27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18,733.0</w:t>
            </w:r>
          </w:p>
        </w:tc>
        <w:tc>
          <w:tcPr>
            <w:tcW w:w="960" w:type="dxa"/>
            <w:tcBorders>
              <w:top w:val="nil"/>
              <w:left w:val="nil"/>
              <w:bottom w:val="nil"/>
              <w:right w:val="nil"/>
            </w:tcBorders>
            <w:shd w:val="clear" w:color="auto" w:fill="auto"/>
            <w:noWrap/>
            <w:vAlign w:val="bottom"/>
            <w:hideMark/>
          </w:tcPr>
          <w:p w14:paraId="3529B6DA" w14:textId="48D67D22" w:rsidR="00EE4837" w:rsidRPr="007239A6" w:rsidRDefault="00AE6E61" w:rsidP="00EE4837">
            <w:pPr>
              <w:spacing w:after="0" w:line="240" w:lineRule="auto"/>
              <w:jc w:val="right"/>
              <w:rPr>
                <w:color w:val="000000"/>
                <w:sz w:val="20"/>
                <w:szCs w:val="20"/>
                <w:lang w:bidi="ar-SA"/>
              </w:rPr>
            </w:pPr>
            <w:r w:rsidRPr="007239A6">
              <w:rPr>
                <w:color w:val="000000"/>
                <w:sz w:val="20"/>
                <w:szCs w:val="20"/>
                <w:lang w:bidi="ar-SA"/>
              </w:rPr>
              <w:t>644</w:t>
            </w:r>
          </w:p>
        </w:tc>
        <w:tc>
          <w:tcPr>
            <w:tcW w:w="1261" w:type="dxa"/>
            <w:tcBorders>
              <w:top w:val="nil"/>
              <w:left w:val="nil"/>
              <w:bottom w:val="nil"/>
              <w:right w:val="nil"/>
            </w:tcBorders>
            <w:shd w:val="clear" w:color="auto" w:fill="auto"/>
            <w:noWrap/>
            <w:vAlign w:val="bottom"/>
            <w:hideMark/>
          </w:tcPr>
          <w:p w14:paraId="1C589A3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9,191.9</w:t>
            </w:r>
          </w:p>
        </w:tc>
        <w:tc>
          <w:tcPr>
            <w:tcW w:w="960" w:type="dxa"/>
            <w:tcBorders>
              <w:top w:val="nil"/>
              <w:left w:val="nil"/>
              <w:bottom w:val="nil"/>
              <w:right w:val="nil"/>
            </w:tcBorders>
            <w:shd w:val="clear" w:color="auto" w:fill="auto"/>
            <w:noWrap/>
            <w:vAlign w:val="bottom"/>
            <w:hideMark/>
          </w:tcPr>
          <w:p w14:paraId="0E203135" w14:textId="2DAFFAAD" w:rsidR="00EE4837" w:rsidRPr="007239A6" w:rsidRDefault="00AE6E61" w:rsidP="00AE6E61">
            <w:pPr>
              <w:spacing w:after="0" w:line="240" w:lineRule="auto"/>
              <w:jc w:val="right"/>
              <w:rPr>
                <w:color w:val="000000"/>
                <w:sz w:val="20"/>
                <w:szCs w:val="20"/>
                <w:lang w:bidi="ar-SA"/>
              </w:rPr>
            </w:pPr>
            <w:r w:rsidRPr="007239A6">
              <w:rPr>
                <w:color w:val="000000"/>
                <w:sz w:val="20"/>
                <w:szCs w:val="20"/>
                <w:lang w:bidi="ar-SA"/>
              </w:rPr>
              <w:t>316</w:t>
            </w:r>
          </w:p>
        </w:tc>
        <w:tc>
          <w:tcPr>
            <w:tcW w:w="1261" w:type="dxa"/>
            <w:tcBorders>
              <w:top w:val="nil"/>
              <w:left w:val="nil"/>
              <w:bottom w:val="nil"/>
              <w:right w:val="nil"/>
            </w:tcBorders>
            <w:shd w:val="clear" w:color="auto" w:fill="auto"/>
            <w:noWrap/>
            <w:vAlign w:val="bottom"/>
            <w:hideMark/>
          </w:tcPr>
          <w:p w14:paraId="040C64D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14,245.1</w:t>
            </w:r>
          </w:p>
        </w:tc>
        <w:tc>
          <w:tcPr>
            <w:tcW w:w="960" w:type="dxa"/>
            <w:tcBorders>
              <w:top w:val="nil"/>
              <w:left w:val="nil"/>
              <w:bottom w:val="nil"/>
              <w:right w:val="nil"/>
            </w:tcBorders>
            <w:shd w:val="clear" w:color="auto" w:fill="auto"/>
            <w:noWrap/>
            <w:vAlign w:val="bottom"/>
            <w:hideMark/>
          </w:tcPr>
          <w:p w14:paraId="6A857AD9" w14:textId="71AD1F37" w:rsidR="00EE4837" w:rsidRPr="007239A6" w:rsidRDefault="00AE6E61" w:rsidP="00AE6E61">
            <w:pPr>
              <w:spacing w:after="0" w:line="240" w:lineRule="auto"/>
              <w:jc w:val="right"/>
              <w:rPr>
                <w:color w:val="000000"/>
                <w:sz w:val="20"/>
                <w:szCs w:val="20"/>
                <w:lang w:bidi="ar-SA"/>
              </w:rPr>
            </w:pPr>
            <w:r w:rsidRPr="007239A6">
              <w:rPr>
                <w:color w:val="000000"/>
                <w:sz w:val="20"/>
                <w:szCs w:val="20"/>
                <w:lang w:bidi="ar-SA"/>
              </w:rPr>
              <w:t>490</w:t>
            </w:r>
          </w:p>
        </w:tc>
      </w:tr>
      <w:tr w:rsidR="00EE4837" w:rsidRPr="007239A6" w14:paraId="0241A398" w14:textId="77777777" w:rsidTr="00181ACD">
        <w:trPr>
          <w:trHeight w:val="288"/>
        </w:trPr>
        <w:tc>
          <w:tcPr>
            <w:tcW w:w="1586" w:type="dxa"/>
            <w:tcBorders>
              <w:top w:val="nil"/>
              <w:left w:val="nil"/>
              <w:bottom w:val="nil"/>
              <w:right w:val="nil"/>
            </w:tcBorders>
            <w:shd w:val="clear" w:color="auto" w:fill="auto"/>
            <w:noWrap/>
            <w:vAlign w:val="bottom"/>
            <w:hideMark/>
          </w:tcPr>
          <w:p w14:paraId="6D20A960"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Windsor Locks</w:t>
            </w:r>
          </w:p>
        </w:tc>
        <w:tc>
          <w:tcPr>
            <w:tcW w:w="1261" w:type="dxa"/>
            <w:tcBorders>
              <w:top w:val="nil"/>
              <w:left w:val="nil"/>
              <w:bottom w:val="nil"/>
              <w:right w:val="nil"/>
            </w:tcBorders>
            <w:shd w:val="clear" w:color="auto" w:fill="auto"/>
            <w:noWrap/>
            <w:vAlign w:val="bottom"/>
            <w:hideMark/>
          </w:tcPr>
          <w:p w14:paraId="190EB1E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2,626.8</w:t>
            </w:r>
          </w:p>
        </w:tc>
        <w:tc>
          <w:tcPr>
            <w:tcW w:w="960" w:type="dxa"/>
            <w:tcBorders>
              <w:top w:val="nil"/>
              <w:left w:val="nil"/>
              <w:bottom w:val="nil"/>
              <w:right w:val="nil"/>
            </w:tcBorders>
            <w:shd w:val="clear" w:color="auto" w:fill="auto"/>
            <w:noWrap/>
            <w:vAlign w:val="bottom"/>
            <w:hideMark/>
          </w:tcPr>
          <w:p w14:paraId="63CB9F4A" w14:textId="3148F15D" w:rsidR="00EE4837" w:rsidRPr="007239A6" w:rsidRDefault="00AE6E61" w:rsidP="00AE6E61">
            <w:pPr>
              <w:spacing w:after="0" w:line="240" w:lineRule="auto"/>
              <w:jc w:val="right"/>
              <w:rPr>
                <w:color w:val="000000"/>
                <w:sz w:val="20"/>
                <w:szCs w:val="20"/>
                <w:lang w:bidi="ar-SA"/>
              </w:rPr>
            </w:pPr>
            <w:r w:rsidRPr="007239A6">
              <w:rPr>
                <w:color w:val="000000"/>
                <w:sz w:val="20"/>
                <w:szCs w:val="20"/>
                <w:lang w:bidi="ar-SA"/>
              </w:rPr>
              <w:t>210</w:t>
            </w:r>
          </w:p>
        </w:tc>
        <w:tc>
          <w:tcPr>
            <w:tcW w:w="1261" w:type="dxa"/>
            <w:tcBorders>
              <w:top w:val="nil"/>
              <w:left w:val="nil"/>
              <w:bottom w:val="nil"/>
              <w:right w:val="nil"/>
            </w:tcBorders>
            <w:shd w:val="clear" w:color="auto" w:fill="auto"/>
            <w:noWrap/>
            <w:vAlign w:val="bottom"/>
            <w:hideMark/>
          </w:tcPr>
          <w:p w14:paraId="15AAD8D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2,238.8</w:t>
            </w:r>
          </w:p>
        </w:tc>
        <w:tc>
          <w:tcPr>
            <w:tcW w:w="960" w:type="dxa"/>
            <w:tcBorders>
              <w:top w:val="nil"/>
              <w:left w:val="nil"/>
              <w:bottom w:val="nil"/>
              <w:right w:val="nil"/>
            </w:tcBorders>
            <w:shd w:val="clear" w:color="auto" w:fill="auto"/>
            <w:noWrap/>
            <w:vAlign w:val="bottom"/>
            <w:hideMark/>
          </w:tcPr>
          <w:p w14:paraId="564C71DD" w14:textId="17EA2B08" w:rsidR="00EE4837" w:rsidRPr="007239A6" w:rsidRDefault="00AE6E61" w:rsidP="00EE4837">
            <w:pPr>
              <w:spacing w:after="0" w:line="240" w:lineRule="auto"/>
              <w:jc w:val="right"/>
              <w:rPr>
                <w:color w:val="000000"/>
                <w:sz w:val="20"/>
                <w:szCs w:val="20"/>
                <w:lang w:bidi="ar-SA"/>
              </w:rPr>
            </w:pPr>
            <w:r w:rsidRPr="007239A6">
              <w:rPr>
                <w:color w:val="000000"/>
                <w:sz w:val="20"/>
                <w:szCs w:val="20"/>
                <w:lang w:bidi="ar-SA"/>
              </w:rPr>
              <w:t>179</w:t>
            </w:r>
          </w:p>
        </w:tc>
        <w:tc>
          <w:tcPr>
            <w:tcW w:w="1261" w:type="dxa"/>
            <w:tcBorders>
              <w:top w:val="nil"/>
              <w:left w:val="nil"/>
              <w:bottom w:val="nil"/>
              <w:right w:val="nil"/>
            </w:tcBorders>
            <w:shd w:val="clear" w:color="auto" w:fill="auto"/>
            <w:noWrap/>
            <w:vAlign w:val="bottom"/>
            <w:hideMark/>
          </w:tcPr>
          <w:p w14:paraId="4DB8FE0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9,277.2</w:t>
            </w:r>
          </w:p>
        </w:tc>
        <w:tc>
          <w:tcPr>
            <w:tcW w:w="960" w:type="dxa"/>
            <w:tcBorders>
              <w:top w:val="nil"/>
              <w:left w:val="nil"/>
              <w:bottom w:val="nil"/>
              <w:right w:val="nil"/>
            </w:tcBorders>
            <w:shd w:val="clear" w:color="auto" w:fill="auto"/>
            <w:noWrap/>
            <w:vAlign w:val="bottom"/>
            <w:hideMark/>
          </w:tcPr>
          <w:p w14:paraId="4CF55A95" w14:textId="2036B37A" w:rsidR="00EE4837" w:rsidRPr="007239A6" w:rsidRDefault="00AE6E61" w:rsidP="00AE6E61">
            <w:pPr>
              <w:spacing w:after="0" w:line="240" w:lineRule="auto"/>
              <w:jc w:val="right"/>
              <w:rPr>
                <w:color w:val="000000"/>
                <w:sz w:val="20"/>
                <w:szCs w:val="20"/>
                <w:lang w:bidi="ar-SA"/>
              </w:rPr>
            </w:pPr>
            <w:r w:rsidRPr="007239A6">
              <w:rPr>
                <w:color w:val="000000"/>
                <w:sz w:val="20"/>
                <w:szCs w:val="20"/>
                <w:lang w:bidi="ar-SA"/>
              </w:rPr>
              <w:t>740</w:t>
            </w:r>
          </w:p>
        </w:tc>
        <w:tc>
          <w:tcPr>
            <w:tcW w:w="1261" w:type="dxa"/>
            <w:tcBorders>
              <w:top w:val="nil"/>
              <w:left w:val="nil"/>
              <w:bottom w:val="nil"/>
              <w:right w:val="nil"/>
            </w:tcBorders>
            <w:shd w:val="clear" w:color="auto" w:fill="auto"/>
            <w:noWrap/>
            <w:vAlign w:val="bottom"/>
            <w:hideMark/>
          </w:tcPr>
          <w:p w14:paraId="7BA0E76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3,596.4</w:t>
            </w:r>
          </w:p>
        </w:tc>
        <w:tc>
          <w:tcPr>
            <w:tcW w:w="960" w:type="dxa"/>
            <w:tcBorders>
              <w:top w:val="nil"/>
              <w:left w:val="nil"/>
              <w:bottom w:val="nil"/>
              <w:right w:val="nil"/>
            </w:tcBorders>
            <w:shd w:val="clear" w:color="auto" w:fill="auto"/>
            <w:noWrap/>
            <w:vAlign w:val="bottom"/>
            <w:hideMark/>
          </w:tcPr>
          <w:p w14:paraId="66D991F6" w14:textId="079B496D" w:rsidR="00EE4837" w:rsidRPr="007239A6" w:rsidRDefault="00AE6E61" w:rsidP="00EE4837">
            <w:pPr>
              <w:spacing w:after="0" w:line="240" w:lineRule="auto"/>
              <w:jc w:val="right"/>
              <w:rPr>
                <w:color w:val="000000"/>
                <w:sz w:val="20"/>
                <w:szCs w:val="20"/>
                <w:lang w:bidi="ar-SA"/>
              </w:rPr>
            </w:pPr>
            <w:r w:rsidRPr="007239A6">
              <w:rPr>
                <w:color w:val="000000"/>
                <w:sz w:val="20"/>
                <w:szCs w:val="20"/>
                <w:lang w:bidi="ar-SA"/>
              </w:rPr>
              <w:t>287</w:t>
            </w:r>
          </w:p>
        </w:tc>
        <w:tc>
          <w:tcPr>
            <w:tcW w:w="1261" w:type="dxa"/>
            <w:tcBorders>
              <w:top w:val="nil"/>
              <w:left w:val="nil"/>
              <w:bottom w:val="nil"/>
              <w:right w:val="nil"/>
            </w:tcBorders>
            <w:shd w:val="clear" w:color="auto" w:fill="auto"/>
            <w:noWrap/>
            <w:vAlign w:val="bottom"/>
            <w:hideMark/>
          </w:tcPr>
          <w:p w14:paraId="43C171D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6,633.0</w:t>
            </w:r>
          </w:p>
        </w:tc>
        <w:tc>
          <w:tcPr>
            <w:tcW w:w="960" w:type="dxa"/>
            <w:tcBorders>
              <w:top w:val="nil"/>
              <w:left w:val="nil"/>
              <w:bottom w:val="nil"/>
              <w:right w:val="nil"/>
            </w:tcBorders>
            <w:shd w:val="clear" w:color="auto" w:fill="auto"/>
            <w:noWrap/>
            <w:vAlign w:val="bottom"/>
            <w:hideMark/>
          </w:tcPr>
          <w:p w14:paraId="6F393F63" w14:textId="499F0787" w:rsidR="00EE4837" w:rsidRPr="007239A6" w:rsidRDefault="00AE6E61" w:rsidP="00EE4837">
            <w:pPr>
              <w:spacing w:after="0" w:line="240" w:lineRule="auto"/>
              <w:jc w:val="right"/>
              <w:rPr>
                <w:color w:val="000000"/>
                <w:sz w:val="20"/>
                <w:szCs w:val="20"/>
                <w:lang w:bidi="ar-SA"/>
              </w:rPr>
            </w:pPr>
            <w:r w:rsidRPr="007239A6">
              <w:rPr>
                <w:color w:val="000000"/>
                <w:sz w:val="20"/>
                <w:szCs w:val="20"/>
                <w:lang w:bidi="ar-SA"/>
              </w:rPr>
              <w:t>529</w:t>
            </w:r>
          </w:p>
        </w:tc>
      </w:tr>
      <w:tr w:rsidR="00EE4837" w:rsidRPr="007239A6" w14:paraId="0890AD01" w14:textId="77777777" w:rsidTr="00181ACD">
        <w:trPr>
          <w:trHeight w:val="288"/>
        </w:trPr>
        <w:tc>
          <w:tcPr>
            <w:tcW w:w="1586" w:type="dxa"/>
            <w:tcBorders>
              <w:top w:val="nil"/>
              <w:left w:val="nil"/>
              <w:bottom w:val="nil"/>
              <w:right w:val="nil"/>
            </w:tcBorders>
            <w:shd w:val="clear" w:color="auto" w:fill="auto"/>
            <w:noWrap/>
            <w:vAlign w:val="bottom"/>
            <w:hideMark/>
          </w:tcPr>
          <w:p w14:paraId="2B2D9D9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Wolcott</w:t>
            </w:r>
          </w:p>
        </w:tc>
        <w:tc>
          <w:tcPr>
            <w:tcW w:w="1261" w:type="dxa"/>
            <w:tcBorders>
              <w:top w:val="nil"/>
              <w:left w:val="nil"/>
              <w:bottom w:val="nil"/>
              <w:right w:val="nil"/>
            </w:tcBorders>
            <w:shd w:val="clear" w:color="auto" w:fill="auto"/>
            <w:noWrap/>
            <w:vAlign w:val="bottom"/>
            <w:hideMark/>
          </w:tcPr>
          <w:p w14:paraId="10046E00"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3,824.0</w:t>
            </w:r>
          </w:p>
        </w:tc>
        <w:tc>
          <w:tcPr>
            <w:tcW w:w="960" w:type="dxa"/>
            <w:tcBorders>
              <w:top w:val="nil"/>
              <w:left w:val="nil"/>
              <w:bottom w:val="nil"/>
              <w:right w:val="nil"/>
            </w:tcBorders>
            <w:shd w:val="clear" w:color="auto" w:fill="auto"/>
            <w:noWrap/>
            <w:vAlign w:val="bottom"/>
            <w:hideMark/>
          </w:tcPr>
          <w:p w14:paraId="14FCB7F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229</w:t>
            </w:r>
          </w:p>
        </w:tc>
        <w:tc>
          <w:tcPr>
            <w:tcW w:w="1261" w:type="dxa"/>
            <w:tcBorders>
              <w:top w:val="nil"/>
              <w:left w:val="nil"/>
              <w:bottom w:val="nil"/>
              <w:right w:val="nil"/>
            </w:tcBorders>
            <w:shd w:val="clear" w:color="auto" w:fill="auto"/>
            <w:noWrap/>
            <w:vAlign w:val="bottom"/>
            <w:hideMark/>
          </w:tcPr>
          <w:p w14:paraId="3E29460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3,712.5</w:t>
            </w:r>
          </w:p>
        </w:tc>
        <w:tc>
          <w:tcPr>
            <w:tcW w:w="960" w:type="dxa"/>
            <w:tcBorders>
              <w:top w:val="nil"/>
              <w:left w:val="nil"/>
              <w:bottom w:val="nil"/>
              <w:right w:val="nil"/>
            </w:tcBorders>
            <w:shd w:val="clear" w:color="auto" w:fill="auto"/>
            <w:noWrap/>
            <w:vAlign w:val="bottom"/>
            <w:hideMark/>
          </w:tcPr>
          <w:p w14:paraId="5070848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222</w:t>
            </w:r>
          </w:p>
        </w:tc>
        <w:tc>
          <w:tcPr>
            <w:tcW w:w="1261" w:type="dxa"/>
            <w:tcBorders>
              <w:top w:val="nil"/>
              <w:left w:val="nil"/>
              <w:bottom w:val="nil"/>
              <w:right w:val="nil"/>
            </w:tcBorders>
            <w:shd w:val="clear" w:color="auto" w:fill="auto"/>
            <w:noWrap/>
            <w:vAlign w:val="bottom"/>
            <w:hideMark/>
          </w:tcPr>
          <w:p w14:paraId="079A521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1,209.4</w:t>
            </w:r>
          </w:p>
        </w:tc>
        <w:tc>
          <w:tcPr>
            <w:tcW w:w="960" w:type="dxa"/>
            <w:tcBorders>
              <w:top w:val="nil"/>
              <w:left w:val="nil"/>
              <w:bottom w:val="nil"/>
              <w:right w:val="nil"/>
            </w:tcBorders>
            <w:shd w:val="clear" w:color="auto" w:fill="auto"/>
            <w:noWrap/>
            <w:vAlign w:val="bottom"/>
            <w:hideMark/>
          </w:tcPr>
          <w:p w14:paraId="464D1F8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72</w:t>
            </w:r>
          </w:p>
        </w:tc>
        <w:tc>
          <w:tcPr>
            <w:tcW w:w="1261" w:type="dxa"/>
            <w:tcBorders>
              <w:top w:val="nil"/>
              <w:left w:val="nil"/>
              <w:bottom w:val="nil"/>
              <w:right w:val="nil"/>
            </w:tcBorders>
            <w:shd w:val="clear" w:color="auto" w:fill="auto"/>
            <w:noWrap/>
            <w:vAlign w:val="bottom"/>
            <w:hideMark/>
          </w:tcPr>
          <w:p w14:paraId="17BEE3E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5,037.5</w:t>
            </w:r>
          </w:p>
        </w:tc>
        <w:tc>
          <w:tcPr>
            <w:tcW w:w="960" w:type="dxa"/>
            <w:tcBorders>
              <w:top w:val="nil"/>
              <w:left w:val="nil"/>
              <w:bottom w:val="nil"/>
              <w:right w:val="nil"/>
            </w:tcBorders>
            <w:shd w:val="clear" w:color="auto" w:fill="auto"/>
            <w:noWrap/>
            <w:vAlign w:val="bottom"/>
            <w:hideMark/>
          </w:tcPr>
          <w:p w14:paraId="113992F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302</w:t>
            </w:r>
          </w:p>
        </w:tc>
        <w:tc>
          <w:tcPr>
            <w:tcW w:w="1261" w:type="dxa"/>
            <w:tcBorders>
              <w:top w:val="nil"/>
              <w:left w:val="nil"/>
              <w:bottom w:val="nil"/>
              <w:right w:val="nil"/>
            </w:tcBorders>
            <w:shd w:val="clear" w:color="auto" w:fill="auto"/>
            <w:noWrap/>
            <w:vAlign w:val="bottom"/>
            <w:hideMark/>
          </w:tcPr>
          <w:p w14:paraId="68C8189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3,029.4</w:t>
            </w:r>
          </w:p>
        </w:tc>
        <w:tc>
          <w:tcPr>
            <w:tcW w:w="960" w:type="dxa"/>
            <w:tcBorders>
              <w:top w:val="nil"/>
              <w:left w:val="nil"/>
              <w:bottom w:val="nil"/>
              <w:right w:val="nil"/>
            </w:tcBorders>
            <w:shd w:val="clear" w:color="auto" w:fill="auto"/>
            <w:noWrap/>
            <w:vAlign w:val="bottom"/>
            <w:hideMark/>
          </w:tcPr>
          <w:p w14:paraId="5F63892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182</w:t>
            </w:r>
          </w:p>
        </w:tc>
      </w:tr>
      <w:tr w:rsidR="00EE4837" w:rsidRPr="007239A6" w14:paraId="18EF9A12" w14:textId="77777777" w:rsidTr="00181ACD">
        <w:trPr>
          <w:trHeight w:val="288"/>
        </w:trPr>
        <w:tc>
          <w:tcPr>
            <w:tcW w:w="1586" w:type="dxa"/>
            <w:tcBorders>
              <w:top w:val="nil"/>
              <w:left w:val="nil"/>
              <w:bottom w:val="nil"/>
              <w:right w:val="nil"/>
            </w:tcBorders>
            <w:shd w:val="clear" w:color="auto" w:fill="auto"/>
            <w:noWrap/>
            <w:vAlign w:val="bottom"/>
            <w:hideMark/>
          </w:tcPr>
          <w:p w14:paraId="3149B610"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Woodbridge</w:t>
            </w:r>
          </w:p>
        </w:tc>
        <w:tc>
          <w:tcPr>
            <w:tcW w:w="1261" w:type="dxa"/>
            <w:tcBorders>
              <w:top w:val="nil"/>
              <w:left w:val="nil"/>
              <w:bottom w:val="nil"/>
              <w:right w:val="nil"/>
            </w:tcBorders>
            <w:shd w:val="clear" w:color="auto" w:fill="auto"/>
            <w:noWrap/>
            <w:vAlign w:val="bottom"/>
            <w:hideMark/>
          </w:tcPr>
          <w:p w14:paraId="73DA4E3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6,019.4</w:t>
            </w:r>
          </w:p>
        </w:tc>
        <w:tc>
          <w:tcPr>
            <w:tcW w:w="960" w:type="dxa"/>
            <w:tcBorders>
              <w:top w:val="nil"/>
              <w:left w:val="nil"/>
              <w:bottom w:val="nil"/>
              <w:right w:val="nil"/>
            </w:tcBorders>
            <w:shd w:val="clear" w:color="auto" w:fill="auto"/>
            <w:noWrap/>
            <w:vAlign w:val="bottom"/>
            <w:hideMark/>
          </w:tcPr>
          <w:p w14:paraId="18F77BF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670</w:t>
            </w:r>
          </w:p>
        </w:tc>
        <w:tc>
          <w:tcPr>
            <w:tcW w:w="1261" w:type="dxa"/>
            <w:tcBorders>
              <w:top w:val="nil"/>
              <w:left w:val="nil"/>
              <w:bottom w:val="nil"/>
              <w:right w:val="nil"/>
            </w:tcBorders>
            <w:shd w:val="clear" w:color="auto" w:fill="auto"/>
            <w:noWrap/>
            <w:vAlign w:val="bottom"/>
            <w:hideMark/>
          </w:tcPr>
          <w:p w14:paraId="695C2A8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7,966.0</w:t>
            </w:r>
          </w:p>
        </w:tc>
        <w:tc>
          <w:tcPr>
            <w:tcW w:w="960" w:type="dxa"/>
            <w:tcBorders>
              <w:top w:val="nil"/>
              <w:left w:val="nil"/>
              <w:bottom w:val="nil"/>
              <w:right w:val="nil"/>
            </w:tcBorders>
            <w:shd w:val="clear" w:color="auto" w:fill="auto"/>
            <w:noWrap/>
            <w:vAlign w:val="bottom"/>
            <w:hideMark/>
          </w:tcPr>
          <w:p w14:paraId="0FD7FE1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887</w:t>
            </w:r>
          </w:p>
        </w:tc>
        <w:tc>
          <w:tcPr>
            <w:tcW w:w="1261" w:type="dxa"/>
            <w:tcBorders>
              <w:top w:val="nil"/>
              <w:left w:val="nil"/>
              <w:bottom w:val="nil"/>
              <w:right w:val="nil"/>
            </w:tcBorders>
            <w:shd w:val="clear" w:color="auto" w:fill="auto"/>
            <w:noWrap/>
            <w:vAlign w:val="bottom"/>
            <w:hideMark/>
          </w:tcPr>
          <w:p w14:paraId="6C3BA70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1,812.9</w:t>
            </w:r>
          </w:p>
        </w:tc>
        <w:tc>
          <w:tcPr>
            <w:tcW w:w="960" w:type="dxa"/>
            <w:tcBorders>
              <w:top w:val="nil"/>
              <w:left w:val="nil"/>
              <w:bottom w:val="nil"/>
              <w:right w:val="nil"/>
            </w:tcBorders>
            <w:shd w:val="clear" w:color="auto" w:fill="auto"/>
            <w:noWrap/>
            <w:vAlign w:val="bottom"/>
            <w:hideMark/>
          </w:tcPr>
          <w:p w14:paraId="478375E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202</w:t>
            </w:r>
          </w:p>
        </w:tc>
        <w:tc>
          <w:tcPr>
            <w:tcW w:w="1261" w:type="dxa"/>
            <w:tcBorders>
              <w:top w:val="nil"/>
              <w:left w:val="nil"/>
              <w:bottom w:val="nil"/>
              <w:right w:val="nil"/>
            </w:tcBorders>
            <w:shd w:val="clear" w:color="auto" w:fill="auto"/>
            <w:noWrap/>
            <w:vAlign w:val="bottom"/>
            <w:hideMark/>
          </w:tcPr>
          <w:p w14:paraId="194E3DB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5,190.8</w:t>
            </w:r>
          </w:p>
        </w:tc>
        <w:tc>
          <w:tcPr>
            <w:tcW w:w="960" w:type="dxa"/>
            <w:tcBorders>
              <w:top w:val="nil"/>
              <w:left w:val="nil"/>
              <w:bottom w:val="nil"/>
              <w:right w:val="nil"/>
            </w:tcBorders>
            <w:shd w:val="clear" w:color="auto" w:fill="auto"/>
            <w:noWrap/>
            <w:vAlign w:val="bottom"/>
            <w:hideMark/>
          </w:tcPr>
          <w:p w14:paraId="69A33EF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578</w:t>
            </w:r>
          </w:p>
        </w:tc>
        <w:tc>
          <w:tcPr>
            <w:tcW w:w="1261" w:type="dxa"/>
            <w:tcBorders>
              <w:top w:val="nil"/>
              <w:left w:val="nil"/>
              <w:bottom w:val="nil"/>
              <w:right w:val="nil"/>
            </w:tcBorders>
            <w:shd w:val="clear" w:color="auto" w:fill="auto"/>
            <w:noWrap/>
            <w:vAlign w:val="bottom"/>
            <w:hideMark/>
          </w:tcPr>
          <w:p w14:paraId="36B2A81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3,302.4</w:t>
            </w:r>
          </w:p>
        </w:tc>
        <w:tc>
          <w:tcPr>
            <w:tcW w:w="960" w:type="dxa"/>
            <w:tcBorders>
              <w:top w:val="nil"/>
              <w:left w:val="nil"/>
              <w:bottom w:val="nil"/>
              <w:right w:val="nil"/>
            </w:tcBorders>
            <w:shd w:val="clear" w:color="auto" w:fill="auto"/>
            <w:noWrap/>
            <w:vAlign w:val="bottom"/>
            <w:hideMark/>
          </w:tcPr>
          <w:p w14:paraId="7EE7AD4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368</w:t>
            </w:r>
          </w:p>
        </w:tc>
      </w:tr>
      <w:tr w:rsidR="00EE4837" w:rsidRPr="007239A6" w14:paraId="03AF8B63" w14:textId="77777777" w:rsidTr="00181ACD">
        <w:trPr>
          <w:trHeight w:val="288"/>
        </w:trPr>
        <w:tc>
          <w:tcPr>
            <w:tcW w:w="1586" w:type="dxa"/>
            <w:tcBorders>
              <w:top w:val="nil"/>
              <w:left w:val="nil"/>
              <w:bottom w:val="nil"/>
              <w:right w:val="nil"/>
            </w:tcBorders>
            <w:shd w:val="clear" w:color="auto" w:fill="auto"/>
            <w:noWrap/>
            <w:vAlign w:val="bottom"/>
            <w:hideMark/>
          </w:tcPr>
          <w:p w14:paraId="3AF66235"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Woodbury</w:t>
            </w:r>
          </w:p>
        </w:tc>
        <w:tc>
          <w:tcPr>
            <w:tcW w:w="1261" w:type="dxa"/>
            <w:tcBorders>
              <w:top w:val="nil"/>
              <w:left w:val="nil"/>
              <w:bottom w:val="nil"/>
              <w:right w:val="nil"/>
            </w:tcBorders>
            <w:shd w:val="clear" w:color="auto" w:fill="auto"/>
            <w:noWrap/>
            <w:vAlign w:val="bottom"/>
            <w:hideMark/>
          </w:tcPr>
          <w:p w14:paraId="1922518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3,302.8</w:t>
            </w:r>
          </w:p>
        </w:tc>
        <w:tc>
          <w:tcPr>
            <w:tcW w:w="960" w:type="dxa"/>
            <w:tcBorders>
              <w:top w:val="nil"/>
              <w:left w:val="nil"/>
              <w:bottom w:val="nil"/>
              <w:right w:val="nil"/>
            </w:tcBorders>
            <w:shd w:val="clear" w:color="auto" w:fill="auto"/>
            <w:noWrap/>
            <w:vAlign w:val="bottom"/>
            <w:hideMark/>
          </w:tcPr>
          <w:p w14:paraId="549EDD2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333</w:t>
            </w:r>
          </w:p>
        </w:tc>
        <w:tc>
          <w:tcPr>
            <w:tcW w:w="1261" w:type="dxa"/>
            <w:tcBorders>
              <w:top w:val="nil"/>
              <w:left w:val="nil"/>
              <w:bottom w:val="nil"/>
              <w:right w:val="nil"/>
            </w:tcBorders>
            <w:shd w:val="clear" w:color="auto" w:fill="auto"/>
            <w:noWrap/>
            <w:vAlign w:val="bottom"/>
            <w:hideMark/>
          </w:tcPr>
          <w:p w14:paraId="6D96AF41"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3,622.9</w:t>
            </w:r>
          </w:p>
        </w:tc>
        <w:tc>
          <w:tcPr>
            <w:tcW w:w="960" w:type="dxa"/>
            <w:tcBorders>
              <w:top w:val="nil"/>
              <w:left w:val="nil"/>
              <w:bottom w:val="nil"/>
              <w:right w:val="nil"/>
            </w:tcBorders>
            <w:shd w:val="clear" w:color="auto" w:fill="auto"/>
            <w:noWrap/>
            <w:vAlign w:val="bottom"/>
            <w:hideMark/>
          </w:tcPr>
          <w:p w14:paraId="48CE302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366</w:t>
            </w:r>
          </w:p>
        </w:tc>
        <w:tc>
          <w:tcPr>
            <w:tcW w:w="1261" w:type="dxa"/>
            <w:tcBorders>
              <w:top w:val="nil"/>
              <w:left w:val="nil"/>
              <w:bottom w:val="nil"/>
              <w:right w:val="nil"/>
            </w:tcBorders>
            <w:shd w:val="clear" w:color="auto" w:fill="auto"/>
            <w:noWrap/>
            <w:vAlign w:val="bottom"/>
            <w:hideMark/>
          </w:tcPr>
          <w:p w14:paraId="2919EC0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959.0</w:t>
            </w:r>
          </w:p>
        </w:tc>
        <w:tc>
          <w:tcPr>
            <w:tcW w:w="960" w:type="dxa"/>
            <w:tcBorders>
              <w:top w:val="nil"/>
              <w:left w:val="nil"/>
              <w:bottom w:val="nil"/>
              <w:right w:val="nil"/>
            </w:tcBorders>
            <w:shd w:val="clear" w:color="auto" w:fill="auto"/>
            <w:noWrap/>
            <w:vAlign w:val="bottom"/>
            <w:hideMark/>
          </w:tcPr>
          <w:p w14:paraId="6281D58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97</w:t>
            </w:r>
          </w:p>
        </w:tc>
        <w:tc>
          <w:tcPr>
            <w:tcW w:w="1261" w:type="dxa"/>
            <w:tcBorders>
              <w:top w:val="nil"/>
              <w:left w:val="nil"/>
              <w:bottom w:val="nil"/>
              <w:right w:val="nil"/>
            </w:tcBorders>
            <w:shd w:val="clear" w:color="auto" w:fill="auto"/>
            <w:noWrap/>
            <w:vAlign w:val="bottom"/>
            <w:hideMark/>
          </w:tcPr>
          <w:p w14:paraId="29E8E92B"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3,594.2</w:t>
            </w:r>
          </w:p>
        </w:tc>
        <w:tc>
          <w:tcPr>
            <w:tcW w:w="960" w:type="dxa"/>
            <w:tcBorders>
              <w:top w:val="nil"/>
              <w:left w:val="nil"/>
              <w:bottom w:val="nil"/>
              <w:right w:val="nil"/>
            </w:tcBorders>
            <w:shd w:val="clear" w:color="auto" w:fill="auto"/>
            <w:noWrap/>
            <w:vAlign w:val="bottom"/>
            <w:hideMark/>
          </w:tcPr>
          <w:p w14:paraId="6745E3A5"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363</w:t>
            </w:r>
          </w:p>
        </w:tc>
        <w:tc>
          <w:tcPr>
            <w:tcW w:w="1261" w:type="dxa"/>
            <w:tcBorders>
              <w:top w:val="nil"/>
              <w:left w:val="nil"/>
              <w:bottom w:val="nil"/>
              <w:right w:val="nil"/>
            </w:tcBorders>
            <w:shd w:val="clear" w:color="auto" w:fill="auto"/>
            <w:noWrap/>
            <w:vAlign w:val="bottom"/>
            <w:hideMark/>
          </w:tcPr>
          <w:p w14:paraId="7F3B26A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2,116.5</w:t>
            </w:r>
          </w:p>
        </w:tc>
        <w:tc>
          <w:tcPr>
            <w:tcW w:w="960" w:type="dxa"/>
            <w:tcBorders>
              <w:top w:val="nil"/>
              <w:left w:val="nil"/>
              <w:bottom w:val="nil"/>
              <w:right w:val="nil"/>
            </w:tcBorders>
            <w:shd w:val="clear" w:color="auto" w:fill="auto"/>
            <w:noWrap/>
            <w:vAlign w:val="bottom"/>
            <w:hideMark/>
          </w:tcPr>
          <w:p w14:paraId="1B46BC39"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214</w:t>
            </w:r>
          </w:p>
        </w:tc>
      </w:tr>
      <w:tr w:rsidR="00EE4837" w:rsidRPr="007239A6" w14:paraId="70C72835" w14:textId="77777777" w:rsidTr="00181ACD">
        <w:trPr>
          <w:trHeight w:val="288"/>
        </w:trPr>
        <w:tc>
          <w:tcPr>
            <w:tcW w:w="1586" w:type="dxa"/>
            <w:tcBorders>
              <w:top w:val="nil"/>
              <w:left w:val="nil"/>
              <w:bottom w:val="nil"/>
              <w:right w:val="nil"/>
            </w:tcBorders>
            <w:shd w:val="clear" w:color="auto" w:fill="auto"/>
            <w:noWrap/>
            <w:vAlign w:val="bottom"/>
            <w:hideMark/>
          </w:tcPr>
          <w:p w14:paraId="0082FCAE" w14:textId="77777777" w:rsidR="00EE4837" w:rsidRPr="007239A6" w:rsidRDefault="00EE4837" w:rsidP="00EE4837">
            <w:pPr>
              <w:spacing w:after="0" w:line="240" w:lineRule="auto"/>
              <w:rPr>
                <w:color w:val="000000"/>
                <w:sz w:val="20"/>
                <w:szCs w:val="20"/>
                <w:lang w:bidi="ar-SA"/>
              </w:rPr>
            </w:pPr>
            <w:r w:rsidRPr="007239A6">
              <w:rPr>
                <w:color w:val="000000"/>
                <w:sz w:val="20"/>
                <w:szCs w:val="20"/>
                <w:lang w:bidi="ar-SA"/>
              </w:rPr>
              <w:t>Woodstock</w:t>
            </w:r>
          </w:p>
        </w:tc>
        <w:tc>
          <w:tcPr>
            <w:tcW w:w="1261" w:type="dxa"/>
            <w:tcBorders>
              <w:top w:val="nil"/>
              <w:left w:val="nil"/>
              <w:bottom w:val="nil"/>
              <w:right w:val="nil"/>
            </w:tcBorders>
            <w:shd w:val="clear" w:color="auto" w:fill="auto"/>
            <w:noWrap/>
            <w:vAlign w:val="bottom"/>
            <w:hideMark/>
          </w:tcPr>
          <w:p w14:paraId="3C245D0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2,107.7</w:t>
            </w:r>
          </w:p>
        </w:tc>
        <w:tc>
          <w:tcPr>
            <w:tcW w:w="960" w:type="dxa"/>
            <w:tcBorders>
              <w:top w:val="nil"/>
              <w:left w:val="nil"/>
              <w:bottom w:val="nil"/>
              <w:right w:val="nil"/>
            </w:tcBorders>
            <w:shd w:val="clear" w:color="auto" w:fill="auto"/>
            <w:noWrap/>
            <w:vAlign w:val="bottom"/>
            <w:hideMark/>
          </w:tcPr>
          <w:p w14:paraId="5A11A9C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266</w:t>
            </w:r>
          </w:p>
        </w:tc>
        <w:tc>
          <w:tcPr>
            <w:tcW w:w="1261" w:type="dxa"/>
            <w:tcBorders>
              <w:top w:val="nil"/>
              <w:left w:val="nil"/>
              <w:bottom w:val="nil"/>
              <w:right w:val="nil"/>
            </w:tcBorders>
            <w:shd w:val="clear" w:color="auto" w:fill="auto"/>
            <w:noWrap/>
            <w:vAlign w:val="bottom"/>
            <w:hideMark/>
          </w:tcPr>
          <w:p w14:paraId="72AA896F"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1,632.4</w:t>
            </w:r>
          </w:p>
        </w:tc>
        <w:tc>
          <w:tcPr>
            <w:tcW w:w="960" w:type="dxa"/>
            <w:tcBorders>
              <w:top w:val="nil"/>
              <w:left w:val="nil"/>
              <w:bottom w:val="nil"/>
              <w:right w:val="nil"/>
            </w:tcBorders>
            <w:shd w:val="clear" w:color="auto" w:fill="auto"/>
            <w:noWrap/>
            <w:vAlign w:val="bottom"/>
            <w:hideMark/>
          </w:tcPr>
          <w:p w14:paraId="1367613C"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206</w:t>
            </w:r>
          </w:p>
        </w:tc>
        <w:tc>
          <w:tcPr>
            <w:tcW w:w="1261" w:type="dxa"/>
            <w:tcBorders>
              <w:top w:val="nil"/>
              <w:left w:val="nil"/>
              <w:bottom w:val="nil"/>
              <w:right w:val="nil"/>
            </w:tcBorders>
            <w:shd w:val="clear" w:color="auto" w:fill="auto"/>
            <w:noWrap/>
            <w:vAlign w:val="bottom"/>
            <w:hideMark/>
          </w:tcPr>
          <w:p w14:paraId="000A02A8"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904.9</w:t>
            </w:r>
          </w:p>
        </w:tc>
        <w:tc>
          <w:tcPr>
            <w:tcW w:w="960" w:type="dxa"/>
            <w:tcBorders>
              <w:top w:val="nil"/>
              <w:left w:val="nil"/>
              <w:bottom w:val="nil"/>
              <w:right w:val="nil"/>
            </w:tcBorders>
            <w:shd w:val="clear" w:color="auto" w:fill="auto"/>
            <w:noWrap/>
            <w:vAlign w:val="bottom"/>
            <w:hideMark/>
          </w:tcPr>
          <w:p w14:paraId="1B14A1E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114</w:t>
            </w:r>
          </w:p>
        </w:tc>
        <w:tc>
          <w:tcPr>
            <w:tcW w:w="1261" w:type="dxa"/>
            <w:tcBorders>
              <w:top w:val="nil"/>
              <w:left w:val="nil"/>
              <w:bottom w:val="nil"/>
              <w:right w:val="nil"/>
            </w:tcBorders>
            <w:shd w:val="clear" w:color="auto" w:fill="auto"/>
            <w:noWrap/>
            <w:vAlign w:val="bottom"/>
            <w:hideMark/>
          </w:tcPr>
          <w:p w14:paraId="0194D21A"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1,900.4</w:t>
            </w:r>
          </w:p>
        </w:tc>
        <w:tc>
          <w:tcPr>
            <w:tcW w:w="960" w:type="dxa"/>
            <w:tcBorders>
              <w:top w:val="nil"/>
              <w:left w:val="nil"/>
              <w:bottom w:val="nil"/>
              <w:right w:val="nil"/>
            </w:tcBorders>
            <w:shd w:val="clear" w:color="auto" w:fill="auto"/>
            <w:noWrap/>
            <w:vAlign w:val="bottom"/>
            <w:hideMark/>
          </w:tcPr>
          <w:p w14:paraId="454CD7C2"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240</w:t>
            </w:r>
          </w:p>
        </w:tc>
        <w:tc>
          <w:tcPr>
            <w:tcW w:w="1261" w:type="dxa"/>
            <w:tcBorders>
              <w:top w:val="nil"/>
              <w:left w:val="nil"/>
              <w:bottom w:val="nil"/>
              <w:right w:val="nil"/>
            </w:tcBorders>
            <w:shd w:val="clear" w:color="auto" w:fill="auto"/>
            <w:noWrap/>
            <w:vAlign w:val="bottom"/>
            <w:hideMark/>
          </w:tcPr>
          <w:p w14:paraId="2FFDFCA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1,373.5</w:t>
            </w:r>
          </w:p>
        </w:tc>
        <w:tc>
          <w:tcPr>
            <w:tcW w:w="960" w:type="dxa"/>
            <w:tcBorders>
              <w:top w:val="nil"/>
              <w:left w:val="nil"/>
              <w:bottom w:val="nil"/>
              <w:right w:val="nil"/>
            </w:tcBorders>
            <w:shd w:val="clear" w:color="auto" w:fill="auto"/>
            <w:noWrap/>
            <w:vAlign w:val="bottom"/>
            <w:hideMark/>
          </w:tcPr>
          <w:p w14:paraId="3DD35DED"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173</w:t>
            </w:r>
          </w:p>
        </w:tc>
      </w:tr>
      <w:tr w:rsidR="00EE4837" w:rsidRPr="007239A6" w14:paraId="6971908E" w14:textId="77777777" w:rsidTr="00181ACD">
        <w:trPr>
          <w:trHeight w:val="288"/>
        </w:trPr>
        <w:tc>
          <w:tcPr>
            <w:tcW w:w="1586" w:type="dxa"/>
            <w:tcBorders>
              <w:top w:val="nil"/>
              <w:left w:val="nil"/>
              <w:right w:val="nil"/>
            </w:tcBorders>
            <w:shd w:val="clear" w:color="auto" w:fill="auto"/>
            <w:noWrap/>
            <w:vAlign w:val="bottom"/>
            <w:hideMark/>
          </w:tcPr>
          <w:p w14:paraId="235E74AA" w14:textId="77777777" w:rsidR="00EE4837" w:rsidRPr="007239A6" w:rsidRDefault="00EE4837" w:rsidP="00EE4837">
            <w:pPr>
              <w:spacing w:after="0" w:line="240" w:lineRule="auto"/>
              <w:jc w:val="right"/>
              <w:rPr>
                <w:color w:val="000000"/>
                <w:sz w:val="20"/>
                <w:szCs w:val="20"/>
                <w:lang w:bidi="ar-SA"/>
              </w:rPr>
            </w:pPr>
          </w:p>
        </w:tc>
        <w:tc>
          <w:tcPr>
            <w:tcW w:w="1261" w:type="dxa"/>
            <w:tcBorders>
              <w:top w:val="nil"/>
              <w:left w:val="nil"/>
              <w:right w:val="nil"/>
            </w:tcBorders>
            <w:shd w:val="clear" w:color="auto" w:fill="auto"/>
            <w:noWrap/>
            <w:vAlign w:val="bottom"/>
            <w:hideMark/>
          </w:tcPr>
          <w:p w14:paraId="79AE5786" w14:textId="77777777" w:rsidR="00EE4837" w:rsidRPr="007239A6" w:rsidRDefault="00EE4837" w:rsidP="00EE4837">
            <w:pPr>
              <w:spacing w:after="0" w:line="240" w:lineRule="auto"/>
              <w:rPr>
                <w:sz w:val="20"/>
                <w:szCs w:val="20"/>
                <w:lang w:bidi="ar-SA"/>
              </w:rPr>
            </w:pPr>
          </w:p>
        </w:tc>
        <w:tc>
          <w:tcPr>
            <w:tcW w:w="960" w:type="dxa"/>
            <w:tcBorders>
              <w:top w:val="nil"/>
              <w:left w:val="nil"/>
              <w:right w:val="nil"/>
            </w:tcBorders>
            <w:shd w:val="clear" w:color="auto" w:fill="auto"/>
            <w:noWrap/>
            <w:vAlign w:val="bottom"/>
            <w:hideMark/>
          </w:tcPr>
          <w:p w14:paraId="3060B19B" w14:textId="77777777" w:rsidR="00EE4837" w:rsidRPr="007239A6" w:rsidRDefault="00EE4837" w:rsidP="00EE4837">
            <w:pPr>
              <w:spacing w:after="0" w:line="240" w:lineRule="auto"/>
              <w:rPr>
                <w:sz w:val="20"/>
                <w:szCs w:val="20"/>
                <w:lang w:bidi="ar-SA"/>
              </w:rPr>
            </w:pPr>
          </w:p>
        </w:tc>
        <w:tc>
          <w:tcPr>
            <w:tcW w:w="1261" w:type="dxa"/>
            <w:tcBorders>
              <w:top w:val="nil"/>
              <w:left w:val="nil"/>
              <w:right w:val="nil"/>
            </w:tcBorders>
            <w:shd w:val="clear" w:color="auto" w:fill="auto"/>
            <w:noWrap/>
            <w:vAlign w:val="bottom"/>
            <w:hideMark/>
          </w:tcPr>
          <w:p w14:paraId="088A5FF4" w14:textId="77777777" w:rsidR="00EE4837" w:rsidRPr="007239A6" w:rsidRDefault="00EE4837" w:rsidP="00EE4837">
            <w:pPr>
              <w:spacing w:after="0" w:line="240" w:lineRule="auto"/>
              <w:rPr>
                <w:sz w:val="20"/>
                <w:szCs w:val="20"/>
                <w:lang w:bidi="ar-SA"/>
              </w:rPr>
            </w:pPr>
          </w:p>
        </w:tc>
        <w:tc>
          <w:tcPr>
            <w:tcW w:w="960" w:type="dxa"/>
            <w:tcBorders>
              <w:top w:val="nil"/>
              <w:left w:val="nil"/>
              <w:right w:val="nil"/>
            </w:tcBorders>
            <w:shd w:val="clear" w:color="auto" w:fill="auto"/>
            <w:noWrap/>
            <w:vAlign w:val="bottom"/>
            <w:hideMark/>
          </w:tcPr>
          <w:p w14:paraId="3F8FC28C" w14:textId="77777777" w:rsidR="00EE4837" w:rsidRPr="007239A6" w:rsidRDefault="00EE4837" w:rsidP="00EE4837">
            <w:pPr>
              <w:spacing w:after="0" w:line="240" w:lineRule="auto"/>
              <w:rPr>
                <w:sz w:val="20"/>
                <w:szCs w:val="20"/>
                <w:lang w:bidi="ar-SA"/>
              </w:rPr>
            </w:pPr>
          </w:p>
        </w:tc>
        <w:tc>
          <w:tcPr>
            <w:tcW w:w="1261" w:type="dxa"/>
            <w:tcBorders>
              <w:top w:val="nil"/>
              <w:left w:val="nil"/>
              <w:right w:val="nil"/>
            </w:tcBorders>
            <w:shd w:val="clear" w:color="auto" w:fill="auto"/>
            <w:noWrap/>
            <w:vAlign w:val="bottom"/>
            <w:hideMark/>
          </w:tcPr>
          <w:p w14:paraId="09274376" w14:textId="77777777" w:rsidR="00EE4837" w:rsidRPr="007239A6" w:rsidRDefault="00EE4837" w:rsidP="00EE4837">
            <w:pPr>
              <w:spacing w:after="0" w:line="240" w:lineRule="auto"/>
              <w:rPr>
                <w:sz w:val="20"/>
                <w:szCs w:val="20"/>
                <w:lang w:bidi="ar-SA"/>
              </w:rPr>
            </w:pPr>
          </w:p>
        </w:tc>
        <w:tc>
          <w:tcPr>
            <w:tcW w:w="960" w:type="dxa"/>
            <w:tcBorders>
              <w:top w:val="nil"/>
              <w:left w:val="nil"/>
              <w:right w:val="nil"/>
            </w:tcBorders>
            <w:shd w:val="clear" w:color="auto" w:fill="auto"/>
            <w:noWrap/>
            <w:vAlign w:val="bottom"/>
            <w:hideMark/>
          </w:tcPr>
          <w:p w14:paraId="4253CE19" w14:textId="77777777" w:rsidR="00EE4837" w:rsidRPr="007239A6" w:rsidRDefault="00EE4837" w:rsidP="00EE4837">
            <w:pPr>
              <w:spacing w:after="0" w:line="240" w:lineRule="auto"/>
              <w:rPr>
                <w:sz w:val="20"/>
                <w:szCs w:val="20"/>
                <w:lang w:bidi="ar-SA"/>
              </w:rPr>
            </w:pPr>
          </w:p>
        </w:tc>
        <w:tc>
          <w:tcPr>
            <w:tcW w:w="1261" w:type="dxa"/>
            <w:tcBorders>
              <w:top w:val="nil"/>
              <w:left w:val="nil"/>
              <w:right w:val="nil"/>
            </w:tcBorders>
            <w:shd w:val="clear" w:color="auto" w:fill="auto"/>
            <w:noWrap/>
            <w:vAlign w:val="bottom"/>
            <w:hideMark/>
          </w:tcPr>
          <w:p w14:paraId="241672D2" w14:textId="77777777" w:rsidR="00EE4837" w:rsidRPr="007239A6" w:rsidRDefault="00EE4837" w:rsidP="00EE4837">
            <w:pPr>
              <w:spacing w:after="0" w:line="240" w:lineRule="auto"/>
              <w:rPr>
                <w:sz w:val="20"/>
                <w:szCs w:val="20"/>
                <w:lang w:bidi="ar-SA"/>
              </w:rPr>
            </w:pPr>
          </w:p>
        </w:tc>
        <w:tc>
          <w:tcPr>
            <w:tcW w:w="960" w:type="dxa"/>
            <w:tcBorders>
              <w:top w:val="nil"/>
              <w:left w:val="nil"/>
              <w:right w:val="nil"/>
            </w:tcBorders>
            <w:shd w:val="clear" w:color="auto" w:fill="auto"/>
            <w:noWrap/>
            <w:vAlign w:val="bottom"/>
            <w:hideMark/>
          </w:tcPr>
          <w:p w14:paraId="0C3F9EAF" w14:textId="77777777" w:rsidR="00EE4837" w:rsidRPr="007239A6" w:rsidRDefault="00EE4837" w:rsidP="00EE4837">
            <w:pPr>
              <w:spacing w:after="0" w:line="240" w:lineRule="auto"/>
              <w:rPr>
                <w:sz w:val="20"/>
                <w:szCs w:val="20"/>
                <w:lang w:bidi="ar-SA"/>
              </w:rPr>
            </w:pPr>
          </w:p>
        </w:tc>
        <w:tc>
          <w:tcPr>
            <w:tcW w:w="1261" w:type="dxa"/>
            <w:tcBorders>
              <w:top w:val="nil"/>
              <w:left w:val="nil"/>
              <w:right w:val="nil"/>
            </w:tcBorders>
            <w:shd w:val="clear" w:color="auto" w:fill="auto"/>
            <w:noWrap/>
            <w:vAlign w:val="bottom"/>
            <w:hideMark/>
          </w:tcPr>
          <w:p w14:paraId="7FB7627B" w14:textId="77777777" w:rsidR="00EE4837" w:rsidRPr="007239A6" w:rsidRDefault="00EE4837" w:rsidP="00EE4837">
            <w:pPr>
              <w:spacing w:after="0" w:line="240" w:lineRule="auto"/>
              <w:rPr>
                <w:sz w:val="20"/>
                <w:szCs w:val="20"/>
                <w:lang w:bidi="ar-SA"/>
              </w:rPr>
            </w:pPr>
          </w:p>
        </w:tc>
        <w:tc>
          <w:tcPr>
            <w:tcW w:w="960" w:type="dxa"/>
            <w:tcBorders>
              <w:top w:val="nil"/>
              <w:left w:val="nil"/>
              <w:right w:val="nil"/>
            </w:tcBorders>
            <w:shd w:val="clear" w:color="auto" w:fill="auto"/>
            <w:noWrap/>
            <w:vAlign w:val="bottom"/>
            <w:hideMark/>
          </w:tcPr>
          <w:p w14:paraId="394A10C1" w14:textId="77777777" w:rsidR="00EE4837" w:rsidRPr="007239A6" w:rsidRDefault="00EE4837" w:rsidP="00EE4837">
            <w:pPr>
              <w:spacing w:after="0" w:line="240" w:lineRule="auto"/>
              <w:rPr>
                <w:sz w:val="20"/>
                <w:szCs w:val="20"/>
                <w:lang w:bidi="ar-SA"/>
              </w:rPr>
            </w:pPr>
          </w:p>
        </w:tc>
      </w:tr>
      <w:tr w:rsidR="00EE4837" w:rsidRPr="007239A6" w14:paraId="3751DD7A" w14:textId="77777777" w:rsidTr="00181ACD">
        <w:trPr>
          <w:trHeight w:val="288"/>
        </w:trPr>
        <w:tc>
          <w:tcPr>
            <w:tcW w:w="1586" w:type="dxa"/>
            <w:tcBorders>
              <w:top w:val="nil"/>
              <w:left w:val="nil"/>
              <w:bottom w:val="single" w:sz="4" w:space="0" w:color="auto"/>
              <w:right w:val="nil"/>
            </w:tcBorders>
            <w:shd w:val="clear" w:color="auto" w:fill="auto"/>
            <w:noWrap/>
            <w:vAlign w:val="bottom"/>
            <w:hideMark/>
          </w:tcPr>
          <w:p w14:paraId="44C38CA0" w14:textId="36906EA7" w:rsidR="00EE4837" w:rsidRPr="007239A6" w:rsidRDefault="000A539A" w:rsidP="00EE4837">
            <w:pPr>
              <w:spacing w:after="0" w:line="240" w:lineRule="auto"/>
              <w:rPr>
                <w:b/>
                <w:sz w:val="20"/>
                <w:szCs w:val="20"/>
                <w:lang w:bidi="ar-SA"/>
              </w:rPr>
            </w:pPr>
            <w:r w:rsidRPr="007239A6">
              <w:rPr>
                <w:b/>
                <w:sz w:val="20"/>
                <w:szCs w:val="20"/>
                <w:lang w:bidi="ar-SA"/>
              </w:rPr>
              <w:t>TOTAL</w:t>
            </w:r>
          </w:p>
        </w:tc>
        <w:tc>
          <w:tcPr>
            <w:tcW w:w="1261" w:type="dxa"/>
            <w:tcBorders>
              <w:top w:val="nil"/>
              <w:left w:val="nil"/>
              <w:bottom w:val="single" w:sz="4" w:space="0" w:color="auto"/>
              <w:right w:val="nil"/>
            </w:tcBorders>
            <w:shd w:val="clear" w:color="auto" w:fill="auto"/>
            <w:noWrap/>
            <w:vAlign w:val="bottom"/>
            <w:hideMark/>
          </w:tcPr>
          <w:p w14:paraId="1CF6A554"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1,095,001.5</w:t>
            </w:r>
          </w:p>
        </w:tc>
        <w:tc>
          <w:tcPr>
            <w:tcW w:w="960" w:type="dxa"/>
            <w:tcBorders>
              <w:top w:val="nil"/>
              <w:left w:val="nil"/>
              <w:bottom w:val="single" w:sz="4" w:space="0" w:color="auto"/>
              <w:right w:val="nil"/>
            </w:tcBorders>
            <w:shd w:val="clear" w:color="auto" w:fill="auto"/>
            <w:noWrap/>
            <w:vAlign w:val="bottom"/>
            <w:hideMark/>
          </w:tcPr>
          <w:p w14:paraId="3D313AC4" w14:textId="77777777" w:rsidR="00EE4837" w:rsidRPr="007239A6" w:rsidRDefault="00EE4837" w:rsidP="00EE4837">
            <w:pPr>
              <w:spacing w:after="0" w:line="240" w:lineRule="auto"/>
              <w:jc w:val="right"/>
              <w:rPr>
                <w:color w:val="000000"/>
                <w:sz w:val="20"/>
                <w:szCs w:val="20"/>
                <w:lang w:bidi="ar-SA"/>
              </w:rPr>
            </w:pPr>
          </w:p>
        </w:tc>
        <w:tc>
          <w:tcPr>
            <w:tcW w:w="1261" w:type="dxa"/>
            <w:tcBorders>
              <w:top w:val="nil"/>
              <w:left w:val="nil"/>
              <w:bottom w:val="single" w:sz="4" w:space="0" w:color="auto"/>
              <w:right w:val="nil"/>
            </w:tcBorders>
            <w:shd w:val="clear" w:color="auto" w:fill="auto"/>
            <w:noWrap/>
            <w:vAlign w:val="bottom"/>
            <w:hideMark/>
          </w:tcPr>
          <w:p w14:paraId="24A85456"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1,083,274.3</w:t>
            </w:r>
          </w:p>
        </w:tc>
        <w:tc>
          <w:tcPr>
            <w:tcW w:w="960" w:type="dxa"/>
            <w:tcBorders>
              <w:top w:val="nil"/>
              <w:left w:val="nil"/>
              <w:bottom w:val="single" w:sz="4" w:space="0" w:color="auto"/>
              <w:right w:val="nil"/>
            </w:tcBorders>
            <w:shd w:val="clear" w:color="auto" w:fill="auto"/>
            <w:noWrap/>
            <w:vAlign w:val="bottom"/>
            <w:hideMark/>
          </w:tcPr>
          <w:p w14:paraId="68B826A1" w14:textId="77777777" w:rsidR="00EE4837" w:rsidRPr="007239A6" w:rsidRDefault="00EE4837" w:rsidP="00EE4837">
            <w:pPr>
              <w:spacing w:after="0" w:line="240" w:lineRule="auto"/>
              <w:jc w:val="right"/>
              <w:rPr>
                <w:color w:val="000000"/>
                <w:sz w:val="20"/>
                <w:szCs w:val="20"/>
                <w:lang w:bidi="ar-SA"/>
              </w:rPr>
            </w:pPr>
          </w:p>
        </w:tc>
        <w:tc>
          <w:tcPr>
            <w:tcW w:w="1261" w:type="dxa"/>
            <w:tcBorders>
              <w:top w:val="nil"/>
              <w:left w:val="nil"/>
              <w:bottom w:val="single" w:sz="4" w:space="0" w:color="auto"/>
              <w:right w:val="nil"/>
            </w:tcBorders>
            <w:shd w:val="clear" w:color="auto" w:fill="auto"/>
            <w:noWrap/>
            <w:vAlign w:val="bottom"/>
            <w:hideMark/>
          </w:tcPr>
          <w:p w14:paraId="7BAEE1F3"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1,081,550.9</w:t>
            </w:r>
          </w:p>
        </w:tc>
        <w:tc>
          <w:tcPr>
            <w:tcW w:w="960" w:type="dxa"/>
            <w:tcBorders>
              <w:top w:val="nil"/>
              <w:left w:val="nil"/>
              <w:bottom w:val="single" w:sz="4" w:space="0" w:color="auto"/>
              <w:right w:val="nil"/>
            </w:tcBorders>
            <w:shd w:val="clear" w:color="auto" w:fill="auto"/>
            <w:noWrap/>
            <w:vAlign w:val="bottom"/>
            <w:hideMark/>
          </w:tcPr>
          <w:p w14:paraId="7F1F23F4" w14:textId="77777777" w:rsidR="00EE4837" w:rsidRPr="007239A6" w:rsidRDefault="00EE4837" w:rsidP="00EE4837">
            <w:pPr>
              <w:spacing w:after="0" w:line="240" w:lineRule="auto"/>
              <w:jc w:val="right"/>
              <w:rPr>
                <w:color w:val="000000"/>
                <w:sz w:val="20"/>
                <w:szCs w:val="20"/>
                <w:lang w:bidi="ar-SA"/>
              </w:rPr>
            </w:pPr>
          </w:p>
        </w:tc>
        <w:tc>
          <w:tcPr>
            <w:tcW w:w="1261" w:type="dxa"/>
            <w:tcBorders>
              <w:top w:val="nil"/>
              <w:left w:val="nil"/>
              <w:bottom w:val="single" w:sz="4" w:space="0" w:color="auto"/>
              <w:right w:val="nil"/>
            </w:tcBorders>
            <w:shd w:val="clear" w:color="auto" w:fill="auto"/>
            <w:noWrap/>
            <w:vAlign w:val="bottom"/>
            <w:hideMark/>
          </w:tcPr>
          <w:p w14:paraId="68B3516E"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1,087,009.1</w:t>
            </w:r>
          </w:p>
        </w:tc>
        <w:tc>
          <w:tcPr>
            <w:tcW w:w="960" w:type="dxa"/>
            <w:tcBorders>
              <w:top w:val="nil"/>
              <w:left w:val="nil"/>
              <w:bottom w:val="single" w:sz="4" w:space="0" w:color="auto"/>
              <w:right w:val="nil"/>
            </w:tcBorders>
            <w:shd w:val="clear" w:color="auto" w:fill="auto"/>
            <w:noWrap/>
            <w:vAlign w:val="bottom"/>
            <w:hideMark/>
          </w:tcPr>
          <w:p w14:paraId="4247EAA9" w14:textId="77777777" w:rsidR="00EE4837" w:rsidRPr="007239A6" w:rsidRDefault="00EE4837" w:rsidP="00EE4837">
            <w:pPr>
              <w:spacing w:after="0" w:line="240" w:lineRule="auto"/>
              <w:jc w:val="right"/>
              <w:rPr>
                <w:color w:val="000000"/>
                <w:sz w:val="20"/>
                <w:szCs w:val="20"/>
                <w:lang w:bidi="ar-SA"/>
              </w:rPr>
            </w:pPr>
          </w:p>
        </w:tc>
        <w:tc>
          <w:tcPr>
            <w:tcW w:w="1261" w:type="dxa"/>
            <w:tcBorders>
              <w:top w:val="nil"/>
              <w:left w:val="nil"/>
              <w:bottom w:val="single" w:sz="4" w:space="0" w:color="auto"/>
              <w:right w:val="nil"/>
            </w:tcBorders>
            <w:shd w:val="clear" w:color="auto" w:fill="auto"/>
            <w:noWrap/>
            <w:vAlign w:val="bottom"/>
            <w:hideMark/>
          </w:tcPr>
          <w:p w14:paraId="5C023F57" w14:textId="77777777" w:rsidR="00EE4837" w:rsidRPr="007239A6" w:rsidRDefault="00EE4837" w:rsidP="00EE4837">
            <w:pPr>
              <w:spacing w:after="0" w:line="240" w:lineRule="auto"/>
              <w:jc w:val="right"/>
              <w:rPr>
                <w:color w:val="000000"/>
                <w:sz w:val="20"/>
                <w:szCs w:val="20"/>
                <w:lang w:bidi="ar-SA"/>
              </w:rPr>
            </w:pPr>
            <w:r w:rsidRPr="007239A6">
              <w:rPr>
                <w:color w:val="000000"/>
                <w:sz w:val="20"/>
                <w:szCs w:val="20"/>
                <w:lang w:bidi="ar-SA"/>
              </w:rPr>
              <w:t>1,084,551.1</w:t>
            </w:r>
          </w:p>
        </w:tc>
        <w:tc>
          <w:tcPr>
            <w:tcW w:w="960" w:type="dxa"/>
            <w:tcBorders>
              <w:top w:val="nil"/>
              <w:left w:val="nil"/>
              <w:bottom w:val="single" w:sz="4" w:space="0" w:color="auto"/>
              <w:right w:val="nil"/>
            </w:tcBorders>
            <w:shd w:val="clear" w:color="auto" w:fill="auto"/>
            <w:noWrap/>
            <w:vAlign w:val="bottom"/>
            <w:hideMark/>
          </w:tcPr>
          <w:p w14:paraId="5D44E6AA" w14:textId="77777777" w:rsidR="00EE4837" w:rsidRPr="007239A6" w:rsidRDefault="00EE4837" w:rsidP="00EE4837">
            <w:pPr>
              <w:spacing w:after="0" w:line="240" w:lineRule="auto"/>
              <w:jc w:val="right"/>
              <w:rPr>
                <w:color w:val="000000"/>
                <w:sz w:val="20"/>
                <w:szCs w:val="20"/>
                <w:lang w:bidi="ar-SA"/>
              </w:rPr>
            </w:pPr>
          </w:p>
        </w:tc>
      </w:tr>
    </w:tbl>
    <w:p w14:paraId="79607A64" w14:textId="77777777" w:rsidR="00A36DA6" w:rsidRDefault="00A36DA6" w:rsidP="00B04DDF">
      <w:pPr>
        <w:pStyle w:val="NoSpacing"/>
      </w:pPr>
    </w:p>
    <w:sectPr w:rsidR="00A36DA6" w:rsidSect="009F624A">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D3681" w14:textId="77777777" w:rsidR="00974C36" w:rsidRDefault="00974C36" w:rsidP="001E7414">
      <w:pPr>
        <w:spacing w:after="0" w:line="240" w:lineRule="auto"/>
      </w:pPr>
      <w:r>
        <w:separator/>
      </w:r>
    </w:p>
  </w:endnote>
  <w:endnote w:type="continuationSeparator" w:id="0">
    <w:p w14:paraId="77BB4BB8" w14:textId="77777777" w:rsidR="00974C36" w:rsidRDefault="00974C36" w:rsidP="001E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99174"/>
      <w:docPartObj>
        <w:docPartGallery w:val="Page Numbers (Bottom of Page)"/>
        <w:docPartUnique/>
      </w:docPartObj>
    </w:sdtPr>
    <w:sdtEndPr>
      <w:rPr>
        <w:noProof/>
      </w:rPr>
    </w:sdtEndPr>
    <w:sdtContent>
      <w:p w14:paraId="58A25BF1" w14:textId="1DA1EBB1" w:rsidR="003D208F" w:rsidRDefault="003D208F">
        <w:pPr>
          <w:pStyle w:val="Footer"/>
          <w:jc w:val="center"/>
        </w:pPr>
        <w:r>
          <w:fldChar w:fldCharType="begin"/>
        </w:r>
        <w:r>
          <w:instrText xml:space="preserve"> PAGE   \* MERGEFORMAT </w:instrText>
        </w:r>
        <w:r>
          <w:fldChar w:fldCharType="separate"/>
        </w:r>
        <w:r w:rsidR="00312565">
          <w:rPr>
            <w:noProof/>
          </w:rPr>
          <w:t>iv</w:t>
        </w:r>
        <w:r>
          <w:rPr>
            <w:noProof/>
          </w:rPr>
          <w:fldChar w:fldCharType="end"/>
        </w:r>
      </w:p>
    </w:sdtContent>
  </w:sdt>
  <w:p w14:paraId="5500F20D" w14:textId="77777777" w:rsidR="003D208F" w:rsidRDefault="003D2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11252"/>
      <w:docPartObj>
        <w:docPartGallery w:val="Page Numbers (Bottom of Page)"/>
        <w:docPartUnique/>
      </w:docPartObj>
    </w:sdtPr>
    <w:sdtEndPr>
      <w:rPr>
        <w:noProof/>
      </w:rPr>
    </w:sdtEndPr>
    <w:sdtContent>
      <w:p w14:paraId="750E9F44" w14:textId="77777777" w:rsidR="003D208F" w:rsidRDefault="003D208F">
        <w:pPr>
          <w:pStyle w:val="Footer"/>
          <w:jc w:val="center"/>
        </w:pPr>
        <w:r>
          <w:fldChar w:fldCharType="begin"/>
        </w:r>
        <w:r>
          <w:instrText xml:space="preserve"> PAGE   \* MERGEFORMAT </w:instrText>
        </w:r>
        <w:r>
          <w:fldChar w:fldCharType="separate"/>
        </w:r>
        <w:r w:rsidR="00312565">
          <w:rPr>
            <w:noProof/>
          </w:rPr>
          <w:t>16</w:t>
        </w:r>
        <w:r>
          <w:rPr>
            <w:noProof/>
          </w:rPr>
          <w:fldChar w:fldCharType="end"/>
        </w:r>
      </w:p>
    </w:sdtContent>
  </w:sdt>
  <w:p w14:paraId="4D00F16F" w14:textId="77777777" w:rsidR="003D208F" w:rsidRDefault="003D2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1B4CB" w14:textId="77777777" w:rsidR="00974C36" w:rsidRDefault="00974C36" w:rsidP="001E7414">
      <w:pPr>
        <w:spacing w:after="0" w:line="240" w:lineRule="auto"/>
      </w:pPr>
      <w:r>
        <w:separator/>
      </w:r>
    </w:p>
  </w:footnote>
  <w:footnote w:type="continuationSeparator" w:id="0">
    <w:p w14:paraId="3E130507" w14:textId="77777777" w:rsidR="00974C36" w:rsidRDefault="00974C36" w:rsidP="001E7414">
      <w:pPr>
        <w:spacing w:after="0" w:line="240" w:lineRule="auto"/>
      </w:pPr>
      <w:r>
        <w:continuationSeparator/>
      </w:r>
    </w:p>
  </w:footnote>
  <w:footnote w:id="1">
    <w:p w14:paraId="1FDB895D" w14:textId="31C661DD" w:rsidR="003D208F" w:rsidRPr="00E216EF" w:rsidRDefault="003D208F">
      <w:pPr>
        <w:pStyle w:val="FootnoteText"/>
        <w:rPr>
          <w:sz w:val="22"/>
          <w:szCs w:val="22"/>
        </w:rPr>
      </w:pPr>
      <w:r>
        <w:rPr>
          <w:rStyle w:val="FootnoteReference"/>
        </w:rPr>
        <w:footnoteRef/>
      </w:r>
      <w:r>
        <w:t xml:space="preserve"> </w:t>
      </w:r>
      <w:r w:rsidRPr="00E216EF">
        <w:rPr>
          <w:sz w:val="22"/>
          <w:szCs w:val="22"/>
        </w:rPr>
        <w:t>Thus report draws heavily from Sjoquist and</w:t>
      </w:r>
      <w:r>
        <w:rPr>
          <w:sz w:val="22"/>
          <w:szCs w:val="22"/>
        </w:rPr>
        <w:t xml:space="preserve"> Stoycheva (2012).</w:t>
      </w:r>
    </w:p>
  </w:footnote>
  <w:footnote w:id="2">
    <w:p w14:paraId="0DF571F7" w14:textId="2A296989" w:rsidR="003D208F" w:rsidRPr="00E216EF" w:rsidRDefault="003D208F" w:rsidP="00DE21FA">
      <w:pPr>
        <w:spacing w:after="0"/>
        <w:rPr>
          <w:sz w:val="22"/>
          <w:szCs w:val="22"/>
        </w:rPr>
      </w:pPr>
      <w:r w:rsidRPr="00E216EF">
        <w:rPr>
          <w:rStyle w:val="FootnoteReference"/>
          <w:sz w:val="22"/>
          <w:szCs w:val="22"/>
        </w:rPr>
        <w:footnoteRef/>
      </w:r>
      <w:r w:rsidRPr="00E216EF">
        <w:rPr>
          <w:sz w:val="22"/>
          <w:szCs w:val="22"/>
        </w:rPr>
        <w:t xml:space="preserve"> U.S. Bureau of the Census (1951).</w:t>
      </w:r>
      <w:r w:rsidRPr="00DE21FA">
        <w:t xml:space="preserve"> </w:t>
      </w:r>
      <w:r w:rsidRPr="00DE21FA">
        <w:rPr>
          <w:sz w:val="22"/>
          <w:szCs w:val="22"/>
        </w:rPr>
        <w:t>Own source revenues are general revenues from taxes, charges and miscellaneous general revenue, and do not include intergovernmental revenue or revenue from utilities, liquor stores and trust funds.</w:t>
      </w:r>
    </w:p>
  </w:footnote>
  <w:footnote w:id="3">
    <w:p w14:paraId="1C21BA2B" w14:textId="77777777" w:rsidR="003D208F" w:rsidRPr="00E216EF" w:rsidRDefault="003D208F" w:rsidP="00DE21FA">
      <w:pPr>
        <w:spacing w:after="0"/>
        <w:rPr>
          <w:sz w:val="22"/>
          <w:szCs w:val="22"/>
        </w:rPr>
      </w:pPr>
      <w:r w:rsidRPr="00E216EF">
        <w:rPr>
          <w:rStyle w:val="FootnoteReference"/>
          <w:sz w:val="22"/>
          <w:szCs w:val="22"/>
        </w:rPr>
        <w:footnoteRef/>
      </w:r>
      <w:r w:rsidRPr="00E216EF">
        <w:rPr>
          <w:sz w:val="22"/>
          <w:szCs w:val="22"/>
        </w:rPr>
        <w:t xml:space="preserve"> U.S. Bureau of the Census, State and Local Government Finance (2012). </w:t>
      </w:r>
    </w:p>
  </w:footnote>
  <w:footnote w:id="4">
    <w:p w14:paraId="7B904451" w14:textId="5D2024DF" w:rsidR="003D208F" w:rsidRPr="00EC5755" w:rsidRDefault="003D208F">
      <w:pPr>
        <w:pStyle w:val="FootnoteText"/>
        <w:rPr>
          <w:sz w:val="22"/>
          <w:szCs w:val="22"/>
        </w:rPr>
      </w:pPr>
      <w:r w:rsidRPr="00EC5755">
        <w:rPr>
          <w:rStyle w:val="FootnoteReference"/>
          <w:sz w:val="22"/>
          <w:szCs w:val="22"/>
        </w:rPr>
        <w:footnoteRef/>
      </w:r>
      <w:r w:rsidRPr="00EC5755">
        <w:rPr>
          <w:sz w:val="22"/>
          <w:szCs w:val="22"/>
        </w:rPr>
        <w:t xml:space="preserve"> </w:t>
      </w:r>
      <w:r w:rsidRPr="00EC5755">
        <w:rPr>
          <w:color w:val="000000"/>
          <w:sz w:val="22"/>
          <w:szCs w:val="22"/>
        </w:rPr>
        <w:t xml:space="preserve">See Appendix A for a discussion of the government revenue data used in this report. </w:t>
      </w:r>
    </w:p>
  </w:footnote>
  <w:footnote w:id="5">
    <w:p w14:paraId="429CA409" w14:textId="23470B3F" w:rsidR="003D208F" w:rsidRPr="00EC5755" w:rsidRDefault="003D208F" w:rsidP="00DE21FA">
      <w:pPr>
        <w:spacing w:after="0" w:line="240" w:lineRule="auto"/>
        <w:rPr>
          <w:color w:val="000000"/>
          <w:sz w:val="22"/>
          <w:szCs w:val="22"/>
        </w:rPr>
      </w:pPr>
      <w:r w:rsidRPr="00EC5755">
        <w:rPr>
          <w:rStyle w:val="FootnoteReference"/>
          <w:sz w:val="22"/>
          <w:szCs w:val="22"/>
        </w:rPr>
        <w:footnoteRef/>
      </w:r>
      <w:r w:rsidRPr="00EC5755">
        <w:rPr>
          <w:sz w:val="22"/>
          <w:szCs w:val="22"/>
        </w:rPr>
        <w:t xml:space="preserve"> The following illustrates how to c</w:t>
      </w:r>
      <w:r w:rsidRPr="00EC5755">
        <w:rPr>
          <w:color w:val="000000"/>
          <w:sz w:val="22"/>
          <w:szCs w:val="22"/>
        </w:rPr>
        <w:t>alculate a Herfindahl Index. With 9 revenue sources and with each source yielding the same amount of revenue, each revenue source accounts for 1/9</w:t>
      </w:r>
      <w:r w:rsidRPr="00EC5755">
        <w:rPr>
          <w:color w:val="000000"/>
          <w:sz w:val="22"/>
          <w:szCs w:val="22"/>
          <w:vertAlign w:val="superscript"/>
        </w:rPr>
        <w:t>th</w:t>
      </w:r>
      <w:r w:rsidRPr="00EC5755">
        <w:rPr>
          <w:color w:val="000000"/>
          <w:sz w:val="22"/>
          <w:szCs w:val="22"/>
        </w:rPr>
        <w:t xml:space="preserve"> of total revenue. To calculate the Index, one would square1/9</w:t>
      </w:r>
      <w:r w:rsidRPr="00EC5755">
        <w:rPr>
          <w:color w:val="000000"/>
          <w:sz w:val="22"/>
          <w:szCs w:val="22"/>
          <w:vertAlign w:val="superscript"/>
        </w:rPr>
        <w:t>th</w:t>
      </w:r>
      <w:r w:rsidRPr="00EC5755">
        <w:rPr>
          <w:color w:val="000000"/>
          <w:sz w:val="22"/>
          <w:szCs w:val="22"/>
        </w:rPr>
        <w:t xml:space="preserve"> and sum over the 9 revenue sources, i.e., Σ(1/9)</w:t>
      </w:r>
      <w:r w:rsidRPr="00EC5755">
        <w:rPr>
          <w:color w:val="000000"/>
          <w:sz w:val="22"/>
          <w:szCs w:val="22"/>
          <w:vertAlign w:val="superscript"/>
        </w:rPr>
        <w:t>2</w:t>
      </w:r>
      <w:r w:rsidRPr="00EC5755">
        <w:rPr>
          <w:color w:val="000000"/>
          <w:sz w:val="22"/>
          <w:szCs w:val="22"/>
        </w:rPr>
        <w:t xml:space="preserve"> =0.11. On the other hand, if one revenue source accounted for 60 percent of the revenue and another 8 accounted for 5 percent each, the Index would equal 0.38, i.e., Σ(0.6</w:t>
      </w:r>
      <w:r w:rsidRPr="00EC5755">
        <w:rPr>
          <w:color w:val="000000"/>
          <w:sz w:val="22"/>
          <w:szCs w:val="22"/>
          <w:vertAlign w:val="superscript"/>
        </w:rPr>
        <w:t>2</w:t>
      </w:r>
      <w:r w:rsidRPr="00EC5755">
        <w:rPr>
          <w:color w:val="000000"/>
          <w:sz w:val="22"/>
          <w:szCs w:val="22"/>
        </w:rPr>
        <w:t>+0.05</w:t>
      </w:r>
      <w:r w:rsidRPr="00EC5755">
        <w:rPr>
          <w:color w:val="000000"/>
          <w:sz w:val="22"/>
          <w:szCs w:val="22"/>
          <w:vertAlign w:val="superscript"/>
        </w:rPr>
        <w:t xml:space="preserve">2 </w:t>
      </w:r>
      <w:r w:rsidRPr="00EC5755">
        <w:rPr>
          <w:color w:val="000000"/>
          <w:sz w:val="22"/>
          <w:szCs w:val="22"/>
        </w:rPr>
        <w:t>+0.05</w:t>
      </w:r>
      <w:r w:rsidRPr="00EC5755">
        <w:rPr>
          <w:color w:val="000000"/>
          <w:sz w:val="22"/>
          <w:szCs w:val="22"/>
          <w:vertAlign w:val="superscript"/>
        </w:rPr>
        <w:t>2</w:t>
      </w:r>
      <w:r w:rsidRPr="00EC5755">
        <w:rPr>
          <w:color w:val="000000"/>
          <w:sz w:val="22"/>
          <w:szCs w:val="22"/>
        </w:rPr>
        <w:t xml:space="preserve"> +0.05</w:t>
      </w:r>
      <w:r w:rsidRPr="00EC5755">
        <w:rPr>
          <w:color w:val="000000"/>
          <w:sz w:val="22"/>
          <w:szCs w:val="22"/>
          <w:vertAlign w:val="superscript"/>
        </w:rPr>
        <w:t xml:space="preserve">2 </w:t>
      </w:r>
      <w:r w:rsidRPr="00EC5755">
        <w:rPr>
          <w:color w:val="000000"/>
          <w:sz w:val="22"/>
          <w:szCs w:val="22"/>
        </w:rPr>
        <w:t>+0.05</w:t>
      </w:r>
      <w:r w:rsidRPr="00EC5755">
        <w:rPr>
          <w:color w:val="000000"/>
          <w:sz w:val="22"/>
          <w:szCs w:val="22"/>
          <w:vertAlign w:val="superscript"/>
        </w:rPr>
        <w:t xml:space="preserve">2 </w:t>
      </w:r>
      <w:r w:rsidRPr="00EC5755">
        <w:rPr>
          <w:color w:val="000000"/>
          <w:sz w:val="22"/>
          <w:szCs w:val="22"/>
        </w:rPr>
        <w:t>+0.05</w:t>
      </w:r>
      <w:r w:rsidRPr="00EC5755">
        <w:rPr>
          <w:color w:val="000000"/>
          <w:sz w:val="22"/>
          <w:szCs w:val="22"/>
          <w:vertAlign w:val="superscript"/>
        </w:rPr>
        <w:t xml:space="preserve">2 </w:t>
      </w:r>
      <w:r w:rsidRPr="00EC5755">
        <w:rPr>
          <w:color w:val="000000"/>
          <w:sz w:val="22"/>
          <w:szCs w:val="22"/>
        </w:rPr>
        <w:t>+0.05</w:t>
      </w:r>
      <w:r w:rsidRPr="00EC5755">
        <w:rPr>
          <w:color w:val="000000"/>
          <w:sz w:val="22"/>
          <w:szCs w:val="22"/>
          <w:vertAlign w:val="superscript"/>
        </w:rPr>
        <w:t>2</w:t>
      </w:r>
      <w:r w:rsidRPr="00EC5755">
        <w:rPr>
          <w:color w:val="000000"/>
          <w:sz w:val="22"/>
          <w:szCs w:val="22"/>
        </w:rPr>
        <w:t xml:space="preserve"> +0.05</w:t>
      </w:r>
      <w:r w:rsidRPr="00EC5755">
        <w:rPr>
          <w:color w:val="000000"/>
          <w:sz w:val="22"/>
          <w:szCs w:val="22"/>
          <w:vertAlign w:val="superscript"/>
        </w:rPr>
        <w:t>2</w:t>
      </w:r>
      <w:r w:rsidRPr="00EC5755">
        <w:rPr>
          <w:color w:val="000000"/>
          <w:sz w:val="22"/>
          <w:szCs w:val="22"/>
        </w:rPr>
        <w:t xml:space="preserve"> +0.05</w:t>
      </w:r>
      <w:r w:rsidRPr="00EC5755">
        <w:rPr>
          <w:color w:val="000000"/>
          <w:sz w:val="22"/>
          <w:szCs w:val="22"/>
          <w:vertAlign w:val="superscript"/>
        </w:rPr>
        <w:t xml:space="preserve">2 </w:t>
      </w:r>
      <w:r w:rsidRPr="00EC5755">
        <w:rPr>
          <w:color w:val="000000"/>
          <w:sz w:val="22"/>
          <w:szCs w:val="22"/>
        </w:rPr>
        <w:t>)=0.38.</w:t>
      </w:r>
    </w:p>
    <w:p w14:paraId="26338BC0" w14:textId="677A9DF5" w:rsidR="003D208F" w:rsidRDefault="003D208F">
      <w:pPr>
        <w:pStyle w:val="FootnoteText"/>
      </w:pPr>
    </w:p>
  </w:footnote>
  <w:footnote w:id="6">
    <w:p w14:paraId="4E8A7F60" w14:textId="1939C0C9" w:rsidR="003D208F" w:rsidRPr="00324070" w:rsidRDefault="003D208F" w:rsidP="00EA0A49">
      <w:pPr>
        <w:pStyle w:val="FootnoteText"/>
        <w:spacing w:line="276" w:lineRule="auto"/>
        <w:rPr>
          <w:sz w:val="22"/>
          <w:szCs w:val="22"/>
        </w:rPr>
      </w:pPr>
      <w:r w:rsidRPr="00324070">
        <w:rPr>
          <w:rStyle w:val="FootnoteReference"/>
          <w:sz w:val="22"/>
          <w:szCs w:val="22"/>
        </w:rPr>
        <w:footnoteRef/>
      </w:r>
      <w:r w:rsidRPr="00324070">
        <w:rPr>
          <w:sz w:val="22"/>
          <w:szCs w:val="22"/>
        </w:rPr>
        <w:t xml:space="preserve"> </w:t>
      </w:r>
      <w:r w:rsidRPr="00324070">
        <w:rPr>
          <w:color w:val="000000"/>
          <w:sz w:val="22"/>
          <w:szCs w:val="22"/>
        </w:rPr>
        <w:t xml:space="preserve">Yilmax and </w:t>
      </w:r>
      <w:r>
        <w:rPr>
          <w:color w:val="000000"/>
          <w:sz w:val="22"/>
          <w:szCs w:val="22"/>
        </w:rPr>
        <w:t>Zahradnik (2008)</w:t>
      </w:r>
      <w:r w:rsidRPr="00324070">
        <w:rPr>
          <w:color w:val="000000"/>
          <w:sz w:val="22"/>
          <w:szCs w:val="22"/>
        </w:rPr>
        <w:t>.</w:t>
      </w:r>
    </w:p>
  </w:footnote>
  <w:footnote w:id="7">
    <w:p w14:paraId="00A2FFBF" w14:textId="77777777" w:rsidR="003D208F" w:rsidRPr="00324070" w:rsidRDefault="003D208F" w:rsidP="00856E8B">
      <w:pPr>
        <w:spacing w:after="0"/>
        <w:rPr>
          <w:sz w:val="22"/>
          <w:szCs w:val="22"/>
        </w:rPr>
      </w:pPr>
      <w:r>
        <w:rPr>
          <w:rStyle w:val="FootnoteReference"/>
        </w:rPr>
        <w:footnoteRef/>
      </w:r>
      <w:r w:rsidRPr="004E442F">
        <w:t xml:space="preserve"> </w:t>
      </w:r>
      <w:r w:rsidRPr="00324070">
        <w:rPr>
          <w:sz w:val="22"/>
          <w:szCs w:val="22"/>
        </w:rPr>
        <w:t>White (1983); Misiolek and Perdue (1987); Dye and McGuire (1991); Harmon and Mallick (1994).</w:t>
      </w:r>
    </w:p>
  </w:footnote>
  <w:footnote w:id="8">
    <w:p w14:paraId="40272ECB" w14:textId="1E86B709" w:rsidR="003D208F" w:rsidRPr="00730813" w:rsidRDefault="003D208F">
      <w:pPr>
        <w:pStyle w:val="FootnoteText"/>
        <w:rPr>
          <w:sz w:val="22"/>
          <w:szCs w:val="22"/>
        </w:rPr>
      </w:pPr>
      <w:r w:rsidRPr="00730813">
        <w:rPr>
          <w:rStyle w:val="FootnoteReference"/>
          <w:sz w:val="22"/>
          <w:szCs w:val="22"/>
        </w:rPr>
        <w:footnoteRef/>
      </w:r>
      <w:r w:rsidRPr="00730813">
        <w:rPr>
          <w:sz w:val="22"/>
          <w:szCs w:val="22"/>
        </w:rPr>
        <w:t xml:space="preserve"> A tax or tax system is said to be regressive (progressive) if the tax burden as share of income decreases (increases) as income increases. </w:t>
      </w:r>
    </w:p>
  </w:footnote>
  <w:footnote w:id="9">
    <w:p w14:paraId="2034809C" w14:textId="19002E2D" w:rsidR="003D208F" w:rsidRPr="00324070" w:rsidRDefault="003D208F" w:rsidP="00324070">
      <w:pPr>
        <w:widowControl w:val="0"/>
        <w:autoSpaceDE w:val="0"/>
        <w:autoSpaceDN w:val="0"/>
        <w:adjustRightInd w:val="0"/>
        <w:spacing w:after="0"/>
        <w:rPr>
          <w:sz w:val="22"/>
          <w:szCs w:val="22"/>
        </w:rPr>
      </w:pPr>
      <w:r w:rsidRPr="00324070">
        <w:rPr>
          <w:rStyle w:val="FootnoteReference"/>
          <w:sz w:val="22"/>
          <w:szCs w:val="22"/>
        </w:rPr>
        <w:footnoteRef/>
      </w:r>
      <w:r w:rsidRPr="00324070">
        <w:rPr>
          <w:sz w:val="22"/>
          <w:szCs w:val="22"/>
        </w:rPr>
        <w:t xml:space="preserve"> Bierhanzl and Downing (1998); Downing</w:t>
      </w:r>
      <w:r>
        <w:rPr>
          <w:sz w:val="22"/>
          <w:szCs w:val="22"/>
        </w:rPr>
        <w:t xml:space="preserve"> </w:t>
      </w:r>
      <w:r w:rsidRPr="00324070">
        <w:rPr>
          <w:sz w:val="22"/>
          <w:szCs w:val="22"/>
        </w:rPr>
        <w:t>(1999); Duff (2004).</w:t>
      </w:r>
    </w:p>
  </w:footnote>
  <w:footnote w:id="10">
    <w:p w14:paraId="151492DA" w14:textId="074D8DC9" w:rsidR="003D208F" w:rsidRPr="00324070" w:rsidRDefault="003D208F" w:rsidP="00EA1574">
      <w:pPr>
        <w:pStyle w:val="NormalWeb"/>
        <w:spacing w:before="0" w:beforeAutospacing="0" w:after="0" w:afterAutospacing="0" w:line="276" w:lineRule="auto"/>
        <w:textAlignment w:val="baseline"/>
        <w:rPr>
          <w:sz w:val="22"/>
          <w:szCs w:val="22"/>
        </w:rPr>
      </w:pPr>
      <w:r w:rsidRPr="00324070">
        <w:rPr>
          <w:rStyle w:val="FootnoteReference"/>
          <w:sz w:val="22"/>
          <w:szCs w:val="22"/>
        </w:rPr>
        <w:footnoteRef/>
      </w:r>
      <w:r w:rsidRPr="00324070">
        <w:rPr>
          <w:sz w:val="22"/>
          <w:szCs w:val="22"/>
        </w:rPr>
        <w:t xml:space="preserve"> </w:t>
      </w:r>
      <w:r w:rsidRPr="00324070">
        <w:rPr>
          <w:rFonts w:eastAsia="+mn-ea"/>
          <w:bCs/>
          <w:kern w:val="24"/>
          <w:sz w:val="22"/>
          <w:szCs w:val="22"/>
        </w:rPr>
        <w:t>For a review of the literature, s</w:t>
      </w:r>
      <w:r w:rsidRPr="00324070">
        <w:rPr>
          <w:sz w:val="22"/>
          <w:szCs w:val="22"/>
        </w:rPr>
        <w:t xml:space="preserve">ee </w:t>
      </w:r>
      <w:r w:rsidRPr="00324070">
        <w:rPr>
          <w:rFonts w:eastAsia="+mn-ea"/>
          <w:bCs/>
          <w:kern w:val="24"/>
          <w:sz w:val="22"/>
          <w:szCs w:val="22"/>
        </w:rPr>
        <w:t>Sjoquist, Walker, and Wallace (2005)</w:t>
      </w:r>
      <w:r>
        <w:rPr>
          <w:rFonts w:eastAsia="+mn-ea"/>
          <w:bCs/>
          <w:kern w:val="24"/>
          <w:sz w:val="22"/>
          <w:szCs w:val="22"/>
        </w:rPr>
        <w:t>,</w:t>
      </w:r>
      <w:r w:rsidRPr="00324070">
        <w:rPr>
          <w:rFonts w:eastAsia="+mn-ea"/>
          <w:bCs/>
          <w:kern w:val="24"/>
          <w:sz w:val="22"/>
          <w:szCs w:val="22"/>
        </w:rPr>
        <w:t xml:space="preserve"> Sjoquist, Wallace, and Edwards (2004)</w:t>
      </w:r>
      <w:r>
        <w:rPr>
          <w:rFonts w:eastAsia="+mn-ea"/>
          <w:bCs/>
          <w:kern w:val="24"/>
          <w:sz w:val="22"/>
          <w:szCs w:val="22"/>
        </w:rPr>
        <w:t>, and Ross and Nguyen-Hoang (2015).</w:t>
      </w:r>
    </w:p>
  </w:footnote>
  <w:footnote w:id="11">
    <w:p w14:paraId="0CC24B2B" w14:textId="611522A0" w:rsidR="003D208F" w:rsidRPr="00EC5755" w:rsidRDefault="003D208F">
      <w:pPr>
        <w:pStyle w:val="FootnoteText"/>
        <w:rPr>
          <w:sz w:val="22"/>
          <w:szCs w:val="22"/>
        </w:rPr>
      </w:pPr>
      <w:r w:rsidRPr="00EC5755">
        <w:rPr>
          <w:rStyle w:val="FootnoteReference"/>
          <w:sz w:val="22"/>
          <w:szCs w:val="22"/>
        </w:rPr>
        <w:footnoteRef/>
      </w:r>
      <w:r w:rsidRPr="00EC5755">
        <w:rPr>
          <w:sz w:val="22"/>
          <w:szCs w:val="22"/>
        </w:rPr>
        <w:t xml:space="preserve"> If the sale occurred in the non-incorporated area of a county, the revenue goes to the county government.</w:t>
      </w:r>
    </w:p>
  </w:footnote>
  <w:footnote w:id="12">
    <w:p w14:paraId="5709DCC7" w14:textId="771C1759" w:rsidR="003D208F" w:rsidRPr="00324070" w:rsidRDefault="003D208F" w:rsidP="004803C4">
      <w:pPr>
        <w:pStyle w:val="FootnoteText"/>
        <w:rPr>
          <w:sz w:val="22"/>
          <w:szCs w:val="22"/>
        </w:rPr>
      </w:pPr>
      <w:r w:rsidRPr="00324070">
        <w:rPr>
          <w:rStyle w:val="FootnoteReference"/>
          <w:sz w:val="22"/>
          <w:szCs w:val="22"/>
        </w:rPr>
        <w:footnoteRef/>
      </w:r>
      <w:r w:rsidRPr="00324070">
        <w:rPr>
          <w:sz w:val="22"/>
          <w:szCs w:val="22"/>
        </w:rPr>
        <w:t xml:space="preserve"> Certain goods and services are taxed at rate</w:t>
      </w:r>
      <w:r>
        <w:rPr>
          <w:sz w:val="22"/>
          <w:szCs w:val="22"/>
        </w:rPr>
        <w:t>s different than 6.35 percent</w:t>
      </w:r>
      <w:r w:rsidRPr="00324070">
        <w:rPr>
          <w:sz w:val="22"/>
          <w:szCs w:val="22"/>
        </w:rPr>
        <w:t>.</w:t>
      </w:r>
    </w:p>
  </w:footnote>
  <w:footnote w:id="13">
    <w:p w14:paraId="2C034AAB" w14:textId="4A1EADC9" w:rsidR="003D208F" w:rsidRDefault="003D208F">
      <w:pPr>
        <w:pStyle w:val="FootnoteText"/>
      </w:pPr>
      <w:r>
        <w:rPr>
          <w:rStyle w:val="FootnoteReference"/>
        </w:rPr>
        <w:footnoteRef/>
      </w:r>
      <w:r>
        <w:rPr>
          <w:color w:val="000000"/>
        </w:rPr>
        <w:t xml:space="preserve">Actual sales tax revenue was in 2013-14 was </w:t>
      </w:r>
      <w:r w:rsidRPr="004803C4">
        <w:rPr>
          <w:color w:val="000000"/>
        </w:rPr>
        <w:t>$4,107.8</w:t>
      </w:r>
      <w:r w:rsidRPr="00A50ECC">
        <w:rPr>
          <w:color w:val="000000"/>
        </w:rPr>
        <w:t xml:space="preserve"> million</w:t>
      </w:r>
      <w:r>
        <w:rPr>
          <w:color w:val="000000"/>
        </w:rPr>
        <w:t xml:space="preserve">. But this includes such items as late payments and fines and fees from audits. </w:t>
      </w:r>
    </w:p>
  </w:footnote>
  <w:footnote w:id="14">
    <w:p w14:paraId="6C7D3487" w14:textId="77777777" w:rsidR="003D208F" w:rsidRPr="00324070" w:rsidRDefault="003D208F" w:rsidP="004803C4">
      <w:pPr>
        <w:spacing w:after="0"/>
        <w:rPr>
          <w:sz w:val="22"/>
          <w:szCs w:val="22"/>
        </w:rPr>
      </w:pPr>
      <w:r w:rsidRPr="00324070">
        <w:rPr>
          <w:rStyle w:val="FootnoteReference"/>
          <w:sz w:val="22"/>
          <w:szCs w:val="22"/>
        </w:rPr>
        <w:footnoteRef/>
      </w:r>
      <w:r w:rsidRPr="00324070">
        <w:rPr>
          <w:color w:val="000000"/>
          <w:sz w:val="22"/>
          <w:szCs w:val="22"/>
        </w:rPr>
        <w:t>See for example,</w:t>
      </w:r>
      <w:r w:rsidRPr="00324070">
        <w:rPr>
          <w:sz w:val="22"/>
          <w:szCs w:val="22"/>
          <w:lang w:val="en-CA"/>
        </w:rPr>
        <w:t xml:space="preserve"> </w:t>
      </w:r>
      <w:r w:rsidRPr="00324070">
        <w:rPr>
          <w:sz w:val="22"/>
          <w:szCs w:val="22"/>
        </w:rPr>
        <w:t>Mikesell (197</w:t>
      </w:r>
      <w:r>
        <w:rPr>
          <w:sz w:val="22"/>
          <w:szCs w:val="22"/>
        </w:rPr>
        <w:t>0</w:t>
      </w:r>
      <w:r w:rsidRPr="00324070">
        <w:rPr>
          <w:sz w:val="22"/>
          <w:szCs w:val="22"/>
        </w:rPr>
        <w:t>); Mikesell and Zorn (1986); Fisher (1980); Fox (1986); Walsh and Jones (1988), and Tosun and Skidmore (2007).</w:t>
      </w:r>
    </w:p>
  </w:footnote>
  <w:footnote w:id="15">
    <w:p w14:paraId="604CBC61" w14:textId="56749074" w:rsidR="003D208F" w:rsidRDefault="003D208F">
      <w:pPr>
        <w:pStyle w:val="FootnoteText"/>
      </w:pPr>
      <w:r>
        <w:rPr>
          <w:rStyle w:val="FootnoteReference"/>
        </w:rPr>
        <w:footnoteRef/>
      </w:r>
      <w:r>
        <w:t xml:space="preserve"> This figure differs from the $607.4 million report above because the $607.4 million includes sales tax revenue from out-of-state vendors.</w:t>
      </w:r>
    </w:p>
  </w:footnote>
  <w:footnote w:id="16">
    <w:p w14:paraId="46287C77" w14:textId="0F0FEBC9" w:rsidR="003D208F" w:rsidRDefault="003D208F" w:rsidP="00324070">
      <w:pPr>
        <w:pStyle w:val="FootnoteText"/>
        <w:spacing w:line="276" w:lineRule="auto"/>
      </w:pPr>
      <w:r>
        <w:rPr>
          <w:rStyle w:val="FootnoteReference"/>
        </w:rPr>
        <w:footnoteRef/>
      </w:r>
      <w:r>
        <w:t xml:space="preserve"> </w:t>
      </w:r>
      <w:r w:rsidRPr="00324070">
        <w:rPr>
          <w:sz w:val="22"/>
          <w:szCs w:val="22"/>
        </w:rPr>
        <w:t>The Census Bureau considers payroll taxes imposed on businesses a business tax, not an income tax. In addition, Iowa allows an income tax in school districts.</w:t>
      </w:r>
      <w:r>
        <w:rPr>
          <w:sz w:val="24"/>
          <w:szCs w:val="24"/>
        </w:rPr>
        <w:t xml:space="preserve"> </w:t>
      </w:r>
    </w:p>
  </w:footnote>
  <w:footnote w:id="17">
    <w:p w14:paraId="067A1356" w14:textId="08433310" w:rsidR="003D208F" w:rsidRDefault="003D208F">
      <w:pPr>
        <w:pStyle w:val="FootnoteText"/>
      </w:pPr>
      <w:r>
        <w:rPr>
          <w:rStyle w:val="FootnoteReference"/>
        </w:rPr>
        <w:footnoteRef/>
      </w:r>
      <w:r>
        <w:t xml:space="preserve"> </w:t>
      </w:r>
      <w:r w:rsidRPr="00710363">
        <w:rPr>
          <w:bCs/>
        </w:rPr>
        <w:t>Wallace and Edwards</w:t>
      </w:r>
      <w:r>
        <w:rPr>
          <w:bCs/>
        </w:rPr>
        <w:t xml:space="preserve"> (1999)</w:t>
      </w:r>
      <w:r w:rsidRPr="00710363">
        <w:rPr>
          <w:bCs/>
        </w:rPr>
        <w:t xml:space="preserve"> provide an overview of the structure of local income taxes</w:t>
      </w:r>
      <w:r>
        <w:rPr>
          <w:bCs/>
        </w:rPr>
        <w:t xml:space="preserve"> and Sjoquist and Stoycheva (2012) provide </w:t>
      </w:r>
      <w:r>
        <w:rPr>
          <w:color w:val="000000"/>
        </w:rPr>
        <w:t>a description of the local income or payroll tax in each state.</w:t>
      </w:r>
    </w:p>
  </w:footnote>
  <w:footnote w:id="18">
    <w:p w14:paraId="43A8EC9B" w14:textId="3C943CA2" w:rsidR="003D208F" w:rsidRDefault="003D208F">
      <w:pPr>
        <w:pStyle w:val="FootnoteText"/>
      </w:pPr>
      <w:r>
        <w:rPr>
          <w:rStyle w:val="FootnoteReference"/>
        </w:rPr>
        <w:footnoteRef/>
      </w:r>
      <w:r>
        <w:t xml:space="preserve"> State tax liability is always less than state AGI, but because the tax rates differ, the revenue from the local tax on tax liability does not have to be less than the local tax on AGI.</w:t>
      </w:r>
    </w:p>
  </w:footnote>
  <w:footnote w:id="19">
    <w:p w14:paraId="19459853" w14:textId="22971E71" w:rsidR="003D208F" w:rsidRPr="00EC5755" w:rsidRDefault="003D208F">
      <w:pPr>
        <w:pStyle w:val="FootnoteText"/>
        <w:rPr>
          <w:sz w:val="22"/>
          <w:szCs w:val="22"/>
        </w:rPr>
      </w:pPr>
      <w:r w:rsidRPr="00EC5755">
        <w:rPr>
          <w:rStyle w:val="FootnoteReference"/>
          <w:sz w:val="22"/>
          <w:szCs w:val="22"/>
        </w:rPr>
        <w:footnoteRef/>
      </w:r>
      <w:r w:rsidRPr="00EC5755">
        <w:rPr>
          <w:sz w:val="22"/>
          <w:szCs w:val="22"/>
        </w:rPr>
        <w:t xml:space="preserve"> The Bureau of the Census defines c</w:t>
      </w:r>
      <w:r w:rsidRPr="00EC5755">
        <w:rPr>
          <w:rStyle w:val="Strong"/>
          <w:b w:val="0"/>
          <w:sz w:val="22"/>
          <w:szCs w:val="22"/>
        </w:rPr>
        <w:t>urrent charges</w:t>
      </w:r>
      <w:r w:rsidRPr="00EC5755">
        <w:rPr>
          <w:sz w:val="22"/>
          <w:szCs w:val="22"/>
        </w:rPr>
        <w:t xml:space="preserve"> as the amounts received from the public for performance of specific services benefitting the person charged, and from sales of commodities and services, except liquor store sales. Includes fees, assessments, and other reimbursements for current services, rents and sales derived from commodities or services furnished incident to the performance of particular functions, gross income of commercial activities, and the like. Excludes amounts received from other governments (Intergovernmental revenue) and interdepartmental charges and transfers. Current charges are distinguished from license taxes, which relate to privileges granted by the government or regulatory measures for the protection of the public. </w:t>
      </w:r>
      <w:r>
        <w:rPr>
          <w:sz w:val="22"/>
          <w:szCs w:val="22"/>
        </w:rPr>
        <w:t>Current charges do not include fines for violations of law, civil penalties, and special assessments such as impact fees.</w:t>
      </w:r>
    </w:p>
  </w:footnote>
  <w:footnote w:id="20">
    <w:p w14:paraId="64511F9E" w14:textId="126C3B10" w:rsidR="003D208F" w:rsidRPr="00EC5755" w:rsidRDefault="003D208F" w:rsidP="000E3FE2">
      <w:pPr>
        <w:widowControl w:val="0"/>
        <w:autoSpaceDE w:val="0"/>
        <w:autoSpaceDN w:val="0"/>
        <w:adjustRightInd w:val="0"/>
        <w:spacing w:after="0" w:line="240" w:lineRule="auto"/>
        <w:rPr>
          <w:sz w:val="22"/>
          <w:szCs w:val="22"/>
        </w:rPr>
      </w:pPr>
      <w:r>
        <w:rPr>
          <w:rStyle w:val="FootnoteReference"/>
        </w:rPr>
        <w:footnoteRef/>
      </w:r>
      <w:r w:rsidRPr="00C41DAB">
        <w:t xml:space="preserve"> </w:t>
      </w:r>
      <w:r w:rsidRPr="00EC5755">
        <w:rPr>
          <w:sz w:val="22"/>
          <w:szCs w:val="22"/>
        </w:rPr>
        <w:t>Bierhanzl and Downing (1998); Downing</w:t>
      </w:r>
      <w:r>
        <w:rPr>
          <w:sz w:val="22"/>
          <w:szCs w:val="22"/>
        </w:rPr>
        <w:t xml:space="preserve"> </w:t>
      </w:r>
      <w:r w:rsidRPr="00EC5755">
        <w:rPr>
          <w:sz w:val="22"/>
          <w:szCs w:val="22"/>
        </w:rPr>
        <w:t>(1999); Duff (2004).</w:t>
      </w:r>
    </w:p>
  </w:footnote>
  <w:footnote w:id="21">
    <w:p w14:paraId="0F131729" w14:textId="77777777" w:rsidR="003D208F" w:rsidRDefault="003D208F" w:rsidP="00236942">
      <w:pPr>
        <w:pStyle w:val="FootnoteText"/>
      </w:pPr>
      <w:r>
        <w:rPr>
          <w:rStyle w:val="FootnoteReference"/>
        </w:rPr>
        <w:footnoteRef/>
      </w:r>
      <w:r>
        <w:t xml:space="preserve"> For a description of impact fees and their use, see Burge (2010).</w:t>
      </w:r>
      <w:r w:rsidRPr="002A0AC5">
        <w:t xml:space="preserve"> </w:t>
      </w:r>
      <w:r>
        <w:t>Duncan Associates hosts a website, ImpactFees.com, which provides a comprehensive and current collection of online information relating to impact fees and infrastructure financing.</w:t>
      </w:r>
    </w:p>
  </w:footnote>
  <w:footnote w:id="22">
    <w:p w14:paraId="6A6C2F9F" w14:textId="77777777" w:rsidR="003D208F" w:rsidRDefault="003D208F" w:rsidP="00236942">
      <w:pPr>
        <w:pStyle w:val="FootnoteText"/>
      </w:pPr>
      <w:r>
        <w:rPr>
          <w:rStyle w:val="FootnoteReference"/>
        </w:rPr>
        <w:footnoteRef/>
      </w:r>
      <w:r>
        <w:t xml:space="preserve"> See Burge (2010) and Been (2005) for a review of the literature on the effect of impact fees on housing prices.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A4EC1" w14:textId="77300CCA" w:rsidR="003D208F" w:rsidRPr="00BE6611" w:rsidRDefault="003D208F">
    <w:pPr>
      <w:pStyle w:val="Header"/>
      <w:rPr>
        <w:sz w:val="22"/>
      </w:rPr>
    </w:pPr>
    <w:r w:rsidRPr="00BE6611">
      <w:rPr>
        <w:i/>
        <w:sz w:val="22"/>
      </w:rPr>
      <w:t>Diversifying Municipal Revenue in Connecticut</w:t>
    </w:r>
    <w:r w:rsidRPr="00BE6611">
      <w:rPr>
        <w:sz w:val="22"/>
      </w:rPr>
      <w:t xml:space="preserve">: Version of October </w:t>
    </w:r>
    <w:r>
      <w:rPr>
        <w:sz w:val="22"/>
      </w:rPr>
      <w:t>23</w:t>
    </w:r>
    <w:r w:rsidRPr="00BE6611">
      <w:rPr>
        <w:sz w:val="22"/>
      </w:rPr>
      <w:t>, 2015</w:t>
    </w:r>
  </w:p>
  <w:p w14:paraId="3B2C50C3" w14:textId="77777777" w:rsidR="003D208F" w:rsidRDefault="003D2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3923" w14:textId="5FC007C9" w:rsidR="003D208F" w:rsidRPr="00E80642" w:rsidRDefault="003D208F">
    <w:pPr>
      <w:pStyle w:val="Header"/>
      <w:rPr>
        <w:sz w:val="22"/>
        <w:szCs w:val="22"/>
      </w:rPr>
    </w:pPr>
    <w:r w:rsidRPr="00E80642">
      <w:rPr>
        <w:i/>
        <w:sz w:val="22"/>
        <w:szCs w:val="22"/>
      </w:rPr>
      <w:t>Diversifying Municipal Revenue in Connecticut</w:t>
    </w:r>
    <w:r w:rsidRPr="00E80642">
      <w:rPr>
        <w:sz w:val="22"/>
        <w:szCs w:val="22"/>
      </w:rPr>
      <w:t xml:space="preserve">: </w:t>
    </w:r>
    <w:r w:rsidR="00D361C7">
      <w:rPr>
        <w:sz w:val="22"/>
        <w:szCs w:val="22"/>
      </w:rPr>
      <w:t xml:space="preserve"> Sent to Panel November 9, 2015</w:t>
    </w:r>
  </w:p>
  <w:p w14:paraId="7097EA9D" w14:textId="77777777" w:rsidR="003D208F" w:rsidRDefault="003D2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2907"/>
    <w:multiLevelType w:val="multilevel"/>
    <w:tmpl w:val="3998D8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230FE5"/>
    <w:multiLevelType w:val="hybridMultilevel"/>
    <w:tmpl w:val="F12A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E4174"/>
    <w:multiLevelType w:val="hybridMultilevel"/>
    <w:tmpl w:val="A008F9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EFF4A55"/>
    <w:multiLevelType w:val="multilevel"/>
    <w:tmpl w:val="38DCBB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7371DE2"/>
    <w:multiLevelType w:val="hybridMultilevel"/>
    <w:tmpl w:val="1C20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52367"/>
    <w:multiLevelType w:val="hybridMultilevel"/>
    <w:tmpl w:val="7924B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46678"/>
    <w:multiLevelType w:val="hybridMultilevel"/>
    <w:tmpl w:val="071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305D6"/>
    <w:multiLevelType w:val="hybridMultilevel"/>
    <w:tmpl w:val="172C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74F68"/>
    <w:multiLevelType w:val="hybridMultilevel"/>
    <w:tmpl w:val="1AFEDF32"/>
    <w:lvl w:ilvl="0" w:tplc="C2B07C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C2592"/>
    <w:multiLevelType w:val="hybridMultilevel"/>
    <w:tmpl w:val="FCA281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2DD4771"/>
    <w:multiLevelType w:val="hybridMultilevel"/>
    <w:tmpl w:val="05F4A1CC"/>
    <w:lvl w:ilvl="0" w:tplc="A2B2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D71217"/>
    <w:multiLevelType w:val="hybridMultilevel"/>
    <w:tmpl w:val="B6963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45036"/>
    <w:multiLevelType w:val="hybridMultilevel"/>
    <w:tmpl w:val="EFEE21E6"/>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50244D0D"/>
    <w:multiLevelType w:val="hybridMultilevel"/>
    <w:tmpl w:val="7D42B1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BC0B5D"/>
    <w:multiLevelType w:val="hybridMultilevel"/>
    <w:tmpl w:val="F100422C"/>
    <w:lvl w:ilvl="0" w:tplc="DC44B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02A4F"/>
    <w:multiLevelType w:val="hybridMultilevel"/>
    <w:tmpl w:val="C2084EC4"/>
    <w:lvl w:ilvl="0" w:tplc="4A6C6D06">
      <w:start w:val="1"/>
      <w:numFmt w:val="decimal"/>
      <w:lvlText w:val="%1."/>
      <w:lvlJc w:val="left"/>
      <w:pPr>
        <w:ind w:left="1080" w:hanging="360"/>
      </w:pPr>
      <w:rPr>
        <w:rFonts w:hint="default"/>
        <w:color w:val="00000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4008A8"/>
    <w:multiLevelType w:val="hybridMultilevel"/>
    <w:tmpl w:val="75E68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92A69"/>
    <w:multiLevelType w:val="hybridMultilevel"/>
    <w:tmpl w:val="F3DCFDD2"/>
    <w:lvl w:ilvl="0" w:tplc="C2B07C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C6290"/>
    <w:multiLevelType w:val="multilevel"/>
    <w:tmpl w:val="19EA763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39B4F62"/>
    <w:multiLevelType w:val="hybridMultilevel"/>
    <w:tmpl w:val="FAD2F756"/>
    <w:lvl w:ilvl="0" w:tplc="8F3682D0">
      <w:start w:val="1"/>
      <w:numFmt w:val="bullet"/>
      <w:lvlText w:val=""/>
      <w:lvlJc w:val="left"/>
      <w:pPr>
        <w:ind w:left="360" w:hanging="360"/>
      </w:pPr>
      <w:rPr>
        <w:rFonts w:ascii="Symbol" w:hAnsi="Symbol" w:hint="default"/>
      </w:rPr>
    </w:lvl>
    <w:lvl w:ilvl="1" w:tplc="8C7AC84E">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23C91"/>
    <w:multiLevelType w:val="hybridMultilevel"/>
    <w:tmpl w:val="D728C6C8"/>
    <w:lvl w:ilvl="0" w:tplc="4A6C6D06">
      <w:start w:val="1"/>
      <w:numFmt w:val="decimal"/>
      <w:lvlText w:val="%1."/>
      <w:lvlJc w:val="left"/>
      <w:pPr>
        <w:ind w:left="1080" w:hanging="360"/>
      </w:pPr>
      <w:rPr>
        <w:rFonts w:hint="default"/>
        <w:color w:val="00000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EC7645"/>
    <w:multiLevelType w:val="hybridMultilevel"/>
    <w:tmpl w:val="F9BE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4"/>
  </w:num>
  <w:num w:numId="4">
    <w:abstractNumId w:val="10"/>
  </w:num>
  <w:num w:numId="5">
    <w:abstractNumId w:val="17"/>
  </w:num>
  <w:num w:numId="6">
    <w:abstractNumId w:val="14"/>
  </w:num>
  <w:num w:numId="7">
    <w:abstractNumId w:val="20"/>
  </w:num>
  <w:num w:numId="8">
    <w:abstractNumId w:val="8"/>
  </w:num>
  <w:num w:numId="9">
    <w:abstractNumId w:val="3"/>
  </w:num>
  <w:num w:numId="10">
    <w:abstractNumId w:val="1"/>
  </w:num>
  <w:num w:numId="11">
    <w:abstractNumId w:val="0"/>
  </w:num>
  <w:num w:numId="12">
    <w:abstractNumId w:val="18"/>
  </w:num>
  <w:num w:numId="13">
    <w:abstractNumId w:val="2"/>
  </w:num>
  <w:num w:numId="14">
    <w:abstractNumId w:val="9"/>
  </w:num>
  <w:num w:numId="15">
    <w:abstractNumId w:val="7"/>
  </w:num>
  <w:num w:numId="16">
    <w:abstractNumId w:val="19"/>
  </w:num>
  <w:num w:numId="17">
    <w:abstractNumId w:val="5"/>
  </w:num>
  <w:num w:numId="18">
    <w:abstractNumId w:val="11"/>
  </w:num>
  <w:num w:numId="19">
    <w:abstractNumId w:val="12"/>
  </w:num>
  <w:num w:numId="20">
    <w:abstractNumId w:val="16"/>
  </w:num>
  <w:num w:numId="21">
    <w:abstractNumId w:val="13"/>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D8"/>
    <w:rsid w:val="00002DD3"/>
    <w:rsid w:val="00004E89"/>
    <w:rsid w:val="000079B1"/>
    <w:rsid w:val="00010407"/>
    <w:rsid w:val="00011C60"/>
    <w:rsid w:val="000136F1"/>
    <w:rsid w:val="00014112"/>
    <w:rsid w:val="00015A86"/>
    <w:rsid w:val="00020762"/>
    <w:rsid w:val="000212FB"/>
    <w:rsid w:val="000218D0"/>
    <w:rsid w:val="00022AEA"/>
    <w:rsid w:val="00022BE4"/>
    <w:rsid w:val="00031C90"/>
    <w:rsid w:val="00036487"/>
    <w:rsid w:val="00040858"/>
    <w:rsid w:val="000411F6"/>
    <w:rsid w:val="000425E7"/>
    <w:rsid w:val="00042806"/>
    <w:rsid w:val="000435E9"/>
    <w:rsid w:val="00045F13"/>
    <w:rsid w:val="00047CFE"/>
    <w:rsid w:val="00051AFC"/>
    <w:rsid w:val="000526B3"/>
    <w:rsid w:val="000557C3"/>
    <w:rsid w:val="000565B1"/>
    <w:rsid w:val="00060F1F"/>
    <w:rsid w:val="00062F52"/>
    <w:rsid w:val="000666EB"/>
    <w:rsid w:val="00066D34"/>
    <w:rsid w:val="00067781"/>
    <w:rsid w:val="0007376C"/>
    <w:rsid w:val="000749F4"/>
    <w:rsid w:val="00075C35"/>
    <w:rsid w:val="000801AD"/>
    <w:rsid w:val="00080635"/>
    <w:rsid w:val="00080B11"/>
    <w:rsid w:val="0008505E"/>
    <w:rsid w:val="00085E74"/>
    <w:rsid w:val="0008686D"/>
    <w:rsid w:val="000901F7"/>
    <w:rsid w:val="00090EF8"/>
    <w:rsid w:val="000911E0"/>
    <w:rsid w:val="000930FB"/>
    <w:rsid w:val="00093FCB"/>
    <w:rsid w:val="00096098"/>
    <w:rsid w:val="00096C9D"/>
    <w:rsid w:val="00097D0D"/>
    <w:rsid w:val="000A1202"/>
    <w:rsid w:val="000A2012"/>
    <w:rsid w:val="000A20E2"/>
    <w:rsid w:val="000A21B6"/>
    <w:rsid w:val="000A42BF"/>
    <w:rsid w:val="000A4DFF"/>
    <w:rsid w:val="000A539A"/>
    <w:rsid w:val="000A55DC"/>
    <w:rsid w:val="000A6320"/>
    <w:rsid w:val="000A6609"/>
    <w:rsid w:val="000A7743"/>
    <w:rsid w:val="000B7AE1"/>
    <w:rsid w:val="000C4ADA"/>
    <w:rsid w:val="000C4C8A"/>
    <w:rsid w:val="000C574E"/>
    <w:rsid w:val="000D3DA2"/>
    <w:rsid w:val="000D4C75"/>
    <w:rsid w:val="000D5E03"/>
    <w:rsid w:val="000D79F6"/>
    <w:rsid w:val="000E3158"/>
    <w:rsid w:val="000E3FE2"/>
    <w:rsid w:val="000E76F1"/>
    <w:rsid w:val="000F0B42"/>
    <w:rsid w:val="000F1BD0"/>
    <w:rsid w:val="000F3A51"/>
    <w:rsid w:val="000F5C32"/>
    <w:rsid w:val="000F62FF"/>
    <w:rsid w:val="0010166B"/>
    <w:rsid w:val="001045F4"/>
    <w:rsid w:val="00105583"/>
    <w:rsid w:val="001060EA"/>
    <w:rsid w:val="00106198"/>
    <w:rsid w:val="0010685E"/>
    <w:rsid w:val="00106D1F"/>
    <w:rsid w:val="00112437"/>
    <w:rsid w:val="001124DC"/>
    <w:rsid w:val="00112562"/>
    <w:rsid w:val="00114012"/>
    <w:rsid w:val="00121DFC"/>
    <w:rsid w:val="00124CF5"/>
    <w:rsid w:val="0012643A"/>
    <w:rsid w:val="0012720A"/>
    <w:rsid w:val="00130130"/>
    <w:rsid w:val="00131163"/>
    <w:rsid w:val="00133DE4"/>
    <w:rsid w:val="00134B4E"/>
    <w:rsid w:val="00135360"/>
    <w:rsid w:val="001378FD"/>
    <w:rsid w:val="00140A9C"/>
    <w:rsid w:val="00141924"/>
    <w:rsid w:val="0014538A"/>
    <w:rsid w:val="00145B23"/>
    <w:rsid w:val="00151943"/>
    <w:rsid w:val="00152B2B"/>
    <w:rsid w:val="00154F18"/>
    <w:rsid w:val="00154FC8"/>
    <w:rsid w:val="00161413"/>
    <w:rsid w:val="00163A35"/>
    <w:rsid w:val="00163F9D"/>
    <w:rsid w:val="001651C2"/>
    <w:rsid w:val="001715CC"/>
    <w:rsid w:val="00176F06"/>
    <w:rsid w:val="0017758A"/>
    <w:rsid w:val="00181ACD"/>
    <w:rsid w:val="00182C9A"/>
    <w:rsid w:val="001837A7"/>
    <w:rsid w:val="00187598"/>
    <w:rsid w:val="0019065C"/>
    <w:rsid w:val="00192034"/>
    <w:rsid w:val="00192676"/>
    <w:rsid w:val="001A046C"/>
    <w:rsid w:val="001A16F9"/>
    <w:rsid w:val="001A2D5E"/>
    <w:rsid w:val="001A5B15"/>
    <w:rsid w:val="001A5E38"/>
    <w:rsid w:val="001A6685"/>
    <w:rsid w:val="001B0C9C"/>
    <w:rsid w:val="001B4CF0"/>
    <w:rsid w:val="001B4DDE"/>
    <w:rsid w:val="001C06EF"/>
    <w:rsid w:val="001C081B"/>
    <w:rsid w:val="001C4635"/>
    <w:rsid w:val="001C633D"/>
    <w:rsid w:val="001C7527"/>
    <w:rsid w:val="001D1E35"/>
    <w:rsid w:val="001D2832"/>
    <w:rsid w:val="001D3B99"/>
    <w:rsid w:val="001D5EB5"/>
    <w:rsid w:val="001D7E5A"/>
    <w:rsid w:val="001E5771"/>
    <w:rsid w:val="001E5CFE"/>
    <w:rsid w:val="001E626E"/>
    <w:rsid w:val="001E6F0E"/>
    <w:rsid w:val="001E7414"/>
    <w:rsid w:val="001F0FA3"/>
    <w:rsid w:val="001F4FFF"/>
    <w:rsid w:val="001F540A"/>
    <w:rsid w:val="001F6256"/>
    <w:rsid w:val="001F706E"/>
    <w:rsid w:val="001F7A40"/>
    <w:rsid w:val="00201E0C"/>
    <w:rsid w:val="00202F52"/>
    <w:rsid w:val="00211637"/>
    <w:rsid w:val="00213810"/>
    <w:rsid w:val="00216233"/>
    <w:rsid w:val="0021693F"/>
    <w:rsid w:val="00216ECF"/>
    <w:rsid w:val="00217FFC"/>
    <w:rsid w:val="00222793"/>
    <w:rsid w:val="00223928"/>
    <w:rsid w:val="00223FE3"/>
    <w:rsid w:val="002250E1"/>
    <w:rsid w:val="00225A2E"/>
    <w:rsid w:val="00227198"/>
    <w:rsid w:val="00227461"/>
    <w:rsid w:val="00234C22"/>
    <w:rsid w:val="00236942"/>
    <w:rsid w:val="00240F3F"/>
    <w:rsid w:val="0024113E"/>
    <w:rsid w:val="00245ACE"/>
    <w:rsid w:val="00246FBC"/>
    <w:rsid w:val="002470B6"/>
    <w:rsid w:val="00253B25"/>
    <w:rsid w:val="002544EF"/>
    <w:rsid w:val="00255B8A"/>
    <w:rsid w:val="00255E9A"/>
    <w:rsid w:val="002560CF"/>
    <w:rsid w:val="00256DA2"/>
    <w:rsid w:val="00257095"/>
    <w:rsid w:val="00261650"/>
    <w:rsid w:val="002617D6"/>
    <w:rsid w:val="00262747"/>
    <w:rsid w:val="00263A2E"/>
    <w:rsid w:val="00264B5A"/>
    <w:rsid w:val="00265944"/>
    <w:rsid w:val="0027318E"/>
    <w:rsid w:val="00274A4B"/>
    <w:rsid w:val="00274B04"/>
    <w:rsid w:val="00274BEF"/>
    <w:rsid w:val="002762F8"/>
    <w:rsid w:val="00276953"/>
    <w:rsid w:val="002848F3"/>
    <w:rsid w:val="00284B2C"/>
    <w:rsid w:val="00284C19"/>
    <w:rsid w:val="002875D8"/>
    <w:rsid w:val="00290209"/>
    <w:rsid w:val="00295FEB"/>
    <w:rsid w:val="00296348"/>
    <w:rsid w:val="00297339"/>
    <w:rsid w:val="002A04AF"/>
    <w:rsid w:val="002A053D"/>
    <w:rsid w:val="002A1D91"/>
    <w:rsid w:val="002A278C"/>
    <w:rsid w:val="002A34F3"/>
    <w:rsid w:val="002A37D3"/>
    <w:rsid w:val="002A4768"/>
    <w:rsid w:val="002A7643"/>
    <w:rsid w:val="002A7804"/>
    <w:rsid w:val="002B0851"/>
    <w:rsid w:val="002B35AC"/>
    <w:rsid w:val="002B6C44"/>
    <w:rsid w:val="002C335C"/>
    <w:rsid w:val="002C6EFE"/>
    <w:rsid w:val="002D3279"/>
    <w:rsid w:val="002D5CEE"/>
    <w:rsid w:val="002E5C89"/>
    <w:rsid w:val="002F09C5"/>
    <w:rsid w:val="002F0B76"/>
    <w:rsid w:val="002F0EFC"/>
    <w:rsid w:val="002F2712"/>
    <w:rsid w:val="002F2B7F"/>
    <w:rsid w:val="002F2C57"/>
    <w:rsid w:val="002F2C83"/>
    <w:rsid w:val="002F3269"/>
    <w:rsid w:val="002F3494"/>
    <w:rsid w:val="002F5F09"/>
    <w:rsid w:val="002F5FBC"/>
    <w:rsid w:val="0030002C"/>
    <w:rsid w:val="003003B9"/>
    <w:rsid w:val="00302B8C"/>
    <w:rsid w:val="0030440B"/>
    <w:rsid w:val="00305BDF"/>
    <w:rsid w:val="003071D3"/>
    <w:rsid w:val="00307775"/>
    <w:rsid w:val="003111D0"/>
    <w:rsid w:val="0031188A"/>
    <w:rsid w:val="00312565"/>
    <w:rsid w:val="00313875"/>
    <w:rsid w:val="00313D73"/>
    <w:rsid w:val="00314368"/>
    <w:rsid w:val="0031678C"/>
    <w:rsid w:val="00321218"/>
    <w:rsid w:val="00321460"/>
    <w:rsid w:val="00322749"/>
    <w:rsid w:val="0032294C"/>
    <w:rsid w:val="003229A7"/>
    <w:rsid w:val="00322D83"/>
    <w:rsid w:val="00323302"/>
    <w:rsid w:val="00324070"/>
    <w:rsid w:val="003255B3"/>
    <w:rsid w:val="00325D99"/>
    <w:rsid w:val="00326303"/>
    <w:rsid w:val="00326E09"/>
    <w:rsid w:val="00330385"/>
    <w:rsid w:val="0033127E"/>
    <w:rsid w:val="00336465"/>
    <w:rsid w:val="00340319"/>
    <w:rsid w:val="00340FB2"/>
    <w:rsid w:val="003417FE"/>
    <w:rsid w:val="00342A00"/>
    <w:rsid w:val="00345887"/>
    <w:rsid w:val="00346340"/>
    <w:rsid w:val="00346721"/>
    <w:rsid w:val="0035002C"/>
    <w:rsid w:val="00350292"/>
    <w:rsid w:val="003507E4"/>
    <w:rsid w:val="00350F5D"/>
    <w:rsid w:val="003519DA"/>
    <w:rsid w:val="00353E2E"/>
    <w:rsid w:val="00355D09"/>
    <w:rsid w:val="00355E7D"/>
    <w:rsid w:val="00356AE3"/>
    <w:rsid w:val="00357377"/>
    <w:rsid w:val="00357DD8"/>
    <w:rsid w:val="00366CA7"/>
    <w:rsid w:val="00367D82"/>
    <w:rsid w:val="003737CD"/>
    <w:rsid w:val="00375153"/>
    <w:rsid w:val="00376779"/>
    <w:rsid w:val="00377B43"/>
    <w:rsid w:val="00380362"/>
    <w:rsid w:val="003805DF"/>
    <w:rsid w:val="003812A2"/>
    <w:rsid w:val="00391945"/>
    <w:rsid w:val="00392BBA"/>
    <w:rsid w:val="003943D8"/>
    <w:rsid w:val="00395804"/>
    <w:rsid w:val="003A0534"/>
    <w:rsid w:val="003A0E22"/>
    <w:rsid w:val="003A1040"/>
    <w:rsid w:val="003A2A26"/>
    <w:rsid w:val="003A395C"/>
    <w:rsid w:val="003A4B1C"/>
    <w:rsid w:val="003A4EB4"/>
    <w:rsid w:val="003A5135"/>
    <w:rsid w:val="003A5EC9"/>
    <w:rsid w:val="003A63A6"/>
    <w:rsid w:val="003A703C"/>
    <w:rsid w:val="003A7C71"/>
    <w:rsid w:val="003B02A4"/>
    <w:rsid w:val="003C4E75"/>
    <w:rsid w:val="003C4E7C"/>
    <w:rsid w:val="003D16F5"/>
    <w:rsid w:val="003D208F"/>
    <w:rsid w:val="003D3415"/>
    <w:rsid w:val="003D4E5E"/>
    <w:rsid w:val="003D5C32"/>
    <w:rsid w:val="003E35AD"/>
    <w:rsid w:val="003E4ED4"/>
    <w:rsid w:val="003E5B2A"/>
    <w:rsid w:val="003E6780"/>
    <w:rsid w:val="003E7CE6"/>
    <w:rsid w:val="003F041B"/>
    <w:rsid w:val="003F1E9D"/>
    <w:rsid w:val="003F57AB"/>
    <w:rsid w:val="0040060F"/>
    <w:rsid w:val="004011FA"/>
    <w:rsid w:val="00401B32"/>
    <w:rsid w:val="00403503"/>
    <w:rsid w:val="0040634E"/>
    <w:rsid w:val="00410AFC"/>
    <w:rsid w:val="00420D8F"/>
    <w:rsid w:val="00421E1A"/>
    <w:rsid w:val="00422309"/>
    <w:rsid w:val="0042603D"/>
    <w:rsid w:val="004268EB"/>
    <w:rsid w:val="00427B2F"/>
    <w:rsid w:val="0043161C"/>
    <w:rsid w:val="00431C75"/>
    <w:rsid w:val="00432179"/>
    <w:rsid w:val="0043265F"/>
    <w:rsid w:val="004334D1"/>
    <w:rsid w:val="00433876"/>
    <w:rsid w:val="00433AB1"/>
    <w:rsid w:val="00433BCA"/>
    <w:rsid w:val="0043745B"/>
    <w:rsid w:val="0044033A"/>
    <w:rsid w:val="00442D7C"/>
    <w:rsid w:val="00442F1B"/>
    <w:rsid w:val="00443057"/>
    <w:rsid w:val="00444A7B"/>
    <w:rsid w:val="00446F90"/>
    <w:rsid w:val="004470B2"/>
    <w:rsid w:val="00447FEA"/>
    <w:rsid w:val="0045140B"/>
    <w:rsid w:val="00453EAF"/>
    <w:rsid w:val="00454652"/>
    <w:rsid w:val="00455BF8"/>
    <w:rsid w:val="0045712E"/>
    <w:rsid w:val="00461539"/>
    <w:rsid w:val="00463876"/>
    <w:rsid w:val="0046445D"/>
    <w:rsid w:val="00465C59"/>
    <w:rsid w:val="00466D64"/>
    <w:rsid w:val="00470C3F"/>
    <w:rsid w:val="0047243E"/>
    <w:rsid w:val="004768A7"/>
    <w:rsid w:val="0047739C"/>
    <w:rsid w:val="004801F2"/>
    <w:rsid w:val="004803C4"/>
    <w:rsid w:val="00480CDD"/>
    <w:rsid w:val="00482582"/>
    <w:rsid w:val="00482E15"/>
    <w:rsid w:val="00490AA3"/>
    <w:rsid w:val="0049452D"/>
    <w:rsid w:val="00495617"/>
    <w:rsid w:val="00495775"/>
    <w:rsid w:val="004A016B"/>
    <w:rsid w:val="004A0830"/>
    <w:rsid w:val="004A1207"/>
    <w:rsid w:val="004A2145"/>
    <w:rsid w:val="004A426D"/>
    <w:rsid w:val="004A47F3"/>
    <w:rsid w:val="004A714E"/>
    <w:rsid w:val="004B3E90"/>
    <w:rsid w:val="004B7092"/>
    <w:rsid w:val="004C1BAF"/>
    <w:rsid w:val="004C356D"/>
    <w:rsid w:val="004C3750"/>
    <w:rsid w:val="004C45EA"/>
    <w:rsid w:val="004C4B37"/>
    <w:rsid w:val="004C65EE"/>
    <w:rsid w:val="004C6A98"/>
    <w:rsid w:val="004D3334"/>
    <w:rsid w:val="004D39FC"/>
    <w:rsid w:val="004D3E47"/>
    <w:rsid w:val="004D4B06"/>
    <w:rsid w:val="004D5654"/>
    <w:rsid w:val="004D5894"/>
    <w:rsid w:val="004D601E"/>
    <w:rsid w:val="004D7369"/>
    <w:rsid w:val="004E13D4"/>
    <w:rsid w:val="004E1918"/>
    <w:rsid w:val="004E232E"/>
    <w:rsid w:val="004E4A80"/>
    <w:rsid w:val="004E689A"/>
    <w:rsid w:val="004F008B"/>
    <w:rsid w:val="004F257E"/>
    <w:rsid w:val="004F4CDD"/>
    <w:rsid w:val="00502E18"/>
    <w:rsid w:val="00504938"/>
    <w:rsid w:val="0050561E"/>
    <w:rsid w:val="00510069"/>
    <w:rsid w:val="00510F3E"/>
    <w:rsid w:val="005118B5"/>
    <w:rsid w:val="00511AB5"/>
    <w:rsid w:val="00512704"/>
    <w:rsid w:val="005134AA"/>
    <w:rsid w:val="0051409C"/>
    <w:rsid w:val="005167D6"/>
    <w:rsid w:val="00520112"/>
    <w:rsid w:val="005212BC"/>
    <w:rsid w:val="0052219F"/>
    <w:rsid w:val="00522276"/>
    <w:rsid w:val="00525016"/>
    <w:rsid w:val="00525395"/>
    <w:rsid w:val="00525ADA"/>
    <w:rsid w:val="005263F2"/>
    <w:rsid w:val="00530545"/>
    <w:rsid w:val="005311D8"/>
    <w:rsid w:val="00531764"/>
    <w:rsid w:val="005359F2"/>
    <w:rsid w:val="00540CC2"/>
    <w:rsid w:val="00541F88"/>
    <w:rsid w:val="00550FAF"/>
    <w:rsid w:val="005516CF"/>
    <w:rsid w:val="00554EFA"/>
    <w:rsid w:val="00556E63"/>
    <w:rsid w:val="00557A18"/>
    <w:rsid w:val="00560AE9"/>
    <w:rsid w:val="00562E98"/>
    <w:rsid w:val="00563D9C"/>
    <w:rsid w:val="005650BC"/>
    <w:rsid w:val="0056591D"/>
    <w:rsid w:val="00565A5D"/>
    <w:rsid w:val="00566BAB"/>
    <w:rsid w:val="00567433"/>
    <w:rsid w:val="00572D2D"/>
    <w:rsid w:val="00575D38"/>
    <w:rsid w:val="00576C46"/>
    <w:rsid w:val="00577040"/>
    <w:rsid w:val="00581422"/>
    <w:rsid w:val="005831B2"/>
    <w:rsid w:val="005839E0"/>
    <w:rsid w:val="00584C87"/>
    <w:rsid w:val="005853DD"/>
    <w:rsid w:val="00590557"/>
    <w:rsid w:val="005909BD"/>
    <w:rsid w:val="00590AC6"/>
    <w:rsid w:val="00591F38"/>
    <w:rsid w:val="00592856"/>
    <w:rsid w:val="00593697"/>
    <w:rsid w:val="005945C5"/>
    <w:rsid w:val="005959A4"/>
    <w:rsid w:val="00595F1D"/>
    <w:rsid w:val="00596DEA"/>
    <w:rsid w:val="00597922"/>
    <w:rsid w:val="005A0C27"/>
    <w:rsid w:val="005A1B6E"/>
    <w:rsid w:val="005A1EAD"/>
    <w:rsid w:val="005A78BD"/>
    <w:rsid w:val="005B182D"/>
    <w:rsid w:val="005B5A89"/>
    <w:rsid w:val="005B5C11"/>
    <w:rsid w:val="005B7ECA"/>
    <w:rsid w:val="005C049D"/>
    <w:rsid w:val="005C1A6F"/>
    <w:rsid w:val="005C22CE"/>
    <w:rsid w:val="005C28D9"/>
    <w:rsid w:val="005C2EC7"/>
    <w:rsid w:val="005C571B"/>
    <w:rsid w:val="005C5B77"/>
    <w:rsid w:val="005C5D4E"/>
    <w:rsid w:val="005C5DC7"/>
    <w:rsid w:val="005C6CC4"/>
    <w:rsid w:val="005C7B64"/>
    <w:rsid w:val="005C7EA0"/>
    <w:rsid w:val="005D2A05"/>
    <w:rsid w:val="005D700F"/>
    <w:rsid w:val="005D739A"/>
    <w:rsid w:val="005D7470"/>
    <w:rsid w:val="005D759A"/>
    <w:rsid w:val="005D7E48"/>
    <w:rsid w:val="005E2C3E"/>
    <w:rsid w:val="005E4BDE"/>
    <w:rsid w:val="005E758F"/>
    <w:rsid w:val="005F1035"/>
    <w:rsid w:val="005F175A"/>
    <w:rsid w:val="005F2AC8"/>
    <w:rsid w:val="005F2E4D"/>
    <w:rsid w:val="005F5705"/>
    <w:rsid w:val="005F6A2E"/>
    <w:rsid w:val="005F7DA8"/>
    <w:rsid w:val="0060000D"/>
    <w:rsid w:val="00601ABB"/>
    <w:rsid w:val="00602112"/>
    <w:rsid w:val="00602969"/>
    <w:rsid w:val="0060384F"/>
    <w:rsid w:val="0060530A"/>
    <w:rsid w:val="006055E6"/>
    <w:rsid w:val="00606697"/>
    <w:rsid w:val="00607310"/>
    <w:rsid w:val="00611C85"/>
    <w:rsid w:val="00613323"/>
    <w:rsid w:val="00613E0D"/>
    <w:rsid w:val="00614656"/>
    <w:rsid w:val="00617A8A"/>
    <w:rsid w:val="0062070E"/>
    <w:rsid w:val="00621C0A"/>
    <w:rsid w:val="00621F25"/>
    <w:rsid w:val="00623C05"/>
    <w:rsid w:val="0062431B"/>
    <w:rsid w:val="00625CAE"/>
    <w:rsid w:val="00631096"/>
    <w:rsid w:val="00633FE4"/>
    <w:rsid w:val="0063799E"/>
    <w:rsid w:val="00643E0C"/>
    <w:rsid w:val="00644CB6"/>
    <w:rsid w:val="006454B2"/>
    <w:rsid w:val="00645817"/>
    <w:rsid w:val="006468C5"/>
    <w:rsid w:val="00652BED"/>
    <w:rsid w:val="00654E16"/>
    <w:rsid w:val="00656975"/>
    <w:rsid w:val="0065706A"/>
    <w:rsid w:val="006572D2"/>
    <w:rsid w:val="0066014A"/>
    <w:rsid w:val="006628AF"/>
    <w:rsid w:val="00662E00"/>
    <w:rsid w:val="0066542B"/>
    <w:rsid w:val="00670095"/>
    <w:rsid w:val="006712A5"/>
    <w:rsid w:val="00674CCC"/>
    <w:rsid w:val="00676BD3"/>
    <w:rsid w:val="006817DC"/>
    <w:rsid w:val="006857FC"/>
    <w:rsid w:val="006864DA"/>
    <w:rsid w:val="00686F62"/>
    <w:rsid w:val="00693DD9"/>
    <w:rsid w:val="00694769"/>
    <w:rsid w:val="006952C1"/>
    <w:rsid w:val="0069617E"/>
    <w:rsid w:val="0069672C"/>
    <w:rsid w:val="006978A7"/>
    <w:rsid w:val="006A1D02"/>
    <w:rsid w:val="006A27F1"/>
    <w:rsid w:val="006A3CFF"/>
    <w:rsid w:val="006B29A2"/>
    <w:rsid w:val="006B4748"/>
    <w:rsid w:val="006B4AEE"/>
    <w:rsid w:val="006B6B2D"/>
    <w:rsid w:val="006B6BAB"/>
    <w:rsid w:val="006B79BC"/>
    <w:rsid w:val="006C1FE5"/>
    <w:rsid w:val="006C222B"/>
    <w:rsid w:val="006C258C"/>
    <w:rsid w:val="006C43B3"/>
    <w:rsid w:val="006C6AF5"/>
    <w:rsid w:val="006C7532"/>
    <w:rsid w:val="006D2D6C"/>
    <w:rsid w:val="006D39A2"/>
    <w:rsid w:val="006D4B89"/>
    <w:rsid w:val="006D537D"/>
    <w:rsid w:val="006E03B1"/>
    <w:rsid w:val="006E0DE2"/>
    <w:rsid w:val="006E0E45"/>
    <w:rsid w:val="006E50E8"/>
    <w:rsid w:val="006E6C19"/>
    <w:rsid w:val="006F1556"/>
    <w:rsid w:val="006F7202"/>
    <w:rsid w:val="00701457"/>
    <w:rsid w:val="00701AB9"/>
    <w:rsid w:val="00702016"/>
    <w:rsid w:val="0070224E"/>
    <w:rsid w:val="00702F8F"/>
    <w:rsid w:val="007032F8"/>
    <w:rsid w:val="00710363"/>
    <w:rsid w:val="00710F3A"/>
    <w:rsid w:val="00713375"/>
    <w:rsid w:val="0071378A"/>
    <w:rsid w:val="00715903"/>
    <w:rsid w:val="00715DEF"/>
    <w:rsid w:val="00715E1E"/>
    <w:rsid w:val="0071687E"/>
    <w:rsid w:val="00716EEB"/>
    <w:rsid w:val="0072086B"/>
    <w:rsid w:val="007209FC"/>
    <w:rsid w:val="00720E93"/>
    <w:rsid w:val="007239A6"/>
    <w:rsid w:val="00723EAF"/>
    <w:rsid w:val="007266EE"/>
    <w:rsid w:val="0072700E"/>
    <w:rsid w:val="0073042B"/>
    <w:rsid w:val="00730813"/>
    <w:rsid w:val="0073115F"/>
    <w:rsid w:val="007323BF"/>
    <w:rsid w:val="0073335F"/>
    <w:rsid w:val="00733D54"/>
    <w:rsid w:val="00740711"/>
    <w:rsid w:val="00740F2E"/>
    <w:rsid w:val="0074105E"/>
    <w:rsid w:val="007423F9"/>
    <w:rsid w:val="00742F4A"/>
    <w:rsid w:val="00744212"/>
    <w:rsid w:val="00744C8D"/>
    <w:rsid w:val="00745B02"/>
    <w:rsid w:val="007515AE"/>
    <w:rsid w:val="00752592"/>
    <w:rsid w:val="00753C1E"/>
    <w:rsid w:val="00754359"/>
    <w:rsid w:val="00756A3B"/>
    <w:rsid w:val="00756C88"/>
    <w:rsid w:val="007611F0"/>
    <w:rsid w:val="007635CB"/>
    <w:rsid w:val="007635F5"/>
    <w:rsid w:val="00764290"/>
    <w:rsid w:val="00770E59"/>
    <w:rsid w:val="007718BF"/>
    <w:rsid w:val="007726A6"/>
    <w:rsid w:val="00775756"/>
    <w:rsid w:val="0077688C"/>
    <w:rsid w:val="007778A7"/>
    <w:rsid w:val="007807EC"/>
    <w:rsid w:val="00782D49"/>
    <w:rsid w:val="00790665"/>
    <w:rsid w:val="007913F7"/>
    <w:rsid w:val="00793FC8"/>
    <w:rsid w:val="007950B3"/>
    <w:rsid w:val="0079660F"/>
    <w:rsid w:val="007A0858"/>
    <w:rsid w:val="007A26F0"/>
    <w:rsid w:val="007A2AF8"/>
    <w:rsid w:val="007A3A17"/>
    <w:rsid w:val="007A5377"/>
    <w:rsid w:val="007A57E0"/>
    <w:rsid w:val="007B02FB"/>
    <w:rsid w:val="007B0989"/>
    <w:rsid w:val="007B1845"/>
    <w:rsid w:val="007B5404"/>
    <w:rsid w:val="007B7403"/>
    <w:rsid w:val="007C2820"/>
    <w:rsid w:val="007C5905"/>
    <w:rsid w:val="007C7310"/>
    <w:rsid w:val="007D0C66"/>
    <w:rsid w:val="007D1744"/>
    <w:rsid w:val="007D3DDD"/>
    <w:rsid w:val="007D4213"/>
    <w:rsid w:val="007D4AB3"/>
    <w:rsid w:val="007D6AC8"/>
    <w:rsid w:val="007D71C5"/>
    <w:rsid w:val="007D76D2"/>
    <w:rsid w:val="007E03DD"/>
    <w:rsid w:val="007E0C62"/>
    <w:rsid w:val="007E14FA"/>
    <w:rsid w:val="007E1533"/>
    <w:rsid w:val="007E172D"/>
    <w:rsid w:val="007E2C65"/>
    <w:rsid w:val="007E3076"/>
    <w:rsid w:val="007E58C7"/>
    <w:rsid w:val="007E741C"/>
    <w:rsid w:val="007F31AE"/>
    <w:rsid w:val="007F31F7"/>
    <w:rsid w:val="007F3AD6"/>
    <w:rsid w:val="007F5BD5"/>
    <w:rsid w:val="007F6AA8"/>
    <w:rsid w:val="007F7356"/>
    <w:rsid w:val="0080198E"/>
    <w:rsid w:val="008040BD"/>
    <w:rsid w:val="00804A25"/>
    <w:rsid w:val="008063B6"/>
    <w:rsid w:val="00810395"/>
    <w:rsid w:val="00810BBF"/>
    <w:rsid w:val="00813BF8"/>
    <w:rsid w:val="00814AE2"/>
    <w:rsid w:val="00814D33"/>
    <w:rsid w:val="0081692A"/>
    <w:rsid w:val="0081790A"/>
    <w:rsid w:val="00821373"/>
    <w:rsid w:val="008231DE"/>
    <w:rsid w:val="00823E52"/>
    <w:rsid w:val="008247CF"/>
    <w:rsid w:val="00824B5C"/>
    <w:rsid w:val="00834595"/>
    <w:rsid w:val="00835F98"/>
    <w:rsid w:val="00837E5D"/>
    <w:rsid w:val="00842E00"/>
    <w:rsid w:val="00843B81"/>
    <w:rsid w:val="008459F6"/>
    <w:rsid w:val="00845CA7"/>
    <w:rsid w:val="008474FF"/>
    <w:rsid w:val="0085178E"/>
    <w:rsid w:val="00853534"/>
    <w:rsid w:val="00855113"/>
    <w:rsid w:val="0085571B"/>
    <w:rsid w:val="00855AAF"/>
    <w:rsid w:val="00855AD0"/>
    <w:rsid w:val="00855EF9"/>
    <w:rsid w:val="00856E8B"/>
    <w:rsid w:val="0086008B"/>
    <w:rsid w:val="00863321"/>
    <w:rsid w:val="0086439E"/>
    <w:rsid w:val="008654A9"/>
    <w:rsid w:val="00865C87"/>
    <w:rsid w:val="00865DD7"/>
    <w:rsid w:val="008664B3"/>
    <w:rsid w:val="00867A67"/>
    <w:rsid w:val="00871D4B"/>
    <w:rsid w:val="008769A9"/>
    <w:rsid w:val="00877130"/>
    <w:rsid w:val="00877743"/>
    <w:rsid w:val="0088398E"/>
    <w:rsid w:val="0088590D"/>
    <w:rsid w:val="008869F3"/>
    <w:rsid w:val="00887FE8"/>
    <w:rsid w:val="00890CCC"/>
    <w:rsid w:val="008923D9"/>
    <w:rsid w:val="00892777"/>
    <w:rsid w:val="00894ADC"/>
    <w:rsid w:val="008962F2"/>
    <w:rsid w:val="00897625"/>
    <w:rsid w:val="008979C9"/>
    <w:rsid w:val="008A051E"/>
    <w:rsid w:val="008A0F02"/>
    <w:rsid w:val="008A126F"/>
    <w:rsid w:val="008A2336"/>
    <w:rsid w:val="008A2782"/>
    <w:rsid w:val="008A3269"/>
    <w:rsid w:val="008A3612"/>
    <w:rsid w:val="008A6A14"/>
    <w:rsid w:val="008B036F"/>
    <w:rsid w:val="008B104D"/>
    <w:rsid w:val="008B213E"/>
    <w:rsid w:val="008B4DAC"/>
    <w:rsid w:val="008B5966"/>
    <w:rsid w:val="008B76CD"/>
    <w:rsid w:val="008B7AF4"/>
    <w:rsid w:val="008C0C09"/>
    <w:rsid w:val="008C45EB"/>
    <w:rsid w:val="008C6181"/>
    <w:rsid w:val="008C619F"/>
    <w:rsid w:val="008C7D1F"/>
    <w:rsid w:val="008D2D37"/>
    <w:rsid w:val="008D4469"/>
    <w:rsid w:val="008D669E"/>
    <w:rsid w:val="008D7D5E"/>
    <w:rsid w:val="008E70C2"/>
    <w:rsid w:val="008F0C69"/>
    <w:rsid w:val="008F1D6C"/>
    <w:rsid w:val="008F2D3D"/>
    <w:rsid w:val="008F2D80"/>
    <w:rsid w:val="008F63F7"/>
    <w:rsid w:val="008F6F65"/>
    <w:rsid w:val="008F72D4"/>
    <w:rsid w:val="00900482"/>
    <w:rsid w:val="00900729"/>
    <w:rsid w:val="009013FF"/>
    <w:rsid w:val="0090168E"/>
    <w:rsid w:val="0090239D"/>
    <w:rsid w:val="00903749"/>
    <w:rsid w:val="009101D9"/>
    <w:rsid w:val="00915685"/>
    <w:rsid w:val="0091620C"/>
    <w:rsid w:val="009170CB"/>
    <w:rsid w:val="00922A22"/>
    <w:rsid w:val="0092394A"/>
    <w:rsid w:val="009239DE"/>
    <w:rsid w:val="0092578E"/>
    <w:rsid w:val="00925950"/>
    <w:rsid w:val="00925951"/>
    <w:rsid w:val="00930898"/>
    <w:rsid w:val="00930AEA"/>
    <w:rsid w:val="009310C2"/>
    <w:rsid w:val="00931E56"/>
    <w:rsid w:val="009323FC"/>
    <w:rsid w:val="0093384A"/>
    <w:rsid w:val="009338A5"/>
    <w:rsid w:val="009352AF"/>
    <w:rsid w:val="0093664F"/>
    <w:rsid w:val="00940725"/>
    <w:rsid w:val="0094214A"/>
    <w:rsid w:val="00942585"/>
    <w:rsid w:val="009433E0"/>
    <w:rsid w:val="00944836"/>
    <w:rsid w:val="00944979"/>
    <w:rsid w:val="00944992"/>
    <w:rsid w:val="00946A85"/>
    <w:rsid w:val="0094799D"/>
    <w:rsid w:val="00950386"/>
    <w:rsid w:val="00953373"/>
    <w:rsid w:val="0095350A"/>
    <w:rsid w:val="0095527D"/>
    <w:rsid w:val="00956EE8"/>
    <w:rsid w:val="0096186B"/>
    <w:rsid w:val="00961FB8"/>
    <w:rsid w:val="009657D8"/>
    <w:rsid w:val="00965A96"/>
    <w:rsid w:val="00965BD2"/>
    <w:rsid w:val="00965DEF"/>
    <w:rsid w:val="00967459"/>
    <w:rsid w:val="00971CCA"/>
    <w:rsid w:val="0097357B"/>
    <w:rsid w:val="009745EE"/>
    <w:rsid w:val="00974C36"/>
    <w:rsid w:val="009763EF"/>
    <w:rsid w:val="009768C9"/>
    <w:rsid w:val="00976F0D"/>
    <w:rsid w:val="0098002D"/>
    <w:rsid w:val="00980B73"/>
    <w:rsid w:val="00981F02"/>
    <w:rsid w:val="009830FA"/>
    <w:rsid w:val="009840B9"/>
    <w:rsid w:val="00985385"/>
    <w:rsid w:val="00985C49"/>
    <w:rsid w:val="00985D89"/>
    <w:rsid w:val="00986CEB"/>
    <w:rsid w:val="00987B49"/>
    <w:rsid w:val="00990451"/>
    <w:rsid w:val="00990A8E"/>
    <w:rsid w:val="00990C10"/>
    <w:rsid w:val="00991A7A"/>
    <w:rsid w:val="009922BD"/>
    <w:rsid w:val="00996C47"/>
    <w:rsid w:val="009A1E79"/>
    <w:rsid w:val="009A21E8"/>
    <w:rsid w:val="009A3384"/>
    <w:rsid w:val="009B004F"/>
    <w:rsid w:val="009B13D0"/>
    <w:rsid w:val="009B176A"/>
    <w:rsid w:val="009B2A23"/>
    <w:rsid w:val="009B2E33"/>
    <w:rsid w:val="009B50AD"/>
    <w:rsid w:val="009B6688"/>
    <w:rsid w:val="009C0497"/>
    <w:rsid w:val="009C3EC3"/>
    <w:rsid w:val="009C5612"/>
    <w:rsid w:val="009C6FFF"/>
    <w:rsid w:val="009D0F19"/>
    <w:rsid w:val="009D15A4"/>
    <w:rsid w:val="009D1C66"/>
    <w:rsid w:val="009D1F68"/>
    <w:rsid w:val="009D2E18"/>
    <w:rsid w:val="009D3470"/>
    <w:rsid w:val="009D3FA3"/>
    <w:rsid w:val="009D5939"/>
    <w:rsid w:val="009E0A0F"/>
    <w:rsid w:val="009E0EBD"/>
    <w:rsid w:val="009E2045"/>
    <w:rsid w:val="009E2923"/>
    <w:rsid w:val="009E3085"/>
    <w:rsid w:val="009E3CC8"/>
    <w:rsid w:val="009E3DE4"/>
    <w:rsid w:val="009E4A6F"/>
    <w:rsid w:val="009E4B98"/>
    <w:rsid w:val="009E7366"/>
    <w:rsid w:val="009E7E8C"/>
    <w:rsid w:val="009E7ECE"/>
    <w:rsid w:val="009F1011"/>
    <w:rsid w:val="009F18BD"/>
    <w:rsid w:val="009F1F83"/>
    <w:rsid w:val="009F3C39"/>
    <w:rsid w:val="009F44F7"/>
    <w:rsid w:val="009F516A"/>
    <w:rsid w:val="009F52E8"/>
    <w:rsid w:val="009F568D"/>
    <w:rsid w:val="009F624A"/>
    <w:rsid w:val="009F64A1"/>
    <w:rsid w:val="009F6A47"/>
    <w:rsid w:val="00A0014A"/>
    <w:rsid w:val="00A00793"/>
    <w:rsid w:val="00A0109C"/>
    <w:rsid w:val="00A02252"/>
    <w:rsid w:val="00A02A73"/>
    <w:rsid w:val="00A049F9"/>
    <w:rsid w:val="00A05136"/>
    <w:rsid w:val="00A05DF6"/>
    <w:rsid w:val="00A10708"/>
    <w:rsid w:val="00A12CB3"/>
    <w:rsid w:val="00A12F0F"/>
    <w:rsid w:val="00A166EA"/>
    <w:rsid w:val="00A1696D"/>
    <w:rsid w:val="00A21ABB"/>
    <w:rsid w:val="00A225F8"/>
    <w:rsid w:val="00A23881"/>
    <w:rsid w:val="00A23AAE"/>
    <w:rsid w:val="00A24160"/>
    <w:rsid w:val="00A26C7A"/>
    <w:rsid w:val="00A32A0A"/>
    <w:rsid w:val="00A32A85"/>
    <w:rsid w:val="00A33C66"/>
    <w:rsid w:val="00A3459D"/>
    <w:rsid w:val="00A3490A"/>
    <w:rsid w:val="00A35B70"/>
    <w:rsid w:val="00A35BB2"/>
    <w:rsid w:val="00A35F04"/>
    <w:rsid w:val="00A36997"/>
    <w:rsid w:val="00A36DA6"/>
    <w:rsid w:val="00A37EA7"/>
    <w:rsid w:val="00A415E6"/>
    <w:rsid w:val="00A422B9"/>
    <w:rsid w:val="00A465A7"/>
    <w:rsid w:val="00A503FA"/>
    <w:rsid w:val="00A50ECC"/>
    <w:rsid w:val="00A5288F"/>
    <w:rsid w:val="00A53100"/>
    <w:rsid w:val="00A54231"/>
    <w:rsid w:val="00A542FF"/>
    <w:rsid w:val="00A5507B"/>
    <w:rsid w:val="00A57619"/>
    <w:rsid w:val="00A609AF"/>
    <w:rsid w:val="00A60B57"/>
    <w:rsid w:val="00A64E54"/>
    <w:rsid w:val="00A6555D"/>
    <w:rsid w:val="00A65845"/>
    <w:rsid w:val="00A658EC"/>
    <w:rsid w:val="00A65D50"/>
    <w:rsid w:val="00A67A84"/>
    <w:rsid w:val="00A73F17"/>
    <w:rsid w:val="00A73F8C"/>
    <w:rsid w:val="00A74578"/>
    <w:rsid w:val="00A76815"/>
    <w:rsid w:val="00A7788C"/>
    <w:rsid w:val="00A77C17"/>
    <w:rsid w:val="00A813DA"/>
    <w:rsid w:val="00A81DBD"/>
    <w:rsid w:val="00A8293E"/>
    <w:rsid w:val="00A83A1E"/>
    <w:rsid w:val="00A844F2"/>
    <w:rsid w:val="00A86711"/>
    <w:rsid w:val="00A86880"/>
    <w:rsid w:val="00A87A4B"/>
    <w:rsid w:val="00A87CCE"/>
    <w:rsid w:val="00A87CD3"/>
    <w:rsid w:val="00A90D4A"/>
    <w:rsid w:val="00A9204A"/>
    <w:rsid w:val="00A92F75"/>
    <w:rsid w:val="00A94466"/>
    <w:rsid w:val="00A96A0D"/>
    <w:rsid w:val="00A96C5B"/>
    <w:rsid w:val="00AA125F"/>
    <w:rsid w:val="00AA24CC"/>
    <w:rsid w:val="00AA36FF"/>
    <w:rsid w:val="00AB078F"/>
    <w:rsid w:val="00AB16EA"/>
    <w:rsid w:val="00AB4603"/>
    <w:rsid w:val="00AB4972"/>
    <w:rsid w:val="00AB5679"/>
    <w:rsid w:val="00AB7042"/>
    <w:rsid w:val="00AC0FBE"/>
    <w:rsid w:val="00AC174E"/>
    <w:rsid w:val="00AC3D1A"/>
    <w:rsid w:val="00AC5888"/>
    <w:rsid w:val="00AC7200"/>
    <w:rsid w:val="00AD0328"/>
    <w:rsid w:val="00AD3CBF"/>
    <w:rsid w:val="00AD66CA"/>
    <w:rsid w:val="00AD75E6"/>
    <w:rsid w:val="00AE0711"/>
    <w:rsid w:val="00AE1259"/>
    <w:rsid w:val="00AE2B4D"/>
    <w:rsid w:val="00AE2E0A"/>
    <w:rsid w:val="00AE3D45"/>
    <w:rsid w:val="00AE3D4F"/>
    <w:rsid w:val="00AE4776"/>
    <w:rsid w:val="00AE6C27"/>
    <w:rsid w:val="00AE6E61"/>
    <w:rsid w:val="00AF01CF"/>
    <w:rsid w:val="00AF13E1"/>
    <w:rsid w:val="00AF2846"/>
    <w:rsid w:val="00AF2ED5"/>
    <w:rsid w:val="00AF3FF3"/>
    <w:rsid w:val="00AF5FC4"/>
    <w:rsid w:val="00AF737D"/>
    <w:rsid w:val="00AF7828"/>
    <w:rsid w:val="00B00220"/>
    <w:rsid w:val="00B01A28"/>
    <w:rsid w:val="00B03EE2"/>
    <w:rsid w:val="00B04DDF"/>
    <w:rsid w:val="00B04FF7"/>
    <w:rsid w:val="00B06C34"/>
    <w:rsid w:val="00B148EE"/>
    <w:rsid w:val="00B15FEC"/>
    <w:rsid w:val="00B17705"/>
    <w:rsid w:val="00B20654"/>
    <w:rsid w:val="00B2221D"/>
    <w:rsid w:val="00B22A48"/>
    <w:rsid w:val="00B251EB"/>
    <w:rsid w:val="00B2559A"/>
    <w:rsid w:val="00B313BE"/>
    <w:rsid w:val="00B4089F"/>
    <w:rsid w:val="00B418B0"/>
    <w:rsid w:val="00B4414F"/>
    <w:rsid w:val="00B44939"/>
    <w:rsid w:val="00B44FC3"/>
    <w:rsid w:val="00B453C8"/>
    <w:rsid w:val="00B4587C"/>
    <w:rsid w:val="00B46328"/>
    <w:rsid w:val="00B5118B"/>
    <w:rsid w:val="00B555E3"/>
    <w:rsid w:val="00B56E59"/>
    <w:rsid w:val="00B61674"/>
    <w:rsid w:val="00B61D32"/>
    <w:rsid w:val="00B639EB"/>
    <w:rsid w:val="00B63ACB"/>
    <w:rsid w:val="00B6445C"/>
    <w:rsid w:val="00B64827"/>
    <w:rsid w:val="00B6551D"/>
    <w:rsid w:val="00B67870"/>
    <w:rsid w:val="00B702CE"/>
    <w:rsid w:val="00B711E4"/>
    <w:rsid w:val="00B7618B"/>
    <w:rsid w:val="00B7769A"/>
    <w:rsid w:val="00B809A0"/>
    <w:rsid w:val="00B84056"/>
    <w:rsid w:val="00B85083"/>
    <w:rsid w:val="00B9279D"/>
    <w:rsid w:val="00B92827"/>
    <w:rsid w:val="00B92C15"/>
    <w:rsid w:val="00B92E97"/>
    <w:rsid w:val="00B939E8"/>
    <w:rsid w:val="00B93ED2"/>
    <w:rsid w:val="00B95B06"/>
    <w:rsid w:val="00B96BDE"/>
    <w:rsid w:val="00BA1D97"/>
    <w:rsid w:val="00BA2C8C"/>
    <w:rsid w:val="00BA4583"/>
    <w:rsid w:val="00BA5170"/>
    <w:rsid w:val="00BA5E3A"/>
    <w:rsid w:val="00BA602C"/>
    <w:rsid w:val="00BA6ACD"/>
    <w:rsid w:val="00BA7354"/>
    <w:rsid w:val="00BB2380"/>
    <w:rsid w:val="00BB56D7"/>
    <w:rsid w:val="00BB6ED8"/>
    <w:rsid w:val="00BB74C6"/>
    <w:rsid w:val="00BB7C55"/>
    <w:rsid w:val="00BC1CDB"/>
    <w:rsid w:val="00BC2A51"/>
    <w:rsid w:val="00BC391B"/>
    <w:rsid w:val="00BC5D3A"/>
    <w:rsid w:val="00BC66BE"/>
    <w:rsid w:val="00BC759B"/>
    <w:rsid w:val="00BD039B"/>
    <w:rsid w:val="00BD0B5F"/>
    <w:rsid w:val="00BD11BA"/>
    <w:rsid w:val="00BD25E6"/>
    <w:rsid w:val="00BD3E66"/>
    <w:rsid w:val="00BD3E93"/>
    <w:rsid w:val="00BE1423"/>
    <w:rsid w:val="00BE1EA9"/>
    <w:rsid w:val="00BE3539"/>
    <w:rsid w:val="00BE3A8E"/>
    <w:rsid w:val="00BE3CD3"/>
    <w:rsid w:val="00BE5095"/>
    <w:rsid w:val="00BE59D8"/>
    <w:rsid w:val="00BE6611"/>
    <w:rsid w:val="00BE7EF2"/>
    <w:rsid w:val="00BF211D"/>
    <w:rsid w:val="00BF40D3"/>
    <w:rsid w:val="00BF4B2E"/>
    <w:rsid w:val="00BF4B40"/>
    <w:rsid w:val="00BF4C67"/>
    <w:rsid w:val="00BF50F6"/>
    <w:rsid w:val="00BF5DE8"/>
    <w:rsid w:val="00BF774D"/>
    <w:rsid w:val="00C00541"/>
    <w:rsid w:val="00C0132A"/>
    <w:rsid w:val="00C030C5"/>
    <w:rsid w:val="00C04C3D"/>
    <w:rsid w:val="00C0534F"/>
    <w:rsid w:val="00C05D78"/>
    <w:rsid w:val="00C06189"/>
    <w:rsid w:val="00C0760E"/>
    <w:rsid w:val="00C076D0"/>
    <w:rsid w:val="00C079D3"/>
    <w:rsid w:val="00C1030A"/>
    <w:rsid w:val="00C11D13"/>
    <w:rsid w:val="00C1495C"/>
    <w:rsid w:val="00C14CF8"/>
    <w:rsid w:val="00C14F1B"/>
    <w:rsid w:val="00C16C03"/>
    <w:rsid w:val="00C22856"/>
    <w:rsid w:val="00C243C3"/>
    <w:rsid w:val="00C250C9"/>
    <w:rsid w:val="00C25A54"/>
    <w:rsid w:val="00C27350"/>
    <w:rsid w:val="00C27C77"/>
    <w:rsid w:val="00C322C6"/>
    <w:rsid w:val="00C3244A"/>
    <w:rsid w:val="00C32B1B"/>
    <w:rsid w:val="00C33370"/>
    <w:rsid w:val="00C3380B"/>
    <w:rsid w:val="00C33D7E"/>
    <w:rsid w:val="00C36038"/>
    <w:rsid w:val="00C36557"/>
    <w:rsid w:val="00C36E30"/>
    <w:rsid w:val="00C41FC8"/>
    <w:rsid w:val="00C4497B"/>
    <w:rsid w:val="00C44D72"/>
    <w:rsid w:val="00C45B18"/>
    <w:rsid w:val="00C46344"/>
    <w:rsid w:val="00C47E4F"/>
    <w:rsid w:val="00C50A41"/>
    <w:rsid w:val="00C51CAD"/>
    <w:rsid w:val="00C5253B"/>
    <w:rsid w:val="00C5437C"/>
    <w:rsid w:val="00C5513A"/>
    <w:rsid w:val="00C56B9E"/>
    <w:rsid w:val="00C5793F"/>
    <w:rsid w:val="00C624AA"/>
    <w:rsid w:val="00C64779"/>
    <w:rsid w:val="00C64C72"/>
    <w:rsid w:val="00C673BD"/>
    <w:rsid w:val="00C675B2"/>
    <w:rsid w:val="00C6764E"/>
    <w:rsid w:val="00C70579"/>
    <w:rsid w:val="00C73863"/>
    <w:rsid w:val="00C75C46"/>
    <w:rsid w:val="00C76415"/>
    <w:rsid w:val="00C77B75"/>
    <w:rsid w:val="00C77FFB"/>
    <w:rsid w:val="00C8084F"/>
    <w:rsid w:val="00C82CB1"/>
    <w:rsid w:val="00C848A1"/>
    <w:rsid w:val="00C869A6"/>
    <w:rsid w:val="00C87F69"/>
    <w:rsid w:val="00C93051"/>
    <w:rsid w:val="00C931A2"/>
    <w:rsid w:val="00C96612"/>
    <w:rsid w:val="00C9734F"/>
    <w:rsid w:val="00C97390"/>
    <w:rsid w:val="00C974BA"/>
    <w:rsid w:val="00CA03DB"/>
    <w:rsid w:val="00CA2B09"/>
    <w:rsid w:val="00CA2F76"/>
    <w:rsid w:val="00CA53C8"/>
    <w:rsid w:val="00CB022E"/>
    <w:rsid w:val="00CB08AD"/>
    <w:rsid w:val="00CB0E50"/>
    <w:rsid w:val="00CB1471"/>
    <w:rsid w:val="00CB3FC5"/>
    <w:rsid w:val="00CB4BBD"/>
    <w:rsid w:val="00CB622C"/>
    <w:rsid w:val="00CB7D5B"/>
    <w:rsid w:val="00CC1004"/>
    <w:rsid w:val="00CC29C7"/>
    <w:rsid w:val="00CC5572"/>
    <w:rsid w:val="00CC55FD"/>
    <w:rsid w:val="00CC5EF3"/>
    <w:rsid w:val="00CD1158"/>
    <w:rsid w:val="00CD1EC9"/>
    <w:rsid w:val="00CD2706"/>
    <w:rsid w:val="00CD28EF"/>
    <w:rsid w:val="00CD2C3A"/>
    <w:rsid w:val="00CD3132"/>
    <w:rsid w:val="00CD372F"/>
    <w:rsid w:val="00CD4B8B"/>
    <w:rsid w:val="00CD716F"/>
    <w:rsid w:val="00CE00BE"/>
    <w:rsid w:val="00CE3838"/>
    <w:rsid w:val="00CE78C0"/>
    <w:rsid w:val="00CF385E"/>
    <w:rsid w:val="00CF3B32"/>
    <w:rsid w:val="00CF4969"/>
    <w:rsid w:val="00CF4D60"/>
    <w:rsid w:val="00CF62D8"/>
    <w:rsid w:val="00D00282"/>
    <w:rsid w:val="00D01C86"/>
    <w:rsid w:val="00D02575"/>
    <w:rsid w:val="00D05EFC"/>
    <w:rsid w:val="00D06E19"/>
    <w:rsid w:val="00D07150"/>
    <w:rsid w:val="00D11E31"/>
    <w:rsid w:val="00D13824"/>
    <w:rsid w:val="00D15F4A"/>
    <w:rsid w:val="00D24870"/>
    <w:rsid w:val="00D25DD3"/>
    <w:rsid w:val="00D26499"/>
    <w:rsid w:val="00D26E24"/>
    <w:rsid w:val="00D30A9B"/>
    <w:rsid w:val="00D311BD"/>
    <w:rsid w:val="00D31FD0"/>
    <w:rsid w:val="00D322D1"/>
    <w:rsid w:val="00D32402"/>
    <w:rsid w:val="00D32CF3"/>
    <w:rsid w:val="00D32D75"/>
    <w:rsid w:val="00D361C7"/>
    <w:rsid w:val="00D36BA4"/>
    <w:rsid w:val="00D36EE3"/>
    <w:rsid w:val="00D36F00"/>
    <w:rsid w:val="00D37410"/>
    <w:rsid w:val="00D404A0"/>
    <w:rsid w:val="00D4059F"/>
    <w:rsid w:val="00D40B74"/>
    <w:rsid w:val="00D40E1F"/>
    <w:rsid w:val="00D422A0"/>
    <w:rsid w:val="00D42A7C"/>
    <w:rsid w:val="00D4333F"/>
    <w:rsid w:val="00D46D2F"/>
    <w:rsid w:val="00D47AC1"/>
    <w:rsid w:val="00D47B93"/>
    <w:rsid w:val="00D504F3"/>
    <w:rsid w:val="00D512F5"/>
    <w:rsid w:val="00D52442"/>
    <w:rsid w:val="00D52B42"/>
    <w:rsid w:val="00D530D2"/>
    <w:rsid w:val="00D64EB1"/>
    <w:rsid w:val="00D6570C"/>
    <w:rsid w:val="00D66E90"/>
    <w:rsid w:val="00D677A7"/>
    <w:rsid w:val="00D67EAC"/>
    <w:rsid w:val="00D73164"/>
    <w:rsid w:val="00D73353"/>
    <w:rsid w:val="00D7426B"/>
    <w:rsid w:val="00D74564"/>
    <w:rsid w:val="00D80CB2"/>
    <w:rsid w:val="00D80E21"/>
    <w:rsid w:val="00D80F22"/>
    <w:rsid w:val="00D82537"/>
    <w:rsid w:val="00D826DE"/>
    <w:rsid w:val="00D83430"/>
    <w:rsid w:val="00D84030"/>
    <w:rsid w:val="00D84E6E"/>
    <w:rsid w:val="00D866C6"/>
    <w:rsid w:val="00D86798"/>
    <w:rsid w:val="00D90ED3"/>
    <w:rsid w:val="00D90F82"/>
    <w:rsid w:val="00D924BB"/>
    <w:rsid w:val="00D939D6"/>
    <w:rsid w:val="00D969E5"/>
    <w:rsid w:val="00D96D29"/>
    <w:rsid w:val="00DA0CB0"/>
    <w:rsid w:val="00DA302F"/>
    <w:rsid w:val="00DA5C66"/>
    <w:rsid w:val="00DA6DF7"/>
    <w:rsid w:val="00DA7A37"/>
    <w:rsid w:val="00DB13EE"/>
    <w:rsid w:val="00DB24A4"/>
    <w:rsid w:val="00DB3ED3"/>
    <w:rsid w:val="00DB4219"/>
    <w:rsid w:val="00DB48E2"/>
    <w:rsid w:val="00DB4E97"/>
    <w:rsid w:val="00DB4F18"/>
    <w:rsid w:val="00DB5206"/>
    <w:rsid w:val="00DB612A"/>
    <w:rsid w:val="00DB71F2"/>
    <w:rsid w:val="00DC0A1A"/>
    <w:rsid w:val="00DC2A67"/>
    <w:rsid w:val="00DC3AB2"/>
    <w:rsid w:val="00DC4BE0"/>
    <w:rsid w:val="00DC78F5"/>
    <w:rsid w:val="00DD2ED7"/>
    <w:rsid w:val="00DD31DA"/>
    <w:rsid w:val="00DD511A"/>
    <w:rsid w:val="00DD5314"/>
    <w:rsid w:val="00DD67E5"/>
    <w:rsid w:val="00DE21FA"/>
    <w:rsid w:val="00DE3DDE"/>
    <w:rsid w:val="00DE4FF4"/>
    <w:rsid w:val="00DE571B"/>
    <w:rsid w:val="00DE60F7"/>
    <w:rsid w:val="00DE724A"/>
    <w:rsid w:val="00DE74A4"/>
    <w:rsid w:val="00DF1AA4"/>
    <w:rsid w:val="00DF1FA9"/>
    <w:rsid w:val="00DF3C9B"/>
    <w:rsid w:val="00DF43EB"/>
    <w:rsid w:val="00DF4972"/>
    <w:rsid w:val="00DF6BFB"/>
    <w:rsid w:val="00E025FB"/>
    <w:rsid w:val="00E02DB3"/>
    <w:rsid w:val="00E0369B"/>
    <w:rsid w:val="00E03899"/>
    <w:rsid w:val="00E05536"/>
    <w:rsid w:val="00E07812"/>
    <w:rsid w:val="00E07A4A"/>
    <w:rsid w:val="00E10340"/>
    <w:rsid w:val="00E11FB1"/>
    <w:rsid w:val="00E216EF"/>
    <w:rsid w:val="00E277C1"/>
    <w:rsid w:val="00E30CEC"/>
    <w:rsid w:val="00E316D9"/>
    <w:rsid w:val="00E31CDF"/>
    <w:rsid w:val="00E35499"/>
    <w:rsid w:val="00E35C33"/>
    <w:rsid w:val="00E368F1"/>
    <w:rsid w:val="00E36C65"/>
    <w:rsid w:val="00E42DBC"/>
    <w:rsid w:val="00E44076"/>
    <w:rsid w:val="00E47E6D"/>
    <w:rsid w:val="00E50A7A"/>
    <w:rsid w:val="00E539F8"/>
    <w:rsid w:val="00E576C2"/>
    <w:rsid w:val="00E60ADB"/>
    <w:rsid w:val="00E61817"/>
    <w:rsid w:val="00E6240D"/>
    <w:rsid w:val="00E67727"/>
    <w:rsid w:val="00E723B6"/>
    <w:rsid w:val="00E76CAB"/>
    <w:rsid w:val="00E77881"/>
    <w:rsid w:val="00E80642"/>
    <w:rsid w:val="00E8099A"/>
    <w:rsid w:val="00E8345D"/>
    <w:rsid w:val="00E83855"/>
    <w:rsid w:val="00E8423E"/>
    <w:rsid w:val="00E850AE"/>
    <w:rsid w:val="00E86AA4"/>
    <w:rsid w:val="00E875E1"/>
    <w:rsid w:val="00E912DD"/>
    <w:rsid w:val="00E91CCF"/>
    <w:rsid w:val="00E9402E"/>
    <w:rsid w:val="00E94A8C"/>
    <w:rsid w:val="00E96389"/>
    <w:rsid w:val="00E97236"/>
    <w:rsid w:val="00EA0008"/>
    <w:rsid w:val="00EA0A49"/>
    <w:rsid w:val="00EA0E0A"/>
    <w:rsid w:val="00EA1574"/>
    <w:rsid w:val="00EA163F"/>
    <w:rsid w:val="00EA1709"/>
    <w:rsid w:val="00EA238C"/>
    <w:rsid w:val="00EA45AD"/>
    <w:rsid w:val="00EA4D78"/>
    <w:rsid w:val="00EA721C"/>
    <w:rsid w:val="00EB46A6"/>
    <w:rsid w:val="00EB51CB"/>
    <w:rsid w:val="00EB6764"/>
    <w:rsid w:val="00EC0E54"/>
    <w:rsid w:val="00EC1A82"/>
    <w:rsid w:val="00EC29BD"/>
    <w:rsid w:val="00EC2F63"/>
    <w:rsid w:val="00EC3DEE"/>
    <w:rsid w:val="00EC4145"/>
    <w:rsid w:val="00EC5755"/>
    <w:rsid w:val="00EC5DBF"/>
    <w:rsid w:val="00ED1398"/>
    <w:rsid w:val="00ED2284"/>
    <w:rsid w:val="00ED2A5C"/>
    <w:rsid w:val="00ED2F68"/>
    <w:rsid w:val="00ED4CF0"/>
    <w:rsid w:val="00ED7830"/>
    <w:rsid w:val="00EE03D5"/>
    <w:rsid w:val="00EE4837"/>
    <w:rsid w:val="00EE52F4"/>
    <w:rsid w:val="00EE68BE"/>
    <w:rsid w:val="00EE6EB7"/>
    <w:rsid w:val="00EF1C56"/>
    <w:rsid w:val="00EF1D1B"/>
    <w:rsid w:val="00EF4896"/>
    <w:rsid w:val="00EF56C5"/>
    <w:rsid w:val="00EF6272"/>
    <w:rsid w:val="00EF65A0"/>
    <w:rsid w:val="00EF6F64"/>
    <w:rsid w:val="00EF7D44"/>
    <w:rsid w:val="00EF7DAD"/>
    <w:rsid w:val="00F00D8B"/>
    <w:rsid w:val="00F0207F"/>
    <w:rsid w:val="00F027E1"/>
    <w:rsid w:val="00F05C8C"/>
    <w:rsid w:val="00F117DA"/>
    <w:rsid w:val="00F129EB"/>
    <w:rsid w:val="00F12B22"/>
    <w:rsid w:val="00F159E8"/>
    <w:rsid w:val="00F15B51"/>
    <w:rsid w:val="00F22B94"/>
    <w:rsid w:val="00F23372"/>
    <w:rsid w:val="00F23797"/>
    <w:rsid w:val="00F241E3"/>
    <w:rsid w:val="00F24610"/>
    <w:rsid w:val="00F275B3"/>
    <w:rsid w:val="00F30B6E"/>
    <w:rsid w:val="00F341DB"/>
    <w:rsid w:val="00F3496D"/>
    <w:rsid w:val="00F34A2A"/>
    <w:rsid w:val="00F35C79"/>
    <w:rsid w:val="00F3671B"/>
    <w:rsid w:val="00F36DE7"/>
    <w:rsid w:val="00F406EE"/>
    <w:rsid w:val="00F42D27"/>
    <w:rsid w:val="00F434C8"/>
    <w:rsid w:val="00F44176"/>
    <w:rsid w:val="00F44504"/>
    <w:rsid w:val="00F46B07"/>
    <w:rsid w:val="00F470F1"/>
    <w:rsid w:val="00F50BB0"/>
    <w:rsid w:val="00F51339"/>
    <w:rsid w:val="00F5282C"/>
    <w:rsid w:val="00F52FE1"/>
    <w:rsid w:val="00F53065"/>
    <w:rsid w:val="00F56E7F"/>
    <w:rsid w:val="00F57BA5"/>
    <w:rsid w:val="00F60DE4"/>
    <w:rsid w:val="00F62956"/>
    <w:rsid w:val="00F64FC2"/>
    <w:rsid w:val="00F702E8"/>
    <w:rsid w:val="00F703AF"/>
    <w:rsid w:val="00F71719"/>
    <w:rsid w:val="00F7223B"/>
    <w:rsid w:val="00F740E0"/>
    <w:rsid w:val="00F7754F"/>
    <w:rsid w:val="00F8013B"/>
    <w:rsid w:val="00F81772"/>
    <w:rsid w:val="00F83629"/>
    <w:rsid w:val="00F837FA"/>
    <w:rsid w:val="00F83D68"/>
    <w:rsid w:val="00F85619"/>
    <w:rsid w:val="00F856B4"/>
    <w:rsid w:val="00F87636"/>
    <w:rsid w:val="00F907BA"/>
    <w:rsid w:val="00F908C1"/>
    <w:rsid w:val="00F90AE1"/>
    <w:rsid w:val="00F9736B"/>
    <w:rsid w:val="00FA10E6"/>
    <w:rsid w:val="00FA1209"/>
    <w:rsid w:val="00FA376D"/>
    <w:rsid w:val="00FA3CCC"/>
    <w:rsid w:val="00FA41A6"/>
    <w:rsid w:val="00FA7716"/>
    <w:rsid w:val="00FA7B6A"/>
    <w:rsid w:val="00FA7BE2"/>
    <w:rsid w:val="00FA7F55"/>
    <w:rsid w:val="00FB0D50"/>
    <w:rsid w:val="00FB0D59"/>
    <w:rsid w:val="00FB23DE"/>
    <w:rsid w:val="00FB2B57"/>
    <w:rsid w:val="00FB4562"/>
    <w:rsid w:val="00FB48B3"/>
    <w:rsid w:val="00FB698A"/>
    <w:rsid w:val="00FC01B5"/>
    <w:rsid w:val="00FC2567"/>
    <w:rsid w:val="00FC7E2D"/>
    <w:rsid w:val="00FC7F94"/>
    <w:rsid w:val="00FD001F"/>
    <w:rsid w:val="00FD0C4A"/>
    <w:rsid w:val="00FD2397"/>
    <w:rsid w:val="00FD40A2"/>
    <w:rsid w:val="00FD58EB"/>
    <w:rsid w:val="00FD68DE"/>
    <w:rsid w:val="00FE2BBD"/>
    <w:rsid w:val="00FE36CD"/>
    <w:rsid w:val="00FE65D3"/>
    <w:rsid w:val="00FE6977"/>
    <w:rsid w:val="00FE7BD4"/>
    <w:rsid w:val="00FF1C40"/>
    <w:rsid w:val="00FF23F5"/>
    <w:rsid w:val="00FF3699"/>
    <w:rsid w:val="00FF40B9"/>
    <w:rsid w:val="00FF4151"/>
    <w:rsid w:val="00FF4666"/>
    <w:rsid w:val="00FF646A"/>
    <w:rsid w:val="00FF7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F881320"/>
  <w15:docId w15:val="{EC8F0F98-9122-454F-9C1F-1FE92862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C65"/>
    <w:pPr>
      <w:spacing w:after="200" w:line="276" w:lineRule="auto"/>
    </w:pPr>
    <w:rPr>
      <w:sz w:val="24"/>
      <w:szCs w:val="24"/>
      <w:lang w:bidi="en-US"/>
    </w:rPr>
  </w:style>
  <w:style w:type="paragraph" w:styleId="Heading1">
    <w:name w:val="heading 1"/>
    <w:basedOn w:val="Normal"/>
    <w:next w:val="Normal"/>
    <w:link w:val="Heading1Char"/>
    <w:uiPriority w:val="9"/>
    <w:qFormat/>
    <w:rsid w:val="00961FB8"/>
    <w:pPr>
      <w:spacing w:before="480" w:after="0"/>
      <w:contextualSpacing/>
      <w:outlineLvl w:val="0"/>
    </w:pPr>
    <w:rPr>
      <w:rFonts w:ascii="Times New Roman Bold" w:hAnsi="Times New Roman Bold"/>
      <w:b/>
      <w:bCs/>
      <w:smallCaps/>
      <w:sz w:val="32"/>
      <w:szCs w:val="28"/>
    </w:rPr>
  </w:style>
  <w:style w:type="paragraph" w:styleId="Heading2">
    <w:name w:val="heading 2"/>
    <w:basedOn w:val="Normal"/>
    <w:next w:val="Normal"/>
    <w:link w:val="Heading2Char"/>
    <w:uiPriority w:val="9"/>
    <w:qFormat/>
    <w:rsid w:val="00C5513A"/>
    <w:pPr>
      <w:spacing w:before="200" w:after="0"/>
      <w:outlineLvl w:val="1"/>
    </w:pPr>
    <w:rPr>
      <w:b/>
      <w:bCs/>
      <w:sz w:val="28"/>
      <w:szCs w:val="26"/>
    </w:rPr>
  </w:style>
  <w:style w:type="paragraph" w:styleId="Heading3">
    <w:name w:val="heading 3"/>
    <w:basedOn w:val="Normal"/>
    <w:next w:val="Normal"/>
    <w:link w:val="Heading3Char"/>
    <w:uiPriority w:val="9"/>
    <w:qFormat/>
    <w:rsid w:val="00C5513A"/>
    <w:pPr>
      <w:spacing w:before="200" w:after="0" w:line="271" w:lineRule="auto"/>
      <w:outlineLvl w:val="2"/>
    </w:pPr>
    <w:rPr>
      <w:bCs/>
      <w:i/>
    </w:rPr>
  </w:style>
  <w:style w:type="paragraph" w:styleId="Heading4">
    <w:name w:val="heading 4"/>
    <w:basedOn w:val="Normal"/>
    <w:next w:val="Normal"/>
    <w:link w:val="Heading4Char"/>
    <w:uiPriority w:val="9"/>
    <w:qFormat/>
    <w:rsid w:val="00431C75"/>
    <w:pPr>
      <w:spacing w:before="200" w:after="0"/>
      <w:outlineLvl w:val="3"/>
    </w:pPr>
    <w:rPr>
      <w:b/>
      <w:bCs/>
      <w:iCs/>
    </w:rPr>
  </w:style>
  <w:style w:type="paragraph" w:styleId="Heading5">
    <w:name w:val="heading 5"/>
    <w:basedOn w:val="Normal"/>
    <w:next w:val="Normal"/>
    <w:link w:val="Heading5Char"/>
    <w:uiPriority w:val="9"/>
    <w:qFormat/>
    <w:rsid w:val="006F7202"/>
    <w:pPr>
      <w:spacing w:before="200" w:after="0"/>
      <w:outlineLvl w:val="4"/>
    </w:pPr>
    <w:rPr>
      <w:b/>
      <w:bCs/>
    </w:rPr>
  </w:style>
  <w:style w:type="paragraph" w:styleId="Heading6">
    <w:name w:val="heading 6"/>
    <w:basedOn w:val="Normal"/>
    <w:next w:val="Normal"/>
    <w:link w:val="Heading6Char"/>
    <w:uiPriority w:val="9"/>
    <w:qFormat/>
    <w:rsid w:val="007E2C65"/>
    <w:pPr>
      <w:spacing w:after="0" w:line="271" w:lineRule="auto"/>
      <w:outlineLvl w:val="5"/>
    </w:pPr>
    <w:rPr>
      <w:b/>
      <w:bCs/>
      <w:i/>
      <w:iCs/>
      <w:color w:val="7F7F7F"/>
    </w:rPr>
  </w:style>
  <w:style w:type="paragraph" w:styleId="Heading7">
    <w:name w:val="heading 7"/>
    <w:basedOn w:val="Normal"/>
    <w:next w:val="Normal"/>
    <w:link w:val="Heading7Char"/>
    <w:uiPriority w:val="9"/>
    <w:qFormat/>
    <w:rsid w:val="007E2C65"/>
    <w:pPr>
      <w:spacing w:after="0"/>
      <w:outlineLvl w:val="6"/>
    </w:pPr>
    <w:rPr>
      <w:i/>
      <w:iCs/>
    </w:rPr>
  </w:style>
  <w:style w:type="paragraph" w:styleId="Heading8">
    <w:name w:val="heading 8"/>
    <w:basedOn w:val="Normal"/>
    <w:next w:val="Normal"/>
    <w:link w:val="Heading8Char"/>
    <w:uiPriority w:val="9"/>
    <w:qFormat/>
    <w:rsid w:val="007E2C65"/>
    <w:pPr>
      <w:spacing w:after="0"/>
      <w:outlineLvl w:val="7"/>
    </w:pPr>
    <w:rPr>
      <w:sz w:val="20"/>
      <w:szCs w:val="20"/>
    </w:rPr>
  </w:style>
  <w:style w:type="paragraph" w:styleId="Heading9">
    <w:name w:val="heading 9"/>
    <w:basedOn w:val="Normal"/>
    <w:next w:val="Normal"/>
    <w:link w:val="Heading9Char"/>
    <w:uiPriority w:val="9"/>
    <w:qFormat/>
    <w:rsid w:val="007E2C65"/>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FB8"/>
    <w:rPr>
      <w:rFonts w:ascii="Times New Roman Bold" w:hAnsi="Times New Roman Bold"/>
      <w:b/>
      <w:bCs/>
      <w:smallCaps/>
      <w:sz w:val="32"/>
      <w:szCs w:val="28"/>
      <w:lang w:bidi="en-US"/>
    </w:rPr>
  </w:style>
  <w:style w:type="character" w:customStyle="1" w:styleId="Heading2Char">
    <w:name w:val="Heading 2 Char"/>
    <w:basedOn w:val="DefaultParagraphFont"/>
    <w:link w:val="Heading2"/>
    <w:uiPriority w:val="9"/>
    <w:rsid w:val="00C5513A"/>
    <w:rPr>
      <w:b/>
      <w:bCs/>
      <w:sz w:val="28"/>
      <w:szCs w:val="26"/>
      <w:lang w:bidi="en-US"/>
    </w:rPr>
  </w:style>
  <w:style w:type="character" w:customStyle="1" w:styleId="Heading3Char">
    <w:name w:val="Heading 3 Char"/>
    <w:basedOn w:val="DefaultParagraphFont"/>
    <w:link w:val="Heading3"/>
    <w:uiPriority w:val="9"/>
    <w:rsid w:val="00C5513A"/>
    <w:rPr>
      <w:bCs/>
      <w:i/>
      <w:sz w:val="24"/>
      <w:szCs w:val="24"/>
      <w:lang w:bidi="en-US"/>
    </w:rPr>
  </w:style>
  <w:style w:type="character" w:customStyle="1" w:styleId="Heading4Char">
    <w:name w:val="Heading 4 Char"/>
    <w:basedOn w:val="DefaultParagraphFont"/>
    <w:link w:val="Heading4"/>
    <w:uiPriority w:val="9"/>
    <w:rsid w:val="00431C75"/>
    <w:rPr>
      <w:b/>
      <w:bCs/>
      <w:iCs/>
      <w:sz w:val="24"/>
      <w:szCs w:val="24"/>
      <w:lang w:bidi="en-US"/>
    </w:rPr>
  </w:style>
  <w:style w:type="character" w:customStyle="1" w:styleId="Heading5Char">
    <w:name w:val="Heading 5 Char"/>
    <w:basedOn w:val="DefaultParagraphFont"/>
    <w:link w:val="Heading5"/>
    <w:uiPriority w:val="9"/>
    <w:rsid w:val="006F7202"/>
    <w:rPr>
      <w:b/>
      <w:bCs/>
      <w:sz w:val="24"/>
      <w:szCs w:val="24"/>
      <w:lang w:bidi="en-US"/>
    </w:rPr>
  </w:style>
  <w:style w:type="character" w:customStyle="1" w:styleId="Heading6Char">
    <w:name w:val="Heading 6 Char"/>
    <w:basedOn w:val="DefaultParagraphFont"/>
    <w:link w:val="Heading6"/>
    <w:uiPriority w:val="9"/>
    <w:semiHidden/>
    <w:rsid w:val="007E2C65"/>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7E2C65"/>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7E2C65"/>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7E2C65"/>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7E2C65"/>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7E2C65"/>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7E2C65"/>
    <w:pPr>
      <w:spacing w:after="600"/>
    </w:pPr>
    <w:rPr>
      <w:i/>
      <w:iCs/>
      <w:spacing w:val="13"/>
    </w:rPr>
  </w:style>
  <w:style w:type="character" w:customStyle="1" w:styleId="SubtitleChar">
    <w:name w:val="Subtitle Char"/>
    <w:basedOn w:val="DefaultParagraphFont"/>
    <w:link w:val="Subtitle"/>
    <w:uiPriority w:val="11"/>
    <w:rsid w:val="007E2C65"/>
    <w:rPr>
      <w:rFonts w:ascii="Times New Roman" w:eastAsia="Times New Roman" w:hAnsi="Times New Roman" w:cs="Times New Roman"/>
      <w:i/>
      <w:iCs/>
      <w:spacing w:val="13"/>
      <w:sz w:val="24"/>
      <w:szCs w:val="24"/>
    </w:rPr>
  </w:style>
  <w:style w:type="character" w:styleId="Strong">
    <w:name w:val="Strong"/>
    <w:uiPriority w:val="22"/>
    <w:qFormat/>
    <w:rsid w:val="007E2C65"/>
    <w:rPr>
      <w:b/>
      <w:bCs/>
    </w:rPr>
  </w:style>
  <w:style w:type="character" w:styleId="Emphasis">
    <w:name w:val="Emphasis"/>
    <w:uiPriority w:val="20"/>
    <w:qFormat/>
    <w:rsid w:val="007E2C65"/>
    <w:rPr>
      <w:b/>
      <w:bCs/>
      <w:i/>
      <w:iCs/>
      <w:spacing w:val="10"/>
      <w:bdr w:val="none" w:sz="0" w:space="0" w:color="auto"/>
      <w:shd w:val="clear" w:color="auto" w:fill="auto"/>
    </w:rPr>
  </w:style>
  <w:style w:type="paragraph" w:styleId="NoSpacing">
    <w:name w:val="No Spacing"/>
    <w:basedOn w:val="Normal"/>
    <w:uiPriority w:val="99"/>
    <w:qFormat/>
    <w:rsid w:val="007E2C65"/>
    <w:pPr>
      <w:spacing w:after="0" w:line="240" w:lineRule="auto"/>
    </w:pPr>
  </w:style>
  <w:style w:type="paragraph" w:styleId="ListParagraph">
    <w:name w:val="List Paragraph"/>
    <w:basedOn w:val="Normal"/>
    <w:uiPriority w:val="99"/>
    <w:qFormat/>
    <w:rsid w:val="007E2C65"/>
    <w:pPr>
      <w:ind w:left="720"/>
      <w:contextualSpacing/>
    </w:pPr>
  </w:style>
  <w:style w:type="paragraph" w:styleId="Quote">
    <w:name w:val="Quote"/>
    <w:basedOn w:val="Normal"/>
    <w:next w:val="Normal"/>
    <w:link w:val="QuoteChar"/>
    <w:uiPriority w:val="29"/>
    <w:qFormat/>
    <w:rsid w:val="007E2C65"/>
    <w:pPr>
      <w:spacing w:before="200" w:after="0"/>
      <w:ind w:left="360" w:right="360"/>
    </w:pPr>
    <w:rPr>
      <w:i/>
      <w:iCs/>
    </w:rPr>
  </w:style>
  <w:style w:type="character" w:customStyle="1" w:styleId="QuoteChar">
    <w:name w:val="Quote Char"/>
    <w:basedOn w:val="DefaultParagraphFont"/>
    <w:link w:val="Quote"/>
    <w:uiPriority w:val="29"/>
    <w:rsid w:val="007E2C65"/>
    <w:rPr>
      <w:i/>
      <w:iCs/>
    </w:rPr>
  </w:style>
  <w:style w:type="paragraph" w:styleId="IntenseQuote">
    <w:name w:val="Intense Quote"/>
    <w:basedOn w:val="Normal"/>
    <w:next w:val="Normal"/>
    <w:link w:val="IntenseQuoteChar"/>
    <w:uiPriority w:val="30"/>
    <w:qFormat/>
    <w:rsid w:val="007E2C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2C65"/>
    <w:rPr>
      <w:b/>
      <w:bCs/>
      <w:i/>
      <w:iCs/>
    </w:rPr>
  </w:style>
  <w:style w:type="character" w:styleId="SubtleEmphasis">
    <w:name w:val="Subtle Emphasis"/>
    <w:uiPriority w:val="19"/>
    <w:qFormat/>
    <w:rsid w:val="007E2C65"/>
    <w:rPr>
      <w:i/>
      <w:iCs/>
    </w:rPr>
  </w:style>
  <w:style w:type="character" w:styleId="IntenseEmphasis">
    <w:name w:val="Intense Emphasis"/>
    <w:uiPriority w:val="21"/>
    <w:qFormat/>
    <w:rsid w:val="007E2C65"/>
    <w:rPr>
      <w:b/>
      <w:bCs/>
    </w:rPr>
  </w:style>
  <w:style w:type="character" w:styleId="SubtleReference">
    <w:name w:val="Subtle Reference"/>
    <w:uiPriority w:val="31"/>
    <w:qFormat/>
    <w:rsid w:val="007E2C65"/>
    <w:rPr>
      <w:smallCaps/>
    </w:rPr>
  </w:style>
  <w:style w:type="character" w:styleId="IntenseReference">
    <w:name w:val="Intense Reference"/>
    <w:uiPriority w:val="32"/>
    <w:qFormat/>
    <w:rsid w:val="007E2C65"/>
    <w:rPr>
      <w:smallCaps/>
      <w:spacing w:val="5"/>
      <w:u w:val="single"/>
    </w:rPr>
  </w:style>
  <w:style w:type="character" w:styleId="BookTitle">
    <w:name w:val="Book Title"/>
    <w:uiPriority w:val="33"/>
    <w:qFormat/>
    <w:rsid w:val="007E2C65"/>
    <w:rPr>
      <w:i/>
      <w:iCs/>
      <w:smallCaps/>
      <w:spacing w:val="5"/>
    </w:rPr>
  </w:style>
  <w:style w:type="paragraph" w:styleId="TOCHeading">
    <w:name w:val="TOC Heading"/>
    <w:basedOn w:val="Heading1"/>
    <w:next w:val="Normal"/>
    <w:uiPriority w:val="39"/>
    <w:qFormat/>
    <w:rsid w:val="007E2C65"/>
    <w:pPr>
      <w:outlineLvl w:val="9"/>
    </w:pPr>
  </w:style>
  <w:style w:type="paragraph" w:styleId="FootnoteText">
    <w:name w:val="footnote text"/>
    <w:basedOn w:val="Normal"/>
    <w:link w:val="FootnoteTextChar"/>
    <w:uiPriority w:val="99"/>
    <w:unhideWhenUsed/>
    <w:rsid w:val="001E7414"/>
    <w:pPr>
      <w:spacing w:after="0" w:line="240" w:lineRule="auto"/>
    </w:pPr>
    <w:rPr>
      <w:sz w:val="20"/>
      <w:szCs w:val="20"/>
    </w:rPr>
  </w:style>
  <w:style w:type="character" w:customStyle="1" w:styleId="FootnoteTextChar">
    <w:name w:val="Footnote Text Char"/>
    <w:basedOn w:val="DefaultParagraphFont"/>
    <w:link w:val="FootnoteText"/>
    <w:uiPriority w:val="99"/>
    <w:rsid w:val="001E7414"/>
    <w:rPr>
      <w:sz w:val="20"/>
      <w:szCs w:val="20"/>
    </w:rPr>
  </w:style>
  <w:style w:type="character" w:styleId="FootnoteReference">
    <w:name w:val="footnote reference"/>
    <w:basedOn w:val="DefaultParagraphFont"/>
    <w:uiPriority w:val="99"/>
    <w:semiHidden/>
    <w:unhideWhenUsed/>
    <w:rsid w:val="001E7414"/>
    <w:rPr>
      <w:vertAlign w:val="superscript"/>
    </w:rPr>
  </w:style>
  <w:style w:type="character" w:styleId="Hyperlink">
    <w:name w:val="Hyperlink"/>
    <w:basedOn w:val="DefaultParagraphFont"/>
    <w:uiPriority w:val="99"/>
    <w:unhideWhenUsed/>
    <w:rsid w:val="007D1744"/>
    <w:rPr>
      <w:color w:val="0000FF"/>
      <w:u w:val="single"/>
    </w:rPr>
  </w:style>
  <w:style w:type="paragraph" w:customStyle="1" w:styleId="Default">
    <w:name w:val="Default"/>
    <w:rsid w:val="007D1744"/>
    <w:pPr>
      <w:autoSpaceDE w:val="0"/>
      <w:autoSpaceDN w:val="0"/>
      <w:adjustRightInd w:val="0"/>
    </w:pPr>
    <w:rPr>
      <w:color w:val="000000"/>
      <w:sz w:val="24"/>
      <w:szCs w:val="24"/>
    </w:rPr>
  </w:style>
  <w:style w:type="paragraph" w:styleId="BodyText">
    <w:name w:val="Body Text"/>
    <w:basedOn w:val="Default"/>
    <w:next w:val="Default"/>
    <w:link w:val="BodyTextChar"/>
    <w:rsid w:val="007D1744"/>
    <w:rPr>
      <w:color w:val="auto"/>
    </w:rPr>
  </w:style>
  <w:style w:type="character" w:customStyle="1" w:styleId="BodyTextChar">
    <w:name w:val="Body Text Char"/>
    <w:basedOn w:val="DefaultParagraphFont"/>
    <w:link w:val="BodyText"/>
    <w:rsid w:val="007D1744"/>
    <w:rPr>
      <w:rFonts w:ascii="Times New Roman" w:eastAsia="Times New Roman" w:hAnsi="Times New Roman" w:cs="Times New Roman"/>
      <w:lang w:bidi="ar-SA"/>
    </w:rPr>
  </w:style>
  <w:style w:type="paragraph" w:styleId="Header">
    <w:name w:val="header"/>
    <w:basedOn w:val="Normal"/>
    <w:link w:val="HeaderChar"/>
    <w:uiPriority w:val="99"/>
    <w:unhideWhenUsed/>
    <w:rsid w:val="007D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744"/>
    <w:rPr>
      <w:rFonts w:ascii="Times New Roman" w:eastAsia="Times New Roman" w:hAnsi="Times New Roman" w:cs="Times New Roman"/>
    </w:rPr>
  </w:style>
  <w:style w:type="paragraph" w:styleId="Footer">
    <w:name w:val="footer"/>
    <w:basedOn w:val="Normal"/>
    <w:link w:val="FooterChar"/>
    <w:uiPriority w:val="99"/>
    <w:unhideWhenUsed/>
    <w:rsid w:val="007D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74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744"/>
    <w:rPr>
      <w:rFonts w:ascii="Tahoma" w:eastAsia="Times New Roman" w:hAnsi="Tahoma" w:cs="Tahoma"/>
      <w:sz w:val="16"/>
      <w:szCs w:val="16"/>
    </w:rPr>
  </w:style>
  <w:style w:type="paragraph" w:styleId="BodyTextIndent2">
    <w:name w:val="Body Text Indent 2"/>
    <w:basedOn w:val="Normal"/>
    <w:link w:val="BodyTextIndent2Char"/>
    <w:semiHidden/>
    <w:rsid w:val="007D1744"/>
    <w:pPr>
      <w:spacing w:after="0" w:line="480" w:lineRule="auto"/>
      <w:ind w:left="1152" w:hanging="1152"/>
      <w:jc w:val="both"/>
    </w:pPr>
    <w:rPr>
      <w:lang w:bidi="ar-SA"/>
    </w:rPr>
  </w:style>
  <w:style w:type="character" w:customStyle="1" w:styleId="BodyTextIndent2Char">
    <w:name w:val="Body Text Indent 2 Char"/>
    <w:basedOn w:val="DefaultParagraphFont"/>
    <w:link w:val="BodyTextIndent2"/>
    <w:semiHidden/>
    <w:rsid w:val="007D1744"/>
    <w:rPr>
      <w:rFonts w:ascii="Times New Roman" w:eastAsia="Times New Roman" w:hAnsi="Times New Roman" w:cs="Times New Roman"/>
      <w:lang w:bidi="ar-SA"/>
    </w:rPr>
  </w:style>
  <w:style w:type="paragraph" w:customStyle="1" w:styleId="body-paragraph">
    <w:name w:val="body-paragraph"/>
    <w:basedOn w:val="Normal"/>
    <w:rsid w:val="007D1744"/>
    <w:pPr>
      <w:spacing w:before="100" w:beforeAutospacing="1" w:after="100" w:afterAutospacing="1" w:line="240" w:lineRule="auto"/>
    </w:pPr>
    <w:rPr>
      <w:lang w:bidi="ar-SA"/>
    </w:rPr>
  </w:style>
  <w:style w:type="character" w:customStyle="1" w:styleId="updated-short-citation">
    <w:name w:val="updated-short-citation"/>
    <w:basedOn w:val="DefaultParagraphFont"/>
    <w:rsid w:val="007D1744"/>
  </w:style>
  <w:style w:type="character" w:customStyle="1" w:styleId="title-link-wrapper">
    <w:name w:val="title-link-wrapper"/>
    <w:basedOn w:val="DefaultParagraphFont"/>
    <w:rsid w:val="007D1744"/>
  </w:style>
  <w:style w:type="character" w:customStyle="1" w:styleId="hidden">
    <w:name w:val="hidden"/>
    <w:basedOn w:val="DefaultParagraphFont"/>
    <w:rsid w:val="007D1744"/>
  </w:style>
  <w:style w:type="character" w:customStyle="1" w:styleId="medium-font">
    <w:name w:val="medium-font"/>
    <w:basedOn w:val="DefaultParagraphFont"/>
    <w:rsid w:val="007D1744"/>
  </w:style>
  <w:style w:type="paragraph" w:styleId="NormalWeb">
    <w:name w:val="Normal (Web)"/>
    <w:basedOn w:val="Normal"/>
    <w:uiPriority w:val="99"/>
    <w:unhideWhenUsed/>
    <w:rsid w:val="007D1744"/>
    <w:pPr>
      <w:spacing w:before="100" w:beforeAutospacing="1" w:after="100" w:afterAutospacing="1" w:line="240" w:lineRule="auto"/>
    </w:pPr>
    <w:rPr>
      <w:lang w:bidi="ar-SA"/>
    </w:rPr>
  </w:style>
  <w:style w:type="character" w:customStyle="1" w:styleId="verdana">
    <w:name w:val="verdana"/>
    <w:basedOn w:val="DefaultParagraphFont"/>
    <w:rsid w:val="007D1744"/>
  </w:style>
  <w:style w:type="character" w:customStyle="1" w:styleId="ssl0">
    <w:name w:val="ss_l0"/>
    <w:basedOn w:val="DefaultParagraphFont"/>
    <w:rsid w:val="007D1744"/>
  </w:style>
  <w:style w:type="character" w:customStyle="1" w:styleId="hit">
    <w:name w:val="hit"/>
    <w:basedOn w:val="DefaultParagraphFont"/>
    <w:rsid w:val="007D1744"/>
  </w:style>
  <w:style w:type="paragraph" w:customStyle="1" w:styleId="loose">
    <w:name w:val="loose"/>
    <w:basedOn w:val="Normal"/>
    <w:rsid w:val="007D1744"/>
    <w:pPr>
      <w:spacing w:before="100" w:beforeAutospacing="1" w:after="100" w:afterAutospacing="1" w:line="240" w:lineRule="auto"/>
    </w:pPr>
    <w:rPr>
      <w:lang w:bidi="ar-SA"/>
    </w:rPr>
  </w:style>
  <w:style w:type="character" w:customStyle="1" w:styleId="bold">
    <w:name w:val="bold"/>
    <w:basedOn w:val="DefaultParagraphFont"/>
    <w:rsid w:val="007D1744"/>
  </w:style>
  <w:style w:type="character" w:customStyle="1" w:styleId="tightinline">
    <w:name w:val="tightinline"/>
    <w:basedOn w:val="DefaultParagraphFont"/>
    <w:rsid w:val="007D1744"/>
  </w:style>
  <w:style w:type="character" w:customStyle="1" w:styleId="tooltipcontentwrapper">
    <w:name w:val="tooltipcontentwrapper"/>
    <w:basedOn w:val="DefaultParagraphFont"/>
    <w:rsid w:val="007D1744"/>
  </w:style>
  <w:style w:type="character" w:customStyle="1" w:styleId="tooltipcontent">
    <w:name w:val="tooltipcontent"/>
    <w:basedOn w:val="DefaultParagraphFont"/>
    <w:rsid w:val="007D1744"/>
  </w:style>
  <w:style w:type="character" w:customStyle="1" w:styleId="termhighlight">
    <w:name w:val="termhighlight"/>
    <w:basedOn w:val="DefaultParagraphFont"/>
    <w:rsid w:val="007D1744"/>
  </w:style>
  <w:style w:type="character" w:customStyle="1" w:styleId="bodytext0">
    <w:name w:val="bodytext"/>
    <w:basedOn w:val="DefaultParagraphFont"/>
    <w:uiPriority w:val="99"/>
    <w:rsid w:val="007D1744"/>
    <w:rPr>
      <w:rFonts w:cs="Times New Roman"/>
    </w:rPr>
  </w:style>
  <w:style w:type="character" w:customStyle="1" w:styleId="title-link-wrapper1">
    <w:name w:val="title-link-wrapper1"/>
    <w:basedOn w:val="DefaultParagraphFont"/>
    <w:rsid w:val="007D1744"/>
    <w:rPr>
      <w:vanish w:val="0"/>
      <w:webHidden w:val="0"/>
      <w:specVanish w:val="0"/>
    </w:rPr>
  </w:style>
  <w:style w:type="character" w:customStyle="1" w:styleId="medium-font1">
    <w:name w:val="medium-font1"/>
    <w:basedOn w:val="DefaultParagraphFont"/>
    <w:rsid w:val="007D1744"/>
    <w:rPr>
      <w:sz w:val="19"/>
      <w:szCs w:val="19"/>
    </w:rPr>
  </w:style>
  <w:style w:type="character" w:customStyle="1" w:styleId="footnotetex">
    <w:name w:val="footnote tex"/>
    <w:rsid w:val="007D1744"/>
  </w:style>
  <w:style w:type="character" w:styleId="FollowedHyperlink">
    <w:name w:val="FollowedHyperlink"/>
    <w:basedOn w:val="DefaultParagraphFont"/>
    <w:uiPriority w:val="99"/>
    <w:semiHidden/>
    <w:unhideWhenUsed/>
    <w:rsid w:val="001D1E35"/>
    <w:rPr>
      <w:color w:val="800080"/>
      <w:u w:val="single"/>
    </w:rPr>
  </w:style>
  <w:style w:type="paragraph" w:styleId="EndnoteText">
    <w:name w:val="endnote text"/>
    <w:basedOn w:val="Normal"/>
    <w:link w:val="EndnoteTextChar"/>
    <w:uiPriority w:val="99"/>
    <w:semiHidden/>
    <w:unhideWhenUsed/>
    <w:rsid w:val="00480C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CDD"/>
    <w:rPr>
      <w:sz w:val="20"/>
      <w:szCs w:val="20"/>
    </w:rPr>
  </w:style>
  <w:style w:type="character" w:styleId="EndnoteReference">
    <w:name w:val="endnote reference"/>
    <w:basedOn w:val="DefaultParagraphFont"/>
    <w:uiPriority w:val="99"/>
    <w:semiHidden/>
    <w:unhideWhenUsed/>
    <w:rsid w:val="00480CDD"/>
    <w:rPr>
      <w:vertAlign w:val="superscript"/>
    </w:rPr>
  </w:style>
  <w:style w:type="character" w:styleId="CommentReference">
    <w:name w:val="annotation reference"/>
    <w:basedOn w:val="DefaultParagraphFont"/>
    <w:semiHidden/>
    <w:rsid w:val="00A21ABB"/>
    <w:rPr>
      <w:sz w:val="16"/>
      <w:szCs w:val="16"/>
    </w:rPr>
  </w:style>
  <w:style w:type="paragraph" w:styleId="CommentText">
    <w:name w:val="annotation text"/>
    <w:basedOn w:val="Normal"/>
    <w:semiHidden/>
    <w:rsid w:val="00A21ABB"/>
    <w:rPr>
      <w:sz w:val="20"/>
      <w:szCs w:val="20"/>
    </w:rPr>
  </w:style>
  <w:style w:type="paragraph" w:styleId="CommentSubject">
    <w:name w:val="annotation subject"/>
    <w:basedOn w:val="CommentText"/>
    <w:next w:val="CommentText"/>
    <w:semiHidden/>
    <w:rsid w:val="00A21ABB"/>
    <w:rPr>
      <w:b/>
      <w:bCs/>
    </w:rPr>
  </w:style>
  <w:style w:type="table" w:styleId="TableGrid">
    <w:name w:val="Table Grid"/>
    <w:basedOn w:val="TableNormal"/>
    <w:uiPriority w:val="59"/>
    <w:rsid w:val="00FE6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DefaultParagraphFont"/>
    <w:rsid w:val="00E368F1"/>
  </w:style>
  <w:style w:type="character" w:customStyle="1" w:styleId="standard-view-style">
    <w:name w:val="standard-view-style"/>
    <w:basedOn w:val="DefaultParagraphFont"/>
    <w:rsid w:val="003D4E5E"/>
  </w:style>
  <w:style w:type="paragraph" w:styleId="TOC1">
    <w:name w:val="toc 1"/>
    <w:basedOn w:val="Normal"/>
    <w:next w:val="Normal"/>
    <w:autoRedefine/>
    <w:uiPriority w:val="39"/>
    <w:unhideWhenUsed/>
    <w:rsid w:val="00FE36CD"/>
    <w:pPr>
      <w:spacing w:after="100"/>
    </w:pPr>
  </w:style>
  <w:style w:type="paragraph" w:styleId="TOC2">
    <w:name w:val="toc 2"/>
    <w:basedOn w:val="Normal"/>
    <w:next w:val="Normal"/>
    <w:autoRedefine/>
    <w:uiPriority w:val="39"/>
    <w:unhideWhenUsed/>
    <w:rsid w:val="00FE36CD"/>
    <w:pPr>
      <w:spacing w:after="100"/>
      <w:ind w:left="240"/>
    </w:pPr>
  </w:style>
  <w:style w:type="paragraph" w:styleId="TOC3">
    <w:name w:val="toc 3"/>
    <w:basedOn w:val="Normal"/>
    <w:next w:val="Normal"/>
    <w:autoRedefine/>
    <w:uiPriority w:val="39"/>
    <w:unhideWhenUsed/>
    <w:rsid w:val="00FE36CD"/>
    <w:pPr>
      <w:spacing w:after="100"/>
      <w:ind w:left="480"/>
    </w:pPr>
  </w:style>
  <w:style w:type="paragraph" w:styleId="Caption">
    <w:name w:val="caption"/>
    <w:basedOn w:val="Normal"/>
    <w:next w:val="Normal"/>
    <w:uiPriority w:val="35"/>
    <w:unhideWhenUsed/>
    <w:qFormat/>
    <w:rsid w:val="00C93051"/>
    <w:pPr>
      <w:spacing w:line="240" w:lineRule="auto"/>
    </w:pPr>
    <w:rPr>
      <w:i/>
      <w:iCs/>
      <w:color w:val="1F497D" w:themeColor="text2"/>
      <w:sz w:val="18"/>
      <w:szCs w:val="18"/>
    </w:rPr>
  </w:style>
  <w:style w:type="paragraph" w:styleId="TableofFigures">
    <w:name w:val="table of figures"/>
    <w:basedOn w:val="Heading4"/>
    <w:next w:val="Normal"/>
    <w:uiPriority w:val="99"/>
    <w:unhideWhenUsed/>
    <w:rsid w:val="00C9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0535">
      <w:bodyDiv w:val="1"/>
      <w:marLeft w:val="0"/>
      <w:marRight w:val="0"/>
      <w:marTop w:val="0"/>
      <w:marBottom w:val="0"/>
      <w:divBdr>
        <w:top w:val="none" w:sz="0" w:space="0" w:color="auto"/>
        <w:left w:val="none" w:sz="0" w:space="0" w:color="auto"/>
        <w:bottom w:val="none" w:sz="0" w:space="0" w:color="auto"/>
        <w:right w:val="none" w:sz="0" w:space="0" w:color="auto"/>
      </w:divBdr>
    </w:div>
    <w:div w:id="178400056">
      <w:bodyDiv w:val="1"/>
      <w:marLeft w:val="0"/>
      <w:marRight w:val="0"/>
      <w:marTop w:val="0"/>
      <w:marBottom w:val="0"/>
      <w:divBdr>
        <w:top w:val="none" w:sz="0" w:space="0" w:color="auto"/>
        <w:left w:val="none" w:sz="0" w:space="0" w:color="auto"/>
        <w:bottom w:val="none" w:sz="0" w:space="0" w:color="auto"/>
        <w:right w:val="none" w:sz="0" w:space="0" w:color="auto"/>
      </w:divBdr>
    </w:div>
    <w:div w:id="183717374">
      <w:bodyDiv w:val="1"/>
      <w:marLeft w:val="0"/>
      <w:marRight w:val="0"/>
      <w:marTop w:val="0"/>
      <w:marBottom w:val="0"/>
      <w:divBdr>
        <w:top w:val="none" w:sz="0" w:space="0" w:color="auto"/>
        <w:left w:val="none" w:sz="0" w:space="0" w:color="auto"/>
        <w:bottom w:val="none" w:sz="0" w:space="0" w:color="auto"/>
        <w:right w:val="none" w:sz="0" w:space="0" w:color="auto"/>
      </w:divBdr>
    </w:div>
    <w:div w:id="207761538">
      <w:bodyDiv w:val="1"/>
      <w:marLeft w:val="0"/>
      <w:marRight w:val="0"/>
      <w:marTop w:val="0"/>
      <w:marBottom w:val="0"/>
      <w:divBdr>
        <w:top w:val="none" w:sz="0" w:space="0" w:color="auto"/>
        <w:left w:val="none" w:sz="0" w:space="0" w:color="auto"/>
        <w:bottom w:val="none" w:sz="0" w:space="0" w:color="auto"/>
        <w:right w:val="none" w:sz="0" w:space="0" w:color="auto"/>
      </w:divBdr>
    </w:div>
    <w:div w:id="276059295">
      <w:bodyDiv w:val="1"/>
      <w:marLeft w:val="0"/>
      <w:marRight w:val="0"/>
      <w:marTop w:val="0"/>
      <w:marBottom w:val="0"/>
      <w:divBdr>
        <w:top w:val="none" w:sz="0" w:space="0" w:color="auto"/>
        <w:left w:val="none" w:sz="0" w:space="0" w:color="auto"/>
        <w:bottom w:val="none" w:sz="0" w:space="0" w:color="auto"/>
        <w:right w:val="none" w:sz="0" w:space="0" w:color="auto"/>
      </w:divBdr>
    </w:div>
    <w:div w:id="340620306">
      <w:bodyDiv w:val="1"/>
      <w:marLeft w:val="0"/>
      <w:marRight w:val="0"/>
      <w:marTop w:val="0"/>
      <w:marBottom w:val="0"/>
      <w:divBdr>
        <w:top w:val="none" w:sz="0" w:space="0" w:color="auto"/>
        <w:left w:val="none" w:sz="0" w:space="0" w:color="auto"/>
        <w:bottom w:val="none" w:sz="0" w:space="0" w:color="auto"/>
        <w:right w:val="none" w:sz="0" w:space="0" w:color="auto"/>
      </w:divBdr>
    </w:div>
    <w:div w:id="418526084">
      <w:bodyDiv w:val="1"/>
      <w:marLeft w:val="0"/>
      <w:marRight w:val="0"/>
      <w:marTop w:val="0"/>
      <w:marBottom w:val="0"/>
      <w:divBdr>
        <w:top w:val="none" w:sz="0" w:space="0" w:color="auto"/>
        <w:left w:val="none" w:sz="0" w:space="0" w:color="auto"/>
        <w:bottom w:val="none" w:sz="0" w:space="0" w:color="auto"/>
        <w:right w:val="none" w:sz="0" w:space="0" w:color="auto"/>
      </w:divBdr>
    </w:div>
    <w:div w:id="522480276">
      <w:bodyDiv w:val="1"/>
      <w:marLeft w:val="0"/>
      <w:marRight w:val="0"/>
      <w:marTop w:val="0"/>
      <w:marBottom w:val="0"/>
      <w:divBdr>
        <w:top w:val="none" w:sz="0" w:space="0" w:color="auto"/>
        <w:left w:val="none" w:sz="0" w:space="0" w:color="auto"/>
        <w:bottom w:val="none" w:sz="0" w:space="0" w:color="auto"/>
        <w:right w:val="none" w:sz="0" w:space="0" w:color="auto"/>
      </w:divBdr>
    </w:div>
    <w:div w:id="543100904">
      <w:bodyDiv w:val="1"/>
      <w:marLeft w:val="0"/>
      <w:marRight w:val="0"/>
      <w:marTop w:val="0"/>
      <w:marBottom w:val="0"/>
      <w:divBdr>
        <w:top w:val="none" w:sz="0" w:space="0" w:color="auto"/>
        <w:left w:val="none" w:sz="0" w:space="0" w:color="auto"/>
        <w:bottom w:val="none" w:sz="0" w:space="0" w:color="auto"/>
        <w:right w:val="none" w:sz="0" w:space="0" w:color="auto"/>
      </w:divBdr>
    </w:div>
    <w:div w:id="659233450">
      <w:bodyDiv w:val="1"/>
      <w:marLeft w:val="0"/>
      <w:marRight w:val="0"/>
      <w:marTop w:val="0"/>
      <w:marBottom w:val="0"/>
      <w:divBdr>
        <w:top w:val="none" w:sz="0" w:space="0" w:color="auto"/>
        <w:left w:val="none" w:sz="0" w:space="0" w:color="auto"/>
        <w:bottom w:val="none" w:sz="0" w:space="0" w:color="auto"/>
        <w:right w:val="none" w:sz="0" w:space="0" w:color="auto"/>
      </w:divBdr>
    </w:div>
    <w:div w:id="666903858">
      <w:bodyDiv w:val="1"/>
      <w:marLeft w:val="0"/>
      <w:marRight w:val="0"/>
      <w:marTop w:val="0"/>
      <w:marBottom w:val="0"/>
      <w:divBdr>
        <w:top w:val="none" w:sz="0" w:space="0" w:color="auto"/>
        <w:left w:val="none" w:sz="0" w:space="0" w:color="auto"/>
        <w:bottom w:val="none" w:sz="0" w:space="0" w:color="auto"/>
        <w:right w:val="none" w:sz="0" w:space="0" w:color="auto"/>
      </w:divBdr>
    </w:div>
    <w:div w:id="731007938">
      <w:bodyDiv w:val="1"/>
      <w:marLeft w:val="0"/>
      <w:marRight w:val="0"/>
      <w:marTop w:val="0"/>
      <w:marBottom w:val="0"/>
      <w:divBdr>
        <w:top w:val="none" w:sz="0" w:space="0" w:color="auto"/>
        <w:left w:val="none" w:sz="0" w:space="0" w:color="auto"/>
        <w:bottom w:val="none" w:sz="0" w:space="0" w:color="auto"/>
        <w:right w:val="none" w:sz="0" w:space="0" w:color="auto"/>
      </w:divBdr>
    </w:div>
    <w:div w:id="752043498">
      <w:bodyDiv w:val="1"/>
      <w:marLeft w:val="0"/>
      <w:marRight w:val="0"/>
      <w:marTop w:val="0"/>
      <w:marBottom w:val="0"/>
      <w:divBdr>
        <w:top w:val="none" w:sz="0" w:space="0" w:color="auto"/>
        <w:left w:val="none" w:sz="0" w:space="0" w:color="auto"/>
        <w:bottom w:val="none" w:sz="0" w:space="0" w:color="auto"/>
        <w:right w:val="none" w:sz="0" w:space="0" w:color="auto"/>
      </w:divBdr>
    </w:div>
    <w:div w:id="830023986">
      <w:bodyDiv w:val="1"/>
      <w:marLeft w:val="0"/>
      <w:marRight w:val="0"/>
      <w:marTop w:val="0"/>
      <w:marBottom w:val="0"/>
      <w:divBdr>
        <w:top w:val="none" w:sz="0" w:space="0" w:color="auto"/>
        <w:left w:val="none" w:sz="0" w:space="0" w:color="auto"/>
        <w:bottom w:val="none" w:sz="0" w:space="0" w:color="auto"/>
        <w:right w:val="none" w:sz="0" w:space="0" w:color="auto"/>
      </w:divBdr>
    </w:div>
    <w:div w:id="866793985">
      <w:bodyDiv w:val="1"/>
      <w:marLeft w:val="0"/>
      <w:marRight w:val="0"/>
      <w:marTop w:val="0"/>
      <w:marBottom w:val="0"/>
      <w:divBdr>
        <w:top w:val="none" w:sz="0" w:space="0" w:color="auto"/>
        <w:left w:val="none" w:sz="0" w:space="0" w:color="auto"/>
        <w:bottom w:val="none" w:sz="0" w:space="0" w:color="auto"/>
        <w:right w:val="none" w:sz="0" w:space="0" w:color="auto"/>
      </w:divBdr>
    </w:div>
    <w:div w:id="939797655">
      <w:bodyDiv w:val="1"/>
      <w:marLeft w:val="0"/>
      <w:marRight w:val="0"/>
      <w:marTop w:val="0"/>
      <w:marBottom w:val="0"/>
      <w:divBdr>
        <w:top w:val="none" w:sz="0" w:space="0" w:color="auto"/>
        <w:left w:val="none" w:sz="0" w:space="0" w:color="auto"/>
        <w:bottom w:val="none" w:sz="0" w:space="0" w:color="auto"/>
        <w:right w:val="none" w:sz="0" w:space="0" w:color="auto"/>
      </w:divBdr>
    </w:div>
    <w:div w:id="970207148">
      <w:bodyDiv w:val="1"/>
      <w:marLeft w:val="0"/>
      <w:marRight w:val="0"/>
      <w:marTop w:val="0"/>
      <w:marBottom w:val="0"/>
      <w:divBdr>
        <w:top w:val="none" w:sz="0" w:space="0" w:color="auto"/>
        <w:left w:val="none" w:sz="0" w:space="0" w:color="auto"/>
        <w:bottom w:val="none" w:sz="0" w:space="0" w:color="auto"/>
        <w:right w:val="none" w:sz="0" w:space="0" w:color="auto"/>
      </w:divBdr>
    </w:div>
    <w:div w:id="1007556689">
      <w:bodyDiv w:val="1"/>
      <w:marLeft w:val="0"/>
      <w:marRight w:val="0"/>
      <w:marTop w:val="0"/>
      <w:marBottom w:val="0"/>
      <w:divBdr>
        <w:top w:val="none" w:sz="0" w:space="0" w:color="auto"/>
        <w:left w:val="none" w:sz="0" w:space="0" w:color="auto"/>
        <w:bottom w:val="none" w:sz="0" w:space="0" w:color="auto"/>
        <w:right w:val="none" w:sz="0" w:space="0" w:color="auto"/>
      </w:divBdr>
      <w:divsChild>
        <w:div w:id="2013946108">
          <w:marLeft w:val="0"/>
          <w:marRight w:val="0"/>
          <w:marTop w:val="0"/>
          <w:marBottom w:val="0"/>
          <w:divBdr>
            <w:top w:val="none" w:sz="0" w:space="0" w:color="auto"/>
            <w:left w:val="none" w:sz="0" w:space="0" w:color="auto"/>
            <w:bottom w:val="none" w:sz="0" w:space="0" w:color="auto"/>
            <w:right w:val="none" w:sz="0" w:space="0" w:color="auto"/>
          </w:divBdr>
        </w:div>
      </w:divsChild>
    </w:div>
    <w:div w:id="1012027499">
      <w:bodyDiv w:val="1"/>
      <w:marLeft w:val="0"/>
      <w:marRight w:val="0"/>
      <w:marTop w:val="0"/>
      <w:marBottom w:val="0"/>
      <w:divBdr>
        <w:top w:val="none" w:sz="0" w:space="0" w:color="auto"/>
        <w:left w:val="none" w:sz="0" w:space="0" w:color="auto"/>
        <w:bottom w:val="none" w:sz="0" w:space="0" w:color="auto"/>
        <w:right w:val="none" w:sz="0" w:space="0" w:color="auto"/>
      </w:divBdr>
    </w:div>
    <w:div w:id="1022709180">
      <w:bodyDiv w:val="1"/>
      <w:marLeft w:val="0"/>
      <w:marRight w:val="0"/>
      <w:marTop w:val="0"/>
      <w:marBottom w:val="0"/>
      <w:divBdr>
        <w:top w:val="none" w:sz="0" w:space="0" w:color="auto"/>
        <w:left w:val="none" w:sz="0" w:space="0" w:color="auto"/>
        <w:bottom w:val="none" w:sz="0" w:space="0" w:color="auto"/>
        <w:right w:val="none" w:sz="0" w:space="0" w:color="auto"/>
      </w:divBdr>
    </w:div>
    <w:div w:id="1027103088">
      <w:bodyDiv w:val="1"/>
      <w:marLeft w:val="0"/>
      <w:marRight w:val="0"/>
      <w:marTop w:val="0"/>
      <w:marBottom w:val="0"/>
      <w:divBdr>
        <w:top w:val="none" w:sz="0" w:space="0" w:color="auto"/>
        <w:left w:val="none" w:sz="0" w:space="0" w:color="auto"/>
        <w:bottom w:val="none" w:sz="0" w:space="0" w:color="auto"/>
        <w:right w:val="none" w:sz="0" w:space="0" w:color="auto"/>
      </w:divBdr>
    </w:div>
    <w:div w:id="1043479907">
      <w:bodyDiv w:val="1"/>
      <w:marLeft w:val="0"/>
      <w:marRight w:val="0"/>
      <w:marTop w:val="0"/>
      <w:marBottom w:val="0"/>
      <w:divBdr>
        <w:top w:val="none" w:sz="0" w:space="0" w:color="auto"/>
        <w:left w:val="none" w:sz="0" w:space="0" w:color="auto"/>
        <w:bottom w:val="none" w:sz="0" w:space="0" w:color="auto"/>
        <w:right w:val="none" w:sz="0" w:space="0" w:color="auto"/>
      </w:divBdr>
    </w:div>
    <w:div w:id="1103498827">
      <w:bodyDiv w:val="1"/>
      <w:marLeft w:val="0"/>
      <w:marRight w:val="0"/>
      <w:marTop w:val="0"/>
      <w:marBottom w:val="0"/>
      <w:divBdr>
        <w:top w:val="none" w:sz="0" w:space="0" w:color="auto"/>
        <w:left w:val="none" w:sz="0" w:space="0" w:color="auto"/>
        <w:bottom w:val="none" w:sz="0" w:space="0" w:color="auto"/>
        <w:right w:val="none" w:sz="0" w:space="0" w:color="auto"/>
      </w:divBdr>
    </w:div>
    <w:div w:id="1244871543">
      <w:bodyDiv w:val="1"/>
      <w:marLeft w:val="0"/>
      <w:marRight w:val="0"/>
      <w:marTop w:val="0"/>
      <w:marBottom w:val="0"/>
      <w:divBdr>
        <w:top w:val="none" w:sz="0" w:space="0" w:color="auto"/>
        <w:left w:val="none" w:sz="0" w:space="0" w:color="auto"/>
        <w:bottom w:val="none" w:sz="0" w:space="0" w:color="auto"/>
        <w:right w:val="none" w:sz="0" w:space="0" w:color="auto"/>
      </w:divBdr>
    </w:div>
    <w:div w:id="1297877097">
      <w:bodyDiv w:val="1"/>
      <w:marLeft w:val="0"/>
      <w:marRight w:val="0"/>
      <w:marTop w:val="0"/>
      <w:marBottom w:val="0"/>
      <w:divBdr>
        <w:top w:val="none" w:sz="0" w:space="0" w:color="auto"/>
        <w:left w:val="none" w:sz="0" w:space="0" w:color="auto"/>
        <w:bottom w:val="none" w:sz="0" w:space="0" w:color="auto"/>
        <w:right w:val="none" w:sz="0" w:space="0" w:color="auto"/>
      </w:divBdr>
    </w:div>
    <w:div w:id="1365132153">
      <w:bodyDiv w:val="1"/>
      <w:marLeft w:val="0"/>
      <w:marRight w:val="0"/>
      <w:marTop w:val="0"/>
      <w:marBottom w:val="0"/>
      <w:divBdr>
        <w:top w:val="none" w:sz="0" w:space="0" w:color="auto"/>
        <w:left w:val="none" w:sz="0" w:space="0" w:color="auto"/>
        <w:bottom w:val="none" w:sz="0" w:space="0" w:color="auto"/>
        <w:right w:val="none" w:sz="0" w:space="0" w:color="auto"/>
      </w:divBdr>
    </w:div>
    <w:div w:id="1414743811">
      <w:bodyDiv w:val="1"/>
      <w:marLeft w:val="0"/>
      <w:marRight w:val="0"/>
      <w:marTop w:val="0"/>
      <w:marBottom w:val="0"/>
      <w:divBdr>
        <w:top w:val="none" w:sz="0" w:space="0" w:color="auto"/>
        <w:left w:val="none" w:sz="0" w:space="0" w:color="auto"/>
        <w:bottom w:val="none" w:sz="0" w:space="0" w:color="auto"/>
        <w:right w:val="none" w:sz="0" w:space="0" w:color="auto"/>
      </w:divBdr>
    </w:div>
    <w:div w:id="1430350014">
      <w:bodyDiv w:val="1"/>
      <w:marLeft w:val="0"/>
      <w:marRight w:val="0"/>
      <w:marTop w:val="0"/>
      <w:marBottom w:val="0"/>
      <w:divBdr>
        <w:top w:val="none" w:sz="0" w:space="0" w:color="auto"/>
        <w:left w:val="none" w:sz="0" w:space="0" w:color="auto"/>
        <w:bottom w:val="none" w:sz="0" w:space="0" w:color="auto"/>
        <w:right w:val="none" w:sz="0" w:space="0" w:color="auto"/>
      </w:divBdr>
    </w:div>
    <w:div w:id="1459568239">
      <w:bodyDiv w:val="1"/>
      <w:marLeft w:val="0"/>
      <w:marRight w:val="0"/>
      <w:marTop w:val="0"/>
      <w:marBottom w:val="0"/>
      <w:divBdr>
        <w:top w:val="none" w:sz="0" w:space="0" w:color="auto"/>
        <w:left w:val="none" w:sz="0" w:space="0" w:color="auto"/>
        <w:bottom w:val="none" w:sz="0" w:space="0" w:color="auto"/>
        <w:right w:val="none" w:sz="0" w:space="0" w:color="auto"/>
      </w:divBdr>
    </w:div>
    <w:div w:id="1502508534">
      <w:bodyDiv w:val="1"/>
      <w:marLeft w:val="0"/>
      <w:marRight w:val="0"/>
      <w:marTop w:val="0"/>
      <w:marBottom w:val="0"/>
      <w:divBdr>
        <w:top w:val="none" w:sz="0" w:space="0" w:color="auto"/>
        <w:left w:val="none" w:sz="0" w:space="0" w:color="auto"/>
        <w:bottom w:val="none" w:sz="0" w:space="0" w:color="auto"/>
        <w:right w:val="none" w:sz="0" w:space="0" w:color="auto"/>
      </w:divBdr>
    </w:div>
    <w:div w:id="1510020005">
      <w:bodyDiv w:val="1"/>
      <w:marLeft w:val="0"/>
      <w:marRight w:val="0"/>
      <w:marTop w:val="0"/>
      <w:marBottom w:val="0"/>
      <w:divBdr>
        <w:top w:val="none" w:sz="0" w:space="0" w:color="auto"/>
        <w:left w:val="none" w:sz="0" w:space="0" w:color="auto"/>
        <w:bottom w:val="none" w:sz="0" w:space="0" w:color="auto"/>
        <w:right w:val="none" w:sz="0" w:space="0" w:color="auto"/>
      </w:divBdr>
    </w:div>
    <w:div w:id="1536431335">
      <w:bodyDiv w:val="1"/>
      <w:marLeft w:val="0"/>
      <w:marRight w:val="0"/>
      <w:marTop w:val="0"/>
      <w:marBottom w:val="0"/>
      <w:divBdr>
        <w:top w:val="none" w:sz="0" w:space="0" w:color="auto"/>
        <w:left w:val="none" w:sz="0" w:space="0" w:color="auto"/>
        <w:bottom w:val="none" w:sz="0" w:space="0" w:color="auto"/>
        <w:right w:val="none" w:sz="0" w:space="0" w:color="auto"/>
      </w:divBdr>
    </w:div>
    <w:div w:id="1542397818">
      <w:bodyDiv w:val="1"/>
      <w:marLeft w:val="0"/>
      <w:marRight w:val="0"/>
      <w:marTop w:val="0"/>
      <w:marBottom w:val="0"/>
      <w:divBdr>
        <w:top w:val="none" w:sz="0" w:space="0" w:color="auto"/>
        <w:left w:val="none" w:sz="0" w:space="0" w:color="auto"/>
        <w:bottom w:val="none" w:sz="0" w:space="0" w:color="auto"/>
        <w:right w:val="none" w:sz="0" w:space="0" w:color="auto"/>
      </w:divBdr>
    </w:div>
    <w:div w:id="1659189795">
      <w:bodyDiv w:val="1"/>
      <w:marLeft w:val="0"/>
      <w:marRight w:val="0"/>
      <w:marTop w:val="0"/>
      <w:marBottom w:val="0"/>
      <w:divBdr>
        <w:top w:val="none" w:sz="0" w:space="0" w:color="auto"/>
        <w:left w:val="none" w:sz="0" w:space="0" w:color="auto"/>
        <w:bottom w:val="none" w:sz="0" w:space="0" w:color="auto"/>
        <w:right w:val="none" w:sz="0" w:space="0" w:color="auto"/>
      </w:divBdr>
    </w:div>
    <w:div w:id="1701320950">
      <w:bodyDiv w:val="1"/>
      <w:marLeft w:val="0"/>
      <w:marRight w:val="0"/>
      <w:marTop w:val="0"/>
      <w:marBottom w:val="0"/>
      <w:divBdr>
        <w:top w:val="none" w:sz="0" w:space="0" w:color="auto"/>
        <w:left w:val="none" w:sz="0" w:space="0" w:color="auto"/>
        <w:bottom w:val="none" w:sz="0" w:space="0" w:color="auto"/>
        <w:right w:val="none" w:sz="0" w:space="0" w:color="auto"/>
      </w:divBdr>
    </w:div>
    <w:div w:id="1788429267">
      <w:bodyDiv w:val="1"/>
      <w:marLeft w:val="0"/>
      <w:marRight w:val="0"/>
      <w:marTop w:val="0"/>
      <w:marBottom w:val="0"/>
      <w:divBdr>
        <w:top w:val="none" w:sz="0" w:space="0" w:color="auto"/>
        <w:left w:val="none" w:sz="0" w:space="0" w:color="auto"/>
        <w:bottom w:val="none" w:sz="0" w:space="0" w:color="auto"/>
        <w:right w:val="none" w:sz="0" w:space="0" w:color="auto"/>
      </w:divBdr>
    </w:div>
    <w:div w:id="1796169574">
      <w:bodyDiv w:val="1"/>
      <w:marLeft w:val="0"/>
      <w:marRight w:val="0"/>
      <w:marTop w:val="0"/>
      <w:marBottom w:val="0"/>
      <w:divBdr>
        <w:top w:val="none" w:sz="0" w:space="0" w:color="auto"/>
        <w:left w:val="none" w:sz="0" w:space="0" w:color="auto"/>
        <w:bottom w:val="none" w:sz="0" w:space="0" w:color="auto"/>
        <w:right w:val="none" w:sz="0" w:space="0" w:color="auto"/>
      </w:divBdr>
    </w:div>
    <w:div w:id="1902251690">
      <w:bodyDiv w:val="1"/>
      <w:marLeft w:val="0"/>
      <w:marRight w:val="0"/>
      <w:marTop w:val="0"/>
      <w:marBottom w:val="0"/>
      <w:divBdr>
        <w:top w:val="none" w:sz="0" w:space="0" w:color="auto"/>
        <w:left w:val="none" w:sz="0" w:space="0" w:color="auto"/>
        <w:bottom w:val="none" w:sz="0" w:space="0" w:color="auto"/>
        <w:right w:val="none" w:sz="0" w:space="0" w:color="auto"/>
      </w:divBdr>
    </w:div>
    <w:div w:id="1922837020">
      <w:bodyDiv w:val="1"/>
      <w:marLeft w:val="0"/>
      <w:marRight w:val="0"/>
      <w:marTop w:val="0"/>
      <w:marBottom w:val="0"/>
      <w:divBdr>
        <w:top w:val="none" w:sz="0" w:space="0" w:color="auto"/>
        <w:left w:val="none" w:sz="0" w:space="0" w:color="auto"/>
        <w:bottom w:val="none" w:sz="0" w:space="0" w:color="auto"/>
        <w:right w:val="none" w:sz="0" w:space="0" w:color="auto"/>
      </w:divBdr>
    </w:div>
    <w:div w:id="1969243389">
      <w:bodyDiv w:val="1"/>
      <w:marLeft w:val="0"/>
      <w:marRight w:val="0"/>
      <w:marTop w:val="0"/>
      <w:marBottom w:val="0"/>
      <w:divBdr>
        <w:top w:val="none" w:sz="0" w:space="0" w:color="auto"/>
        <w:left w:val="none" w:sz="0" w:space="0" w:color="auto"/>
        <w:bottom w:val="none" w:sz="0" w:space="0" w:color="auto"/>
        <w:right w:val="none" w:sz="0" w:space="0" w:color="auto"/>
      </w:divBdr>
    </w:div>
    <w:div w:id="1981030880">
      <w:bodyDiv w:val="1"/>
      <w:marLeft w:val="0"/>
      <w:marRight w:val="0"/>
      <w:marTop w:val="0"/>
      <w:marBottom w:val="0"/>
      <w:divBdr>
        <w:top w:val="none" w:sz="0" w:space="0" w:color="auto"/>
        <w:left w:val="none" w:sz="0" w:space="0" w:color="auto"/>
        <w:bottom w:val="none" w:sz="0" w:space="0" w:color="auto"/>
        <w:right w:val="none" w:sz="0" w:space="0" w:color="auto"/>
      </w:divBdr>
    </w:div>
    <w:div w:id="1995181274">
      <w:bodyDiv w:val="1"/>
      <w:marLeft w:val="0"/>
      <w:marRight w:val="0"/>
      <w:marTop w:val="0"/>
      <w:marBottom w:val="0"/>
      <w:divBdr>
        <w:top w:val="none" w:sz="0" w:space="0" w:color="auto"/>
        <w:left w:val="none" w:sz="0" w:space="0" w:color="auto"/>
        <w:bottom w:val="none" w:sz="0" w:space="0" w:color="auto"/>
        <w:right w:val="none" w:sz="0" w:space="0" w:color="auto"/>
      </w:divBdr>
      <w:divsChild>
        <w:div w:id="955910578">
          <w:marLeft w:val="0"/>
          <w:marRight w:val="0"/>
          <w:marTop w:val="0"/>
          <w:marBottom w:val="0"/>
          <w:divBdr>
            <w:top w:val="none" w:sz="0" w:space="0" w:color="auto"/>
            <w:left w:val="none" w:sz="0" w:space="0" w:color="auto"/>
            <w:bottom w:val="none" w:sz="0" w:space="0" w:color="auto"/>
            <w:right w:val="none" w:sz="0" w:space="0" w:color="auto"/>
          </w:divBdr>
        </w:div>
      </w:divsChild>
    </w:div>
    <w:div w:id="2011525512">
      <w:bodyDiv w:val="1"/>
      <w:marLeft w:val="0"/>
      <w:marRight w:val="0"/>
      <w:marTop w:val="0"/>
      <w:marBottom w:val="0"/>
      <w:divBdr>
        <w:top w:val="none" w:sz="0" w:space="0" w:color="auto"/>
        <w:left w:val="none" w:sz="0" w:space="0" w:color="auto"/>
        <w:bottom w:val="none" w:sz="0" w:space="0" w:color="auto"/>
        <w:right w:val="none" w:sz="0" w:space="0" w:color="auto"/>
      </w:divBdr>
    </w:div>
    <w:div w:id="2106607760">
      <w:bodyDiv w:val="1"/>
      <w:marLeft w:val="0"/>
      <w:marRight w:val="0"/>
      <w:marTop w:val="0"/>
      <w:marBottom w:val="0"/>
      <w:divBdr>
        <w:top w:val="none" w:sz="0" w:space="0" w:color="auto"/>
        <w:left w:val="none" w:sz="0" w:space="0" w:color="auto"/>
        <w:bottom w:val="none" w:sz="0" w:space="0" w:color="auto"/>
        <w:right w:val="none" w:sz="0" w:space="0" w:color="auto"/>
      </w:divBdr>
    </w:div>
    <w:div w:id="21368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hyperlink" Target="https://www.cga.ct.gov/2005/pridata/Studies/pdf/CT_Tax_System_Final_Report.pdf"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yperlink" Target="http://www.housedems.ct.gov/more/MTA/pubs/CT_Blue_Ribbon_Commission_October_2003.pd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library.unt.edu/gpo/acir/Reports/staff/SR-12.pdf"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www.census.gov/govs/estimate/" TargetMode="External"/><Relationship Id="rId10" Type="http://schemas.openxmlformats.org/officeDocument/2006/relationships/header" Target="head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chart" Target="charts/chart11.xml"/><Relationship Id="rId27" Type="http://schemas.openxmlformats.org/officeDocument/2006/relationships/hyperlink" Target="http://www.bepress.com/bejeap/vol7/iss1/art63"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vstore-home.dmd.gsuad.gsu.edu\home-01\s\Sjoquist\Connecticut\Local%20sales%20tax%20revenue%20by%20tow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vstore-home.dmd.gsuad.gsu.edu\home-01\s\Sjoquist\Connecticut\Data%20for%20calculating%20ST%20and%20IT%20by%20town.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vstore-home.dmd.gsuad.gsu.edu\home-01\s\Sjoquist\Connecticut\Data%20for%20calculating%20ST%20and%20IT%20by%20town.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vstore-home.dmd.gsuad.gsu.edu\home-01\s\Sjoquist\Connecticut\Data%20for%20calculating%20ST%20and%20IT%20by%20town.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joquist\AppData\Roaming\Microsoft\Excel\Local%20sales%20tax%20revenue%20by%20town%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store-home.dmd.gsuad.gsu.edu\home-01\s\Sjoquist\Connecticut\Local%20sales%20tax%20revenue%20by%20tow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store-home.dmd.gsuad.gsu.edu\home-01\s\Sjoquist\Connecticut\Local%20sales%20tax%20revenue%20by%20tow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store-home.dmd.gsuad.gsu.edu\home-01\s\Sjoquist\Connecticut\Local%20sales%20tax%20revenue%20by%20tow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vstore-home.dmd.gsuad.gsu.edu\home-01\s\Sjoquist\Connecticut\Data%20for%20calculating%20ST%20and%20IT%20by%20tow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vstore-home.dmd.gsuad.gsu.edu\home-01\s\sjoquist\Connecticut\Data%20for%20calculating%20ST%20and%20IT%20by%20tow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store-home.dmd.gsuad.gsu.edu\home-01\s\Sjoquist\Connecticut\Data%20for%20calculating%20ST%20and%20IT%20by%20tow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1" Type="http://schemas.openxmlformats.org/officeDocument/2006/relationships/oleObject" Target="file:///\\vstore-home.dmd.gsuad.gsu.edu\home-01\s\Sjoquist\Connecticut\Wage-Salary%20by%20AGI%20IRS%202012%20Figur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Graphs!$F$3:$F$171</c:f>
              <c:numCache>
                <c:formatCode>_(* #,##0_);_(* \(#,##0\);_(* "-"??_);_(@_)</c:formatCode>
                <c:ptCount val="169"/>
                <c:pt idx="0">
                  <c:v>27.219880548067042</c:v>
                </c:pt>
                <c:pt idx="1">
                  <c:v>57.611951643788672</c:v>
                </c:pt>
                <c:pt idx="2">
                  <c:v>31.540372704926309</c:v>
                </c:pt>
                <c:pt idx="3">
                  <c:v>128.73026588874848</c:v>
                </c:pt>
                <c:pt idx="4">
                  <c:v>42.939076144472907</c:v>
                </c:pt>
                <c:pt idx="5">
                  <c:v>31.668465047828246</c:v>
                </c:pt>
                <c:pt idx="6">
                  <c:v>523.35027315934519</c:v>
                </c:pt>
                <c:pt idx="7">
                  <c:v>29.381260170807131</c:v>
                </c:pt>
                <c:pt idx="8">
                  <c:v>117.04783532819938</c:v>
                </c:pt>
                <c:pt idx="9">
                  <c:v>46.696574986931466</c:v>
                </c:pt>
                <c:pt idx="10">
                  <c:v>111.41665799434037</c:v>
                </c:pt>
                <c:pt idx="11">
                  <c:v>71.46411483697203</c:v>
                </c:pt>
                <c:pt idx="12">
                  <c:v>107.81231579850943</c:v>
                </c:pt>
                <c:pt idx="13">
                  <c:v>191.11884459040823</c:v>
                </c:pt>
                <c:pt idx="14">
                  <c:v>52.847003429501434</c:v>
                </c:pt>
                <c:pt idx="15">
                  <c:v>35.35213358434968</c:v>
                </c:pt>
                <c:pt idx="16">
                  <c:v>86.118674905550861</c:v>
                </c:pt>
                <c:pt idx="17">
                  <c:v>202.32236691441065</c:v>
                </c:pt>
                <c:pt idx="18">
                  <c:v>65.969587221358211</c:v>
                </c:pt>
                <c:pt idx="19">
                  <c:v>20.025095070577763</c:v>
                </c:pt>
                <c:pt idx="20">
                  <c:v>470.50002885469894</c:v>
                </c:pt>
                <c:pt idx="21">
                  <c:v>25.138182082760018</c:v>
                </c:pt>
                <c:pt idx="22">
                  <c:v>228.04838065937037</c:v>
                </c:pt>
                <c:pt idx="23">
                  <c:v>28.421338121567299</c:v>
                </c:pt>
                <c:pt idx="24">
                  <c:v>91.632112567912898</c:v>
                </c:pt>
                <c:pt idx="25">
                  <c:v>46.413087004712068</c:v>
                </c:pt>
                <c:pt idx="26">
                  <c:v>189.05879238023482</c:v>
                </c:pt>
                <c:pt idx="27">
                  <c:v>82.485700521596911</c:v>
                </c:pt>
                <c:pt idx="28">
                  <c:v>8.7201757142171523</c:v>
                </c:pt>
                <c:pt idx="29">
                  <c:v>96.818763944064699</c:v>
                </c:pt>
                <c:pt idx="30">
                  <c:v>88.130634089505961</c:v>
                </c:pt>
                <c:pt idx="31">
                  <c:v>26.964783544290345</c:v>
                </c:pt>
                <c:pt idx="32">
                  <c:v>148.52023771465895</c:v>
                </c:pt>
                <c:pt idx="33">
                  <c:v>219.30739479452538</c:v>
                </c:pt>
                <c:pt idx="34">
                  <c:v>191.5925894156164</c:v>
                </c:pt>
                <c:pt idx="35">
                  <c:v>67.651114713330827</c:v>
                </c:pt>
                <c:pt idx="36">
                  <c:v>136.27507707130508</c:v>
                </c:pt>
                <c:pt idx="37">
                  <c:v>55.611680803588364</c:v>
                </c:pt>
                <c:pt idx="38">
                  <c:v>109.86256786008548</c:v>
                </c:pt>
                <c:pt idx="39">
                  <c:v>39.30902610295157</c:v>
                </c:pt>
                <c:pt idx="40">
                  <c:v>49.432127995977041</c:v>
                </c:pt>
                <c:pt idx="41">
                  <c:v>140.57601529924628</c:v>
                </c:pt>
                <c:pt idx="42">
                  <c:v>109.64833771143925</c:v>
                </c:pt>
                <c:pt idx="43">
                  <c:v>69.985833724230432</c:v>
                </c:pt>
                <c:pt idx="44">
                  <c:v>155.35758999517901</c:v>
                </c:pt>
                <c:pt idx="45">
                  <c:v>55.864826765163301</c:v>
                </c:pt>
                <c:pt idx="46">
                  <c:v>20.970153287054682</c:v>
                </c:pt>
                <c:pt idx="47">
                  <c:v>61.689448690671973</c:v>
                </c:pt>
                <c:pt idx="48">
                  <c:v>152.74051797795082</c:v>
                </c:pt>
                <c:pt idx="49">
                  <c:v>97.690502794503317</c:v>
                </c:pt>
                <c:pt idx="50">
                  <c:v>196.21765525592218</c:v>
                </c:pt>
                <c:pt idx="51">
                  <c:v>257.79380628309355</c:v>
                </c:pt>
                <c:pt idx="52">
                  <c:v>280.15584771503774</c:v>
                </c:pt>
                <c:pt idx="53">
                  <c:v>124.61856415284946</c:v>
                </c:pt>
                <c:pt idx="54">
                  <c:v>43.050861998421098</c:v>
                </c:pt>
                <c:pt idx="55">
                  <c:v>67.825303265113973</c:v>
                </c:pt>
                <c:pt idx="56">
                  <c:v>198.66950999476782</c:v>
                </c:pt>
                <c:pt idx="57">
                  <c:v>32.300942898539944</c:v>
                </c:pt>
                <c:pt idx="58">
                  <c:v>91.574534496759014</c:v>
                </c:pt>
                <c:pt idx="59">
                  <c:v>78.18389626738491</c:v>
                </c:pt>
                <c:pt idx="60">
                  <c:v>42.396670726001382</c:v>
                </c:pt>
                <c:pt idx="61">
                  <c:v>90.200923212912784</c:v>
                </c:pt>
                <c:pt idx="62">
                  <c:v>13.245237335749694</c:v>
                </c:pt>
                <c:pt idx="63">
                  <c:v>172.04618799348214</c:v>
                </c:pt>
                <c:pt idx="64">
                  <c:v>12.077676713401061</c:v>
                </c:pt>
                <c:pt idx="65">
                  <c:v>33.400238726797404</c:v>
                </c:pt>
                <c:pt idx="66">
                  <c:v>28.225251304937014</c:v>
                </c:pt>
                <c:pt idx="67">
                  <c:v>86.380411065759574</c:v>
                </c:pt>
                <c:pt idx="68">
                  <c:v>98.293828997943507</c:v>
                </c:pt>
                <c:pt idx="69">
                  <c:v>37.067986143536238</c:v>
                </c:pt>
                <c:pt idx="70">
                  <c:v>13.805661909420598</c:v>
                </c:pt>
                <c:pt idx="71">
                  <c:v>48.811524466063702</c:v>
                </c:pt>
                <c:pt idx="72">
                  <c:v>301.14748890612117</c:v>
                </c:pt>
                <c:pt idx="73">
                  <c:v>456.59446530629288</c:v>
                </c:pt>
                <c:pt idx="74">
                  <c:v>10.719264149225518</c:v>
                </c:pt>
                <c:pt idx="75">
                  <c:v>82.184256091735023</c:v>
                </c:pt>
                <c:pt idx="76">
                  <c:v>240.66664679012268</c:v>
                </c:pt>
                <c:pt idx="77">
                  <c:v>37.400850353800102</c:v>
                </c:pt>
                <c:pt idx="78">
                  <c:v>23.426528903496774</c:v>
                </c:pt>
                <c:pt idx="79">
                  <c:v>87.362831310175807</c:v>
                </c:pt>
                <c:pt idx="80">
                  <c:v>111.08552546094981</c:v>
                </c:pt>
                <c:pt idx="81">
                  <c:v>74.34670248052646</c:v>
                </c:pt>
                <c:pt idx="82">
                  <c:v>106.79748786640825</c:v>
                </c:pt>
                <c:pt idx="83">
                  <c:v>239.57985028960763</c:v>
                </c:pt>
                <c:pt idx="84">
                  <c:v>77.596739468108851</c:v>
                </c:pt>
                <c:pt idx="85">
                  <c:v>77.102873222963979</c:v>
                </c:pt>
                <c:pt idx="86">
                  <c:v>42.851364043284498</c:v>
                </c:pt>
                <c:pt idx="87">
                  <c:v>69.095008919975044</c:v>
                </c:pt>
                <c:pt idx="88">
                  <c:v>53.167764500994835</c:v>
                </c:pt>
                <c:pt idx="89">
                  <c:v>97.700814653497389</c:v>
                </c:pt>
                <c:pt idx="90">
                  <c:v>23.350469978564519</c:v>
                </c:pt>
                <c:pt idx="91">
                  <c:v>69.25399476316926</c:v>
                </c:pt>
                <c:pt idx="92">
                  <c:v>147.7547688609209</c:v>
                </c:pt>
                <c:pt idx="93">
                  <c:v>213.99966851149136</c:v>
                </c:pt>
                <c:pt idx="94">
                  <c:v>146.22013319423164</c:v>
                </c:pt>
                <c:pt idx="95">
                  <c:v>95.125076625467798</c:v>
                </c:pt>
                <c:pt idx="96">
                  <c:v>57.944837610254034</c:v>
                </c:pt>
                <c:pt idx="97">
                  <c:v>642.08958929834796</c:v>
                </c:pt>
                <c:pt idx="98">
                  <c:v>70.674336359971804</c:v>
                </c:pt>
                <c:pt idx="99">
                  <c:v>21.408393993699651</c:v>
                </c:pt>
                <c:pt idx="100">
                  <c:v>230.15204136984127</c:v>
                </c:pt>
                <c:pt idx="101">
                  <c:v>65.169551191421348</c:v>
                </c:pt>
                <c:pt idx="102">
                  <c:v>250.82482782585771</c:v>
                </c:pt>
                <c:pt idx="103">
                  <c:v>98.179655303991538</c:v>
                </c:pt>
                <c:pt idx="104">
                  <c:v>91.15511746747633</c:v>
                </c:pt>
                <c:pt idx="105">
                  <c:v>264.83044491133427</c:v>
                </c:pt>
                <c:pt idx="106">
                  <c:v>717.03883775082988</c:v>
                </c:pt>
                <c:pt idx="107">
                  <c:v>51.598410142543003</c:v>
                </c:pt>
                <c:pt idx="108">
                  <c:v>83.89100403060273</c:v>
                </c:pt>
                <c:pt idx="109">
                  <c:v>177.00089830583914</c:v>
                </c:pt>
                <c:pt idx="110">
                  <c:v>50.796198811790411</c:v>
                </c:pt>
                <c:pt idx="111">
                  <c:v>42.571540732014</c:v>
                </c:pt>
                <c:pt idx="112">
                  <c:v>71.269198249188022</c:v>
                </c:pt>
                <c:pt idx="113">
                  <c:v>30.647790311804702</c:v>
                </c:pt>
                <c:pt idx="114">
                  <c:v>60.667988201314749</c:v>
                </c:pt>
                <c:pt idx="115">
                  <c:v>181.27211735621154</c:v>
                </c:pt>
                <c:pt idx="116">
                  <c:v>30.009489058717076</c:v>
                </c:pt>
                <c:pt idx="117">
                  <c:v>146.4800529299057</c:v>
                </c:pt>
                <c:pt idx="118">
                  <c:v>142.88248037003333</c:v>
                </c:pt>
                <c:pt idx="119">
                  <c:v>24.542099977493052</c:v>
                </c:pt>
                <c:pt idx="120">
                  <c:v>41.211598162705592</c:v>
                </c:pt>
                <c:pt idx="121">
                  <c:v>98.619866000611722</c:v>
                </c:pt>
                <c:pt idx="122">
                  <c:v>5.4033192236112892</c:v>
                </c:pt>
                <c:pt idx="123">
                  <c:v>66.443811772520803</c:v>
                </c:pt>
                <c:pt idx="124">
                  <c:v>64.005905763207068</c:v>
                </c:pt>
                <c:pt idx="125">
                  <c:v>141.76865714349694</c:v>
                </c:pt>
                <c:pt idx="126">
                  <c:v>26.03623115192304</c:v>
                </c:pt>
                <c:pt idx="127">
                  <c:v>130.61751031599752</c:v>
                </c:pt>
                <c:pt idx="128">
                  <c:v>30.255869706637707</c:v>
                </c:pt>
                <c:pt idx="129">
                  <c:v>155.24560569621914</c:v>
                </c:pt>
                <c:pt idx="130">
                  <c:v>150.63149602389564</c:v>
                </c:pt>
                <c:pt idx="131">
                  <c:v>137.8833663128583</c:v>
                </c:pt>
                <c:pt idx="132">
                  <c:v>30.011412694179892</c:v>
                </c:pt>
                <c:pt idx="133">
                  <c:v>56.69279493196683</c:v>
                </c:pt>
                <c:pt idx="134">
                  <c:v>154.9310666067845</c:v>
                </c:pt>
                <c:pt idx="135">
                  <c:v>9.4735043759459234</c:v>
                </c:pt>
                <c:pt idx="136">
                  <c:v>153.33393176773404</c:v>
                </c:pt>
                <c:pt idx="137">
                  <c:v>148.28164564682311</c:v>
                </c:pt>
                <c:pt idx="138">
                  <c:v>30.343162661308178</c:v>
                </c:pt>
                <c:pt idx="139">
                  <c:v>104.46429466482157</c:v>
                </c:pt>
                <c:pt idx="140">
                  <c:v>21.160343481528596</c:v>
                </c:pt>
                <c:pt idx="141">
                  <c:v>53.489372736225619</c:v>
                </c:pt>
                <c:pt idx="142">
                  <c:v>170.10541583509161</c:v>
                </c:pt>
                <c:pt idx="143">
                  <c:v>122.54675470708312</c:v>
                </c:pt>
                <c:pt idx="144">
                  <c:v>74.535279542639799</c:v>
                </c:pt>
                <c:pt idx="145">
                  <c:v>127.05851066090852</c:v>
                </c:pt>
                <c:pt idx="146">
                  <c:v>22.824178538758602</c:v>
                </c:pt>
                <c:pt idx="147">
                  <c:v>182.77167690725238</c:v>
                </c:pt>
                <c:pt idx="148">
                  <c:v>23.974290376149934</c:v>
                </c:pt>
                <c:pt idx="149">
                  <c:v>127.23166315361824</c:v>
                </c:pt>
                <c:pt idx="150">
                  <c:v>92.78987458855164</c:v>
                </c:pt>
                <c:pt idx="151">
                  <c:v>354.07718247520421</c:v>
                </c:pt>
                <c:pt idx="152">
                  <c:v>150.30776659252439</c:v>
                </c:pt>
                <c:pt idx="153">
                  <c:v>173.60845876049223</c:v>
                </c:pt>
                <c:pt idx="154">
                  <c:v>54.159653782050945</c:v>
                </c:pt>
                <c:pt idx="155">
                  <c:v>262.38170073723063</c:v>
                </c:pt>
                <c:pt idx="156">
                  <c:v>18.655655498108999</c:v>
                </c:pt>
                <c:pt idx="157">
                  <c:v>294.27361909739614</c:v>
                </c:pt>
                <c:pt idx="158">
                  <c:v>81.762564070848342</c:v>
                </c:pt>
                <c:pt idx="159">
                  <c:v>66.740546602416714</c:v>
                </c:pt>
                <c:pt idx="160">
                  <c:v>147.9698535929943</c:v>
                </c:pt>
                <c:pt idx="161">
                  <c:v>50.572323312666938</c:v>
                </c:pt>
                <c:pt idx="162">
                  <c:v>107.32821163427901</c:v>
                </c:pt>
                <c:pt idx="163">
                  <c:v>122.87660361634416</c:v>
                </c:pt>
                <c:pt idx="164">
                  <c:v>289.19442913077904</c:v>
                </c:pt>
                <c:pt idx="165">
                  <c:v>44.973770110650271</c:v>
                </c:pt>
                <c:pt idx="166">
                  <c:v>57.872398782343872</c:v>
                </c:pt>
                <c:pt idx="167">
                  <c:v>70.068731369181094</c:v>
                </c:pt>
                <c:pt idx="168">
                  <c:v>25.673427776947758</c:v>
                </c:pt>
              </c:numCache>
            </c:numRef>
          </c:xVal>
          <c:yVal>
            <c:numRef>
              <c:f>Graphs!$G$3:$G$171</c:f>
              <c:numCache>
                <c:formatCode>#,##0_);\(#,##0\)</c:formatCode>
                <c:ptCount val="169"/>
                <c:pt idx="0">
                  <c:v>86.696625223108313</c:v>
                </c:pt>
                <c:pt idx="1">
                  <c:v>69.638113897167528</c:v>
                </c:pt>
                <c:pt idx="2">
                  <c:v>48.189149638630042</c:v>
                </c:pt>
                <c:pt idx="3">
                  <c:v>128.69153352204583</c:v>
                </c:pt>
                <c:pt idx="4">
                  <c:v>94.801840184898765</c:v>
                </c:pt>
                <c:pt idx="5">
                  <c:v>65.383147820998715</c:v>
                </c:pt>
                <c:pt idx="6">
                  <c:v>146.09606833949667</c:v>
                </c:pt>
                <c:pt idx="7">
                  <c:v>106.09149291608168</c:v>
                </c:pt>
                <c:pt idx="8">
                  <c:v>153.84787776647926</c:v>
                </c:pt>
                <c:pt idx="9">
                  <c:v>72.460031773786099</c:v>
                </c:pt>
                <c:pt idx="10">
                  <c:v>194.48985800897526</c:v>
                </c:pt>
                <c:pt idx="11">
                  <c:v>103.89272035574207</c:v>
                </c:pt>
                <c:pt idx="12">
                  <c:v>119.3710730914006</c:v>
                </c:pt>
                <c:pt idx="13">
                  <c:v>144.94986079056628</c:v>
                </c:pt>
                <c:pt idx="14">
                  <c:v>94.340779981629979</c:v>
                </c:pt>
                <c:pt idx="15">
                  <c:v>115.1046052203771</c:v>
                </c:pt>
                <c:pt idx="16">
                  <c:v>94.412592174115858</c:v>
                </c:pt>
                <c:pt idx="17">
                  <c:v>165.2473565915094</c:v>
                </c:pt>
                <c:pt idx="18">
                  <c:v>57.203991220433061</c:v>
                </c:pt>
                <c:pt idx="19">
                  <c:v>83.794386249869689</c:v>
                </c:pt>
                <c:pt idx="20">
                  <c:v>219.83019622120929</c:v>
                </c:pt>
                <c:pt idx="21">
                  <c:v>45.282499849871343</c:v>
                </c:pt>
                <c:pt idx="22">
                  <c:v>115.82772229883297</c:v>
                </c:pt>
                <c:pt idx="23">
                  <c:v>49.019790007893384</c:v>
                </c:pt>
                <c:pt idx="24">
                  <c:v>119.29764190893904</c:v>
                </c:pt>
                <c:pt idx="25">
                  <c:v>123.1904191662623</c:v>
                </c:pt>
                <c:pt idx="26">
                  <c:v>95.858199706675393</c:v>
                </c:pt>
                <c:pt idx="27">
                  <c:v>90.72150565211453</c:v>
                </c:pt>
                <c:pt idx="28">
                  <c:v>89.902987706605998</c:v>
                </c:pt>
                <c:pt idx="29">
                  <c:v>95.496194682067525</c:v>
                </c:pt>
                <c:pt idx="30">
                  <c:v>120.63457176288524</c:v>
                </c:pt>
                <c:pt idx="31">
                  <c:v>85.813858786194174</c:v>
                </c:pt>
                <c:pt idx="32">
                  <c:v>122.82841792230371</c:v>
                </c:pt>
                <c:pt idx="33">
                  <c:v>183.53788296070795</c:v>
                </c:pt>
                <c:pt idx="34">
                  <c:v>156.2235006386378</c:v>
                </c:pt>
                <c:pt idx="35">
                  <c:v>99.787080465992403</c:v>
                </c:pt>
                <c:pt idx="36">
                  <c:v>96.809904563187615</c:v>
                </c:pt>
                <c:pt idx="37">
                  <c:v>93.626118793540684</c:v>
                </c:pt>
                <c:pt idx="38">
                  <c:v>171.4285371076721</c:v>
                </c:pt>
                <c:pt idx="39">
                  <c:v>75.866283582708022</c:v>
                </c:pt>
                <c:pt idx="40">
                  <c:v>73.870790047297575</c:v>
                </c:pt>
                <c:pt idx="41">
                  <c:v>146.9511253559279</c:v>
                </c:pt>
                <c:pt idx="42">
                  <c:v>107.67989663035442</c:v>
                </c:pt>
                <c:pt idx="43">
                  <c:v>98.503845194074202</c:v>
                </c:pt>
                <c:pt idx="44">
                  <c:v>153.61906485516786</c:v>
                </c:pt>
                <c:pt idx="45">
                  <c:v>74.324108878510074</c:v>
                </c:pt>
                <c:pt idx="46">
                  <c:v>69.925349316246823</c:v>
                </c:pt>
                <c:pt idx="47">
                  <c:v>99.864587337972722</c:v>
                </c:pt>
                <c:pt idx="48">
                  <c:v>126.81913877334551</c:v>
                </c:pt>
                <c:pt idx="49">
                  <c:v>130.2809328225604</c:v>
                </c:pt>
                <c:pt idx="50">
                  <c:v>112.15675138864397</c:v>
                </c:pt>
                <c:pt idx="51">
                  <c:v>229.99343790081309</c:v>
                </c:pt>
                <c:pt idx="52">
                  <c:v>125.18305058971573</c:v>
                </c:pt>
                <c:pt idx="53">
                  <c:v>133.54873714696092</c:v>
                </c:pt>
                <c:pt idx="54">
                  <c:v>91.064430017036045</c:v>
                </c:pt>
                <c:pt idx="55">
                  <c:v>98.542628923015513</c:v>
                </c:pt>
                <c:pt idx="56">
                  <c:v>188.58544178984235</c:v>
                </c:pt>
                <c:pt idx="57">
                  <c:v>74.571856818769248</c:v>
                </c:pt>
                <c:pt idx="58">
                  <c:v>144.98599971848978</c:v>
                </c:pt>
                <c:pt idx="59">
                  <c:v>124.17326568958001</c:v>
                </c:pt>
                <c:pt idx="60">
                  <c:v>76.944361393397458</c:v>
                </c:pt>
                <c:pt idx="61">
                  <c:v>125.3987745318336</c:v>
                </c:pt>
                <c:pt idx="62">
                  <c:v>42.684109393422432</c:v>
                </c:pt>
                <c:pt idx="63">
                  <c:v>189.00409679453341</c:v>
                </c:pt>
                <c:pt idx="64">
                  <c:v>74.80396384065034</c:v>
                </c:pt>
                <c:pt idx="65">
                  <c:v>85.310344565307688</c:v>
                </c:pt>
                <c:pt idx="66">
                  <c:v>95.90677019019671</c:v>
                </c:pt>
                <c:pt idx="67">
                  <c:v>150.63547890440259</c:v>
                </c:pt>
                <c:pt idx="68">
                  <c:v>89.284498515084977</c:v>
                </c:pt>
                <c:pt idx="69">
                  <c:v>69.209054754875012</c:v>
                </c:pt>
                <c:pt idx="70">
                  <c:v>84.296177815601695</c:v>
                </c:pt>
                <c:pt idx="71">
                  <c:v>153.04174145083525</c:v>
                </c:pt>
                <c:pt idx="72">
                  <c:v>113.42791129275331</c:v>
                </c:pt>
                <c:pt idx="73">
                  <c:v>148.34624870943543</c:v>
                </c:pt>
                <c:pt idx="74">
                  <c:v>66.552704496275922</c:v>
                </c:pt>
                <c:pt idx="75">
                  <c:v>114.44133435673031</c:v>
                </c:pt>
                <c:pt idx="76">
                  <c:v>133.21389490511692</c:v>
                </c:pt>
                <c:pt idx="77">
                  <c:v>127.92760783934597</c:v>
                </c:pt>
                <c:pt idx="78">
                  <c:v>95.613925261855513</c:v>
                </c:pt>
                <c:pt idx="79">
                  <c:v>129.17457343127825</c:v>
                </c:pt>
                <c:pt idx="80">
                  <c:v>112.87143226266396</c:v>
                </c:pt>
                <c:pt idx="81">
                  <c:v>112.97888123754061</c:v>
                </c:pt>
                <c:pt idx="82">
                  <c:v>131.75680969455877</c:v>
                </c:pt>
                <c:pt idx="83">
                  <c:v>157.39259576357048</c:v>
                </c:pt>
                <c:pt idx="84">
                  <c:v>92.996715304482009</c:v>
                </c:pt>
                <c:pt idx="85">
                  <c:v>149.39326667225197</c:v>
                </c:pt>
                <c:pt idx="86">
                  <c:v>102.14073155962528</c:v>
                </c:pt>
                <c:pt idx="87">
                  <c:v>78.486161949444764</c:v>
                </c:pt>
                <c:pt idx="88">
                  <c:v>115.96376603040731</c:v>
                </c:pt>
                <c:pt idx="89">
                  <c:v>145.01634474308236</c:v>
                </c:pt>
                <c:pt idx="90">
                  <c:v>107.32857346209491</c:v>
                </c:pt>
                <c:pt idx="91">
                  <c:v>107.15342996173993</c:v>
                </c:pt>
                <c:pt idx="92">
                  <c:v>170.54213908523997</c:v>
                </c:pt>
                <c:pt idx="93">
                  <c:v>126.49169223318603</c:v>
                </c:pt>
                <c:pt idx="94">
                  <c:v>140.31476215170537</c:v>
                </c:pt>
                <c:pt idx="95">
                  <c:v>146.56143216870919</c:v>
                </c:pt>
                <c:pt idx="96">
                  <c:v>141.45711973342122</c:v>
                </c:pt>
                <c:pt idx="97">
                  <c:v>112.67527250566056</c:v>
                </c:pt>
                <c:pt idx="98">
                  <c:v>120.80429077103473</c:v>
                </c:pt>
                <c:pt idx="99">
                  <c:v>179.86720808529481</c:v>
                </c:pt>
                <c:pt idx="100">
                  <c:v>190.27729806599817</c:v>
                </c:pt>
                <c:pt idx="101">
                  <c:v>99.089512801049281</c:v>
                </c:pt>
                <c:pt idx="102">
                  <c:v>180.25085969369857</c:v>
                </c:pt>
                <c:pt idx="103">
                  <c:v>115.65810678235179</c:v>
                </c:pt>
                <c:pt idx="104">
                  <c:v>101.35382805994847</c:v>
                </c:pt>
                <c:pt idx="105">
                  <c:v>135.90300415453629</c:v>
                </c:pt>
                <c:pt idx="106">
                  <c:v>185.20036289610562</c:v>
                </c:pt>
                <c:pt idx="107">
                  <c:v>80.370460452392493</c:v>
                </c:pt>
                <c:pt idx="108">
                  <c:v>64.710197381614918</c:v>
                </c:pt>
                <c:pt idx="109">
                  <c:v>141.38106662850925</c:v>
                </c:pt>
                <c:pt idx="110">
                  <c:v>70.142782203376271</c:v>
                </c:pt>
                <c:pt idx="111">
                  <c:v>75.064986977184631</c:v>
                </c:pt>
                <c:pt idx="112">
                  <c:v>86.51149147157426</c:v>
                </c:pt>
                <c:pt idx="113">
                  <c:v>81.928388503342219</c:v>
                </c:pt>
                <c:pt idx="114">
                  <c:v>74.50575550682106</c:v>
                </c:pt>
                <c:pt idx="115">
                  <c:v>106.70510412183773</c:v>
                </c:pt>
                <c:pt idx="116">
                  <c:v>121.96721164442316</c:v>
                </c:pt>
                <c:pt idx="117">
                  <c:v>163.22322577936097</c:v>
                </c:pt>
                <c:pt idx="118">
                  <c:v>179.1538570690966</c:v>
                </c:pt>
                <c:pt idx="119">
                  <c:v>92.910685422883105</c:v>
                </c:pt>
                <c:pt idx="120">
                  <c:v>79.422003018193863</c:v>
                </c:pt>
                <c:pt idx="121">
                  <c:v>173.11590508182468</c:v>
                </c:pt>
                <c:pt idx="122">
                  <c:v>41.623094514133975</c:v>
                </c:pt>
                <c:pt idx="123">
                  <c:v>82.149784695287693</c:v>
                </c:pt>
                <c:pt idx="124">
                  <c:v>143.63519214064848</c:v>
                </c:pt>
                <c:pt idx="125">
                  <c:v>121.25480604051776</c:v>
                </c:pt>
                <c:pt idx="126">
                  <c:v>109.00482481686423</c:v>
                </c:pt>
                <c:pt idx="127">
                  <c:v>124.05650996445375</c:v>
                </c:pt>
                <c:pt idx="128">
                  <c:v>100.47134138594856</c:v>
                </c:pt>
                <c:pt idx="129">
                  <c:v>135.49565601138826</c:v>
                </c:pt>
                <c:pt idx="130">
                  <c:v>100.98539351080058</c:v>
                </c:pt>
                <c:pt idx="131">
                  <c:v>117.60850732126208</c:v>
                </c:pt>
                <c:pt idx="132">
                  <c:v>85.847453024022684</c:v>
                </c:pt>
                <c:pt idx="133">
                  <c:v>108.95985465368702</c:v>
                </c:pt>
                <c:pt idx="134">
                  <c:v>196.21012591445435</c:v>
                </c:pt>
                <c:pt idx="135">
                  <c:v>44.373943243745522</c:v>
                </c:pt>
                <c:pt idx="136">
                  <c:v>112.06061037495799</c:v>
                </c:pt>
                <c:pt idx="137">
                  <c:v>123.40308107068931</c:v>
                </c:pt>
                <c:pt idx="138">
                  <c:v>106.78384581438128</c:v>
                </c:pt>
                <c:pt idx="139">
                  <c:v>94.71713789345398</c:v>
                </c:pt>
                <c:pt idx="140">
                  <c:v>52.252856755330825</c:v>
                </c:pt>
                <c:pt idx="141">
                  <c:v>103.68856643628881</c:v>
                </c:pt>
                <c:pt idx="142">
                  <c:v>152.60525454947901</c:v>
                </c:pt>
                <c:pt idx="143">
                  <c:v>112.26939189126146</c:v>
                </c:pt>
                <c:pt idx="144">
                  <c:v>46.373397341010666</c:v>
                </c:pt>
                <c:pt idx="145">
                  <c:v>109.29230256455405</c:v>
                </c:pt>
                <c:pt idx="146">
                  <c:v>47.238541604247921</c:v>
                </c:pt>
                <c:pt idx="147">
                  <c:v>170.58458017733452</c:v>
                </c:pt>
                <c:pt idx="148">
                  <c:v>85.512526547426049</c:v>
                </c:pt>
                <c:pt idx="149">
                  <c:v>152.68623887879048</c:v>
                </c:pt>
                <c:pt idx="150">
                  <c:v>93.112439281442121</c:v>
                </c:pt>
                <c:pt idx="151">
                  <c:v>136.26068514290799</c:v>
                </c:pt>
                <c:pt idx="152">
                  <c:v>94.655418243525645</c:v>
                </c:pt>
                <c:pt idx="153">
                  <c:v>130.25848307797551</c:v>
                </c:pt>
                <c:pt idx="154">
                  <c:v>116.06346453498375</c:v>
                </c:pt>
                <c:pt idx="155">
                  <c:v>131.04458410009693</c:v>
                </c:pt>
                <c:pt idx="156">
                  <c:v>109.1405261280849</c:v>
                </c:pt>
                <c:pt idx="157">
                  <c:v>190.65634648730887</c:v>
                </c:pt>
                <c:pt idx="158">
                  <c:v>118.9096607168317</c:v>
                </c:pt>
                <c:pt idx="159">
                  <c:v>103.93890103964627</c:v>
                </c:pt>
                <c:pt idx="160">
                  <c:v>206.36459154634449</c:v>
                </c:pt>
                <c:pt idx="161">
                  <c:v>123.04208711071733</c:v>
                </c:pt>
                <c:pt idx="162">
                  <c:v>116.3221047566294</c:v>
                </c:pt>
                <c:pt idx="163">
                  <c:v>179.55260945541417</c:v>
                </c:pt>
                <c:pt idx="164">
                  <c:v>203.36491982397928</c:v>
                </c:pt>
                <c:pt idx="165">
                  <c:v>70.241993556131618</c:v>
                </c:pt>
                <c:pt idx="166">
                  <c:v>141.67770575586945</c:v>
                </c:pt>
                <c:pt idx="167">
                  <c:v>73.671430688495079</c:v>
                </c:pt>
                <c:pt idx="168">
                  <c:v>59.204390166021525</c:v>
                </c:pt>
              </c:numCache>
            </c:numRef>
          </c:yVal>
          <c:smooth val="0"/>
        </c:ser>
        <c:ser>
          <c:idx val="1"/>
          <c:order val="1"/>
          <c:spPr>
            <a:ln w="25400" cap="rnd">
              <a:noFill/>
              <a:round/>
            </a:ln>
            <a:effectLst/>
          </c:spPr>
          <c:marker>
            <c:symbol val="circle"/>
            <c:size val="5"/>
            <c:spPr>
              <a:noFill/>
              <a:ln w="9525">
                <a:noFill/>
              </a:ln>
              <a:effectLst/>
            </c:spPr>
          </c:marker>
          <c:trendline>
            <c:spPr>
              <a:ln w="15875" cap="rnd">
                <a:solidFill>
                  <a:schemeClr val="tx1"/>
                </a:solidFill>
                <a:prstDash val="solid"/>
              </a:ln>
              <a:effectLst/>
            </c:spPr>
            <c:trendlineType val="linear"/>
            <c:dispRSqr val="0"/>
            <c:dispEq val="0"/>
          </c:trendline>
          <c:xVal>
            <c:numRef>
              <c:f>Graphs!$F$3:$F$172</c:f>
              <c:numCache>
                <c:formatCode>_(* #,##0_);_(* \(#,##0\);_(* "-"??_);_(@_)</c:formatCode>
                <c:ptCount val="170"/>
                <c:pt idx="0">
                  <c:v>27.219880548067042</c:v>
                </c:pt>
                <c:pt idx="1">
                  <c:v>57.611951643788672</c:v>
                </c:pt>
                <c:pt idx="2">
                  <c:v>31.540372704926309</c:v>
                </c:pt>
                <c:pt idx="3">
                  <c:v>128.73026588874848</c:v>
                </c:pt>
                <c:pt idx="4">
                  <c:v>42.939076144472907</c:v>
                </c:pt>
                <c:pt idx="5">
                  <c:v>31.668465047828246</c:v>
                </c:pt>
                <c:pt idx="6">
                  <c:v>523.35027315934519</c:v>
                </c:pt>
                <c:pt idx="7">
                  <c:v>29.381260170807131</c:v>
                </c:pt>
                <c:pt idx="8">
                  <c:v>117.04783532819938</c:v>
                </c:pt>
                <c:pt idx="9">
                  <c:v>46.696574986931466</c:v>
                </c:pt>
                <c:pt idx="10">
                  <c:v>111.41665799434037</c:v>
                </c:pt>
                <c:pt idx="11">
                  <c:v>71.46411483697203</c:v>
                </c:pt>
                <c:pt idx="12">
                  <c:v>107.81231579850943</c:v>
                </c:pt>
                <c:pt idx="13">
                  <c:v>191.11884459040823</c:v>
                </c:pt>
                <c:pt idx="14">
                  <c:v>52.847003429501434</c:v>
                </c:pt>
                <c:pt idx="15">
                  <c:v>35.35213358434968</c:v>
                </c:pt>
                <c:pt idx="16">
                  <c:v>86.118674905550861</c:v>
                </c:pt>
                <c:pt idx="17">
                  <c:v>202.32236691441065</c:v>
                </c:pt>
                <c:pt idx="18">
                  <c:v>65.969587221358211</c:v>
                </c:pt>
                <c:pt idx="19">
                  <c:v>20.025095070577763</c:v>
                </c:pt>
                <c:pt idx="20">
                  <c:v>470.50002885469894</c:v>
                </c:pt>
                <c:pt idx="21">
                  <c:v>25.138182082760018</c:v>
                </c:pt>
                <c:pt idx="22">
                  <c:v>228.04838065937037</c:v>
                </c:pt>
                <c:pt idx="23">
                  <c:v>28.421338121567299</c:v>
                </c:pt>
                <c:pt idx="24">
                  <c:v>91.632112567912898</c:v>
                </c:pt>
                <c:pt idx="25">
                  <c:v>46.413087004712068</c:v>
                </c:pt>
                <c:pt idx="26">
                  <c:v>189.05879238023482</c:v>
                </c:pt>
                <c:pt idx="27">
                  <c:v>82.485700521596911</c:v>
                </c:pt>
                <c:pt idx="28">
                  <c:v>8.7201757142171523</c:v>
                </c:pt>
                <c:pt idx="29">
                  <c:v>96.818763944064699</c:v>
                </c:pt>
                <c:pt idx="30">
                  <c:v>88.130634089505961</c:v>
                </c:pt>
                <c:pt idx="31">
                  <c:v>26.964783544290345</c:v>
                </c:pt>
                <c:pt idx="32">
                  <c:v>148.52023771465895</c:v>
                </c:pt>
                <c:pt idx="33">
                  <c:v>219.30739479452538</c:v>
                </c:pt>
                <c:pt idx="34">
                  <c:v>191.5925894156164</c:v>
                </c:pt>
                <c:pt idx="35">
                  <c:v>67.651114713330827</c:v>
                </c:pt>
                <c:pt idx="36">
                  <c:v>136.27507707130508</c:v>
                </c:pt>
                <c:pt idx="37">
                  <c:v>55.611680803588364</c:v>
                </c:pt>
                <c:pt idx="38">
                  <c:v>109.86256786008548</c:v>
                </c:pt>
                <c:pt idx="39">
                  <c:v>39.30902610295157</c:v>
                </c:pt>
                <c:pt idx="40">
                  <c:v>49.432127995977041</c:v>
                </c:pt>
                <c:pt idx="41">
                  <c:v>140.57601529924628</c:v>
                </c:pt>
                <c:pt idx="42">
                  <c:v>109.64833771143925</c:v>
                </c:pt>
                <c:pt idx="43">
                  <c:v>69.985833724230432</c:v>
                </c:pt>
                <c:pt idx="44">
                  <c:v>155.35758999517901</c:v>
                </c:pt>
                <c:pt idx="45">
                  <c:v>55.864826765163301</c:v>
                </c:pt>
                <c:pt idx="46">
                  <c:v>20.970153287054682</c:v>
                </c:pt>
                <c:pt idx="47">
                  <c:v>61.689448690671973</c:v>
                </c:pt>
                <c:pt idx="48">
                  <c:v>152.74051797795082</c:v>
                </c:pt>
                <c:pt idx="49">
                  <c:v>97.690502794503317</c:v>
                </c:pt>
                <c:pt idx="50">
                  <c:v>196.21765525592218</c:v>
                </c:pt>
                <c:pt idx="51">
                  <c:v>257.79380628309355</c:v>
                </c:pt>
                <c:pt idx="52">
                  <c:v>280.15584771503774</c:v>
                </c:pt>
                <c:pt idx="53">
                  <c:v>124.61856415284946</c:v>
                </c:pt>
                <c:pt idx="54">
                  <c:v>43.050861998421098</c:v>
                </c:pt>
                <c:pt idx="55">
                  <c:v>67.825303265113973</c:v>
                </c:pt>
                <c:pt idx="56">
                  <c:v>198.66950999476782</c:v>
                </c:pt>
                <c:pt idx="57">
                  <c:v>32.300942898539944</c:v>
                </c:pt>
                <c:pt idx="58">
                  <c:v>91.574534496759014</c:v>
                </c:pt>
                <c:pt idx="59">
                  <c:v>78.18389626738491</c:v>
                </c:pt>
                <c:pt idx="60">
                  <c:v>42.396670726001382</c:v>
                </c:pt>
                <c:pt idx="61">
                  <c:v>90.200923212912784</c:v>
                </c:pt>
                <c:pt idx="62">
                  <c:v>13.245237335749694</c:v>
                </c:pt>
                <c:pt idx="63">
                  <c:v>172.04618799348214</c:v>
                </c:pt>
                <c:pt idx="64">
                  <c:v>12.077676713401061</c:v>
                </c:pt>
                <c:pt idx="65">
                  <c:v>33.400238726797404</c:v>
                </c:pt>
                <c:pt idx="66">
                  <c:v>28.225251304937014</c:v>
                </c:pt>
                <c:pt idx="67">
                  <c:v>86.380411065759574</c:v>
                </c:pt>
                <c:pt idx="68">
                  <c:v>98.293828997943507</c:v>
                </c:pt>
                <c:pt idx="69">
                  <c:v>37.067986143536238</c:v>
                </c:pt>
                <c:pt idx="70">
                  <c:v>13.805661909420598</c:v>
                </c:pt>
                <c:pt idx="71">
                  <c:v>48.811524466063702</c:v>
                </c:pt>
                <c:pt idx="72">
                  <c:v>301.14748890612117</c:v>
                </c:pt>
                <c:pt idx="73">
                  <c:v>456.59446530629288</c:v>
                </c:pt>
                <c:pt idx="74">
                  <c:v>10.719264149225518</c:v>
                </c:pt>
                <c:pt idx="75">
                  <c:v>82.184256091735023</c:v>
                </c:pt>
                <c:pt idx="76">
                  <c:v>240.66664679012268</c:v>
                </c:pt>
                <c:pt idx="77">
                  <c:v>37.400850353800102</c:v>
                </c:pt>
                <c:pt idx="78">
                  <c:v>23.426528903496774</c:v>
                </c:pt>
                <c:pt idx="79">
                  <c:v>87.362831310175807</c:v>
                </c:pt>
                <c:pt idx="80">
                  <c:v>111.08552546094981</c:v>
                </c:pt>
                <c:pt idx="81">
                  <c:v>74.34670248052646</c:v>
                </c:pt>
                <c:pt idx="82">
                  <c:v>106.79748786640825</c:v>
                </c:pt>
                <c:pt idx="83">
                  <c:v>239.57985028960763</c:v>
                </c:pt>
                <c:pt idx="84">
                  <c:v>77.596739468108851</c:v>
                </c:pt>
                <c:pt idx="85">
                  <c:v>77.102873222963979</c:v>
                </c:pt>
                <c:pt idx="86">
                  <c:v>42.851364043284498</c:v>
                </c:pt>
                <c:pt idx="87">
                  <c:v>69.095008919975044</c:v>
                </c:pt>
                <c:pt idx="88">
                  <c:v>53.167764500994835</c:v>
                </c:pt>
                <c:pt idx="89">
                  <c:v>97.700814653497389</c:v>
                </c:pt>
                <c:pt idx="90">
                  <c:v>23.350469978564519</c:v>
                </c:pt>
                <c:pt idx="91">
                  <c:v>69.25399476316926</c:v>
                </c:pt>
                <c:pt idx="92">
                  <c:v>147.7547688609209</c:v>
                </c:pt>
                <c:pt idx="93">
                  <c:v>213.99966851149136</c:v>
                </c:pt>
                <c:pt idx="94">
                  <c:v>146.22013319423164</c:v>
                </c:pt>
                <c:pt idx="95">
                  <c:v>95.125076625467798</c:v>
                </c:pt>
                <c:pt idx="96">
                  <c:v>57.944837610254034</c:v>
                </c:pt>
                <c:pt idx="97">
                  <c:v>642.08958929834796</c:v>
                </c:pt>
                <c:pt idx="98">
                  <c:v>70.674336359971804</c:v>
                </c:pt>
                <c:pt idx="99">
                  <c:v>21.408393993699651</c:v>
                </c:pt>
                <c:pt idx="100">
                  <c:v>230.15204136984127</c:v>
                </c:pt>
                <c:pt idx="101">
                  <c:v>65.169551191421348</c:v>
                </c:pt>
                <c:pt idx="102">
                  <c:v>250.82482782585771</c:v>
                </c:pt>
                <c:pt idx="103">
                  <c:v>98.179655303991538</c:v>
                </c:pt>
                <c:pt idx="104">
                  <c:v>91.15511746747633</c:v>
                </c:pt>
                <c:pt idx="105">
                  <c:v>264.83044491133427</c:v>
                </c:pt>
                <c:pt idx="106">
                  <c:v>717.03883775082988</c:v>
                </c:pt>
                <c:pt idx="107">
                  <c:v>51.598410142543003</c:v>
                </c:pt>
                <c:pt idx="108">
                  <c:v>83.89100403060273</c:v>
                </c:pt>
                <c:pt idx="109">
                  <c:v>177.00089830583914</c:v>
                </c:pt>
                <c:pt idx="110">
                  <c:v>50.796198811790411</c:v>
                </c:pt>
                <c:pt idx="111">
                  <c:v>42.571540732014</c:v>
                </c:pt>
                <c:pt idx="112">
                  <c:v>71.269198249188022</c:v>
                </c:pt>
                <c:pt idx="113">
                  <c:v>30.647790311804702</c:v>
                </c:pt>
                <c:pt idx="114">
                  <c:v>60.667988201314749</c:v>
                </c:pt>
                <c:pt idx="115">
                  <c:v>181.27211735621154</c:v>
                </c:pt>
                <c:pt idx="116">
                  <c:v>30.009489058717076</c:v>
                </c:pt>
                <c:pt idx="117">
                  <c:v>146.4800529299057</c:v>
                </c:pt>
                <c:pt idx="118">
                  <c:v>142.88248037003333</c:v>
                </c:pt>
                <c:pt idx="119">
                  <c:v>24.542099977493052</c:v>
                </c:pt>
                <c:pt idx="120">
                  <c:v>41.211598162705592</c:v>
                </c:pt>
                <c:pt idx="121">
                  <c:v>98.619866000611722</c:v>
                </c:pt>
                <c:pt idx="122">
                  <c:v>5.4033192236112892</c:v>
                </c:pt>
                <c:pt idx="123">
                  <c:v>66.443811772520803</c:v>
                </c:pt>
                <c:pt idx="124">
                  <c:v>64.005905763207068</c:v>
                </c:pt>
                <c:pt idx="125">
                  <c:v>141.76865714349694</c:v>
                </c:pt>
                <c:pt idx="126">
                  <c:v>26.03623115192304</c:v>
                </c:pt>
                <c:pt idx="127">
                  <c:v>130.61751031599752</c:v>
                </c:pt>
                <c:pt idx="128">
                  <c:v>30.255869706637707</c:v>
                </c:pt>
                <c:pt idx="129">
                  <c:v>155.24560569621914</c:v>
                </c:pt>
                <c:pt idx="130">
                  <c:v>150.63149602389564</c:v>
                </c:pt>
                <c:pt idx="131">
                  <c:v>137.8833663128583</c:v>
                </c:pt>
                <c:pt idx="132">
                  <c:v>30.011412694179892</c:v>
                </c:pt>
                <c:pt idx="133">
                  <c:v>56.69279493196683</c:v>
                </c:pt>
                <c:pt idx="134">
                  <c:v>154.9310666067845</c:v>
                </c:pt>
                <c:pt idx="135">
                  <c:v>9.4735043759459234</c:v>
                </c:pt>
                <c:pt idx="136">
                  <c:v>153.33393176773404</c:v>
                </c:pt>
                <c:pt idx="137">
                  <c:v>148.28164564682311</c:v>
                </c:pt>
                <c:pt idx="138">
                  <c:v>30.343162661308178</c:v>
                </c:pt>
                <c:pt idx="139">
                  <c:v>104.46429466482157</c:v>
                </c:pt>
                <c:pt idx="140">
                  <c:v>21.160343481528596</c:v>
                </c:pt>
                <c:pt idx="141">
                  <c:v>53.489372736225619</c:v>
                </c:pt>
                <c:pt idx="142">
                  <c:v>170.10541583509161</c:v>
                </c:pt>
                <c:pt idx="143">
                  <c:v>122.54675470708312</c:v>
                </c:pt>
                <c:pt idx="144">
                  <c:v>74.535279542639799</c:v>
                </c:pt>
                <c:pt idx="145">
                  <c:v>127.05851066090852</c:v>
                </c:pt>
                <c:pt idx="146">
                  <c:v>22.824178538758602</c:v>
                </c:pt>
                <c:pt idx="147">
                  <c:v>182.77167690725238</c:v>
                </c:pt>
                <c:pt idx="148">
                  <c:v>23.974290376149934</c:v>
                </c:pt>
                <c:pt idx="149">
                  <c:v>127.23166315361824</c:v>
                </c:pt>
                <c:pt idx="150">
                  <c:v>92.78987458855164</c:v>
                </c:pt>
                <c:pt idx="151">
                  <c:v>354.07718247520421</c:v>
                </c:pt>
                <c:pt idx="152">
                  <c:v>150.30776659252439</c:v>
                </c:pt>
                <c:pt idx="153">
                  <c:v>173.60845876049223</c:v>
                </c:pt>
                <c:pt idx="154">
                  <c:v>54.159653782050945</c:v>
                </c:pt>
                <c:pt idx="155">
                  <c:v>262.38170073723063</c:v>
                </c:pt>
                <c:pt idx="156">
                  <c:v>18.655655498108999</c:v>
                </c:pt>
                <c:pt idx="157">
                  <c:v>294.27361909739614</c:v>
                </c:pt>
                <c:pt idx="158">
                  <c:v>81.762564070848342</c:v>
                </c:pt>
                <c:pt idx="159">
                  <c:v>66.740546602416714</c:v>
                </c:pt>
                <c:pt idx="160">
                  <c:v>147.9698535929943</c:v>
                </c:pt>
                <c:pt idx="161">
                  <c:v>50.572323312666938</c:v>
                </c:pt>
                <c:pt idx="162">
                  <c:v>107.32821163427901</c:v>
                </c:pt>
                <c:pt idx="163">
                  <c:v>122.87660361634416</c:v>
                </c:pt>
                <c:pt idx="164">
                  <c:v>289.19442913077904</c:v>
                </c:pt>
                <c:pt idx="165">
                  <c:v>44.973770110650271</c:v>
                </c:pt>
                <c:pt idx="166">
                  <c:v>57.872398782343872</c:v>
                </c:pt>
                <c:pt idx="167">
                  <c:v>70.068731369181094</c:v>
                </c:pt>
                <c:pt idx="168">
                  <c:v>25.673427776947758</c:v>
                </c:pt>
                <c:pt idx="169" formatCode="General">
                  <c:v>800</c:v>
                </c:pt>
              </c:numCache>
            </c:numRef>
          </c:xVal>
          <c:yVal>
            <c:numRef>
              <c:f>Graphs!$H$3:$H$172</c:f>
              <c:numCache>
                <c:formatCode>#,##0_);\(#,##0\)</c:formatCode>
                <c:ptCount val="170"/>
                <c:pt idx="0">
                  <c:v>27.219880548067042</c:v>
                </c:pt>
                <c:pt idx="1">
                  <c:v>57.611951643788672</c:v>
                </c:pt>
                <c:pt idx="2">
                  <c:v>31.540372704926309</c:v>
                </c:pt>
                <c:pt idx="3">
                  <c:v>128.73026588874848</c:v>
                </c:pt>
                <c:pt idx="4">
                  <c:v>42.939076144472907</c:v>
                </c:pt>
                <c:pt idx="5">
                  <c:v>31.668465047828246</c:v>
                </c:pt>
                <c:pt idx="6">
                  <c:v>523.35027315934519</c:v>
                </c:pt>
                <c:pt idx="7">
                  <c:v>29.381260170807131</c:v>
                </c:pt>
                <c:pt idx="8">
                  <c:v>117.04783532819938</c:v>
                </c:pt>
                <c:pt idx="9">
                  <c:v>46.696574986931466</c:v>
                </c:pt>
                <c:pt idx="10">
                  <c:v>111.41665799434037</c:v>
                </c:pt>
                <c:pt idx="11">
                  <c:v>71.46411483697203</c:v>
                </c:pt>
                <c:pt idx="12">
                  <c:v>107.81231579850943</c:v>
                </c:pt>
                <c:pt idx="13">
                  <c:v>191.11884459040823</c:v>
                </c:pt>
                <c:pt idx="14">
                  <c:v>52.847003429501434</c:v>
                </c:pt>
                <c:pt idx="15">
                  <c:v>35.35213358434968</c:v>
                </c:pt>
                <c:pt idx="16">
                  <c:v>86.118674905550861</c:v>
                </c:pt>
                <c:pt idx="17">
                  <c:v>202.32236691441065</c:v>
                </c:pt>
                <c:pt idx="18">
                  <c:v>65.969587221358211</c:v>
                </c:pt>
                <c:pt idx="19">
                  <c:v>20.025095070577763</c:v>
                </c:pt>
                <c:pt idx="20">
                  <c:v>470.50002885469894</c:v>
                </c:pt>
                <c:pt idx="21">
                  <c:v>25.138182082760018</c:v>
                </c:pt>
                <c:pt idx="22">
                  <c:v>228.04838065937037</c:v>
                </c:pt>
                <c:pt idx="23">
                  <c:v>28.421338121567299</c:v>
                </c:pt>
                <c:pt idx="24">
                  <c:v>91.632112567912898</c:v>
                </c:pt>
                <c:pt idx="25">
                  <c:v>46.413087004712068</c:v>
                </c:pt>
                <c:pt idx="26">
                  <c:v>189.05879238023482</c:v>
                </c:pt>
                <c:pt idx="27">
                  <c:v>82.485700521596911</c:v>
                </c:pt>
                <c:pt idx="28">
                  <c:v>8.7201757142171523</c:v>
                </c:pt>
                <c:pt idx="29">
                  <c:v>96.818763944064699</c:v>
                </c:pt>
                <c:pt idx="30">
                  <c:v>88.130634089505961</c:v>
                </c:pt>
                <c:pt idx="31">
                  <c:v>26.964783544290345</c:v>
                </c:pt>
                <c:pt idx="32">
                  <c:v>148.52023771465895</c:v>
                </c:pt>
                <c:pt idx="33">
                  <c:v>219.30739479452538</c:v>
                </c:pt>
                <c:pt idx="34">
                  <c:v>191.5925894156164</c:v>
                </c:pt>
                <c:pt idx="35">
                  <c:v>67.651114713330827</c:v>
                </c:pt>
                <c:pt idx="36">
                  <c:v>136.27507707130508</c:v>
                </c:pt>
                <c:pt idx="37">
                  <c:v>55.611680803588364</c:v>
                </c:pt>
                <c:pt idx="38">
                  <c:v>109.86256786008548</c:v>
                </c:pt>
                <c:pt idx="39">
                  <c:v>39.30902610295157</c:v>
                </c:pt>
                <c:pt idx="40">
                  <c:v>49.432127995977041</c:v>
                </c:pt>
                <c:pt idx="41">
                  <c:v>140.57601529924628</c:v>
                </c:pt>
                <c:pt idx="42">
                  <c:v>109.64833771143925</c:v>
                </c:pt>
                <c:pt idx="43">
                  <c:v>69.985833724230432</c:v>
                </c:pt>
                <c:pt idx="44">
                  <c:v>155.35758999517901</c:v>
                </c:pt>
                <c:pt idx="45">
                  <c:v>55.864826765163301</c:v>
                </c:pt>
                <c:pt idx="46">
                  <c:v>20.970153287054682</c:v>
                </c:pt>
                <c:pt idx="47">
                  <c:v>61.689448690671973</c:v>
                </c:pt>
                <c:pt idx="48">
                  <c:v>152.74051797795082</c:v>
                </c:pt>
                <c:pt idx="49">
                  <c:v>97.690502794503317</c:v>
                </c:pt>
                <c:pt idx="50">
                  <c:v>196.21765525592218</c:v>
                </c:pt>
                <c:pt idx="51">
                  <c:v>257.79380628309355</c:v>
                </c:pt>
                <c:pt idx="52">
                  <c:v>280.15584771503774</c:v>
                </c:pt>
                <c:pt idx="53">
                  <c:v>124.61856415284946</c:v>
                </c:pt>
                <c:pt idx="54">
                  <c:v>43.050861998421098</c:v>
                </c:pt>
                <c:pt idx="55">
                  <c:v>67.825303265113973</c:v>
                </c:pt>
                <c:pt idx="56">
                  <c:v>198.66950999476782</c:v>
                </c:pt>
                <c:pt idx="57">
                  <c:v>32.300942898539944</c:v>
                </c:pt>
                <c:pt idx="58">
                  <c:v>91.574534496759014</c:v>
                </c:pt>
                <c:pt idx="59">
                  <c:v>78.18389626738491</c:v>
                </c:pt>
                <c:pt idx="60">
                  <c:v>42.396670726001382</c:v>
                </c:pt>
                <c:pt idx="61">
                  <c:v>90.200923212912784</c:v>
                </c:pt>
                <c:pt idx="62">
                  <c:v>13.245237335749694</c:v>
                </c:pt>
                <c:pt idx="63">
                  <c:v>172.04618799348214</c:v>
                </c:pt>
                <c:pt idx="64">
                  <c:v>12.077676713401061</c:v>
                </c:pt>
                <c:pt idx="65">
                  <c:v>33.400238726797404</c:v>
                </c:pt>
                <c:pt idx="66">
                  <c:v>28.225251304937014</c:v>
                </c:pt>
                <c:pt idx="67">
                  <c:v>86.380411065759574</c:v>
                </c:pt>
                <c:pt idx="68">
                  <c:v>98.293828997943507</c:v>
                </c:pt>
                <c:pt idx="69">
                  <c:v>37.067986143536238</c:v>
                </c:pt>
                <c:pt idx="70">
                  <c:v>13.805661909420598</c:v>
                </c:pt>
                <c:pt idx="71">
                  <c:v>48.811524466063702</c:v>
                </c:pt>
                <c:pt idx="72">
                  <c:v>301.14748890612117</c:v>
                </c:pt>
                <c:pt idx="73">
                  <c:v>456.59446530629288</c:v>
                </c:pt>
                <c:pt idx="74">
                  <c:v>10.719264149225518</c:v>
                </c:pt>
                <c:pt idx="75">
                  <c:v>82.184256091735023</c:v>
                </c:pt>
                <c:pt idx="76">
                  <c:v>240.66664679012268</c:v>
                </c:pt>
                <c:pt idx="77">
                  <c:v>37.400850353800102</c:v>
                </c:pt>
                <c:pt idx="78">
                  <c:v>23.426528903496774</c:v>
                </c:pt>
                <c:pt idx="79">
                  <c:v>87.362831310175807</c:v>
                </c:pt>
                <c:pt idx="80">
                  <c:v>111.08552546094981</c:v>
                </c:pt>
                <c:pt idx="81">
                  <c:v>74.34670248052646</c:v>
                </c:pt>
                <c:pt idx="82">
                  <c:v>106.79748786640825</c:v>
                </c:pt>
                <c:pt idx="83">
                  <c:v>239.57985028960763</c:v>
                </c:pt>
                <c:pt idx="84">
                  <c:v>77.596739468108851</c:v>
                </c:pt>
                <c:pt idx="85">
                  <c:v>77.102873222963979</c:v>
                </c:pt>
                <c:pt idx="86">
                  <c:v>42.851364043284498</c:v>
                </c:pt>
                <c:pt idx="87">
                  <c:v>69.095008919975044</c:v>
                </c:pt>
                <c:pt idx="88">
                  <c:v>53.167764500994835</c:v>
                </c:pt>
                <c:pt idx="89">
                  <c:v>97.700814653497389</c:v>
                </c:pt>
                <c:pt idx="90">
                  <c:v>23.350469978564519</c:v>
                </c:pt>
                <c:pt idx="91">
                  <c:v>69.25399476316926</c:v>
                </c:pt>
                <c:pt idx="92">
                  <c:v>147.7547688609209</c:v>
                </c:pt>
                <c:pt idx="93">
                  <c:v>213.99966851149136</c:v>
                </c:pt>
                <c:pt idx="94">
                  <c:v>146.22013319423164</c:v>
                </c:pt>
                <c:pt idx="95">
                  <c:v>95.125076625467798</c:v>
                </c:pt>
                <c:pt idx="96">
                  <c:v>57.944837610254034</c:v>
                </c:pt>
                <c:pt idx="97">
                  <c:v>642.08958929834796</c:v>
                </c:pt>
                <c:pt idx="98">
                  <c:v>70.674336359971804</c:v>
                </c:pt>
                <c:pt idx="99">
                  <c:v>21.408393993699651</c:v>
                </c:pt>
                <c:pt idx="100">
                  <c:v>230.15204136984127</c:v>
                </c:pt>
                <c:pt idx="101">
                  <c:v>65.169551191421348</c:v>
                </c:pt>
                <c:pt idx="102">
                  <c:v>250.82482782585771</c:v>
                </c:pt>
                <c:pt idx="103">
                  <c:v>98.179655303991538</c:v>
                </c:pt>
                <c:pt idx="104">
                  <c:v>91.15511746747633</c:v>
                </c:pt>
                <c:pt idx="105">
                  <c:v>264.83044491133427</c:v>
                </c:pt>
                <c:pt idx="106">
                  <c:v>717.03883775082988</c:v>
                </c:pt>
                <c:pt idx="107">
                  <c:v>51.598410142543003</c:v>
                </c:pt>
                <c:pt idx="108">
                  <c:v>83.89100403060273</c:v>
                </c:pt>
                <c:pt idx="109">
                  <c:v>177.00089830583914</c:v>
                </c:pt>
                <c:pt idx="110">
                  <c:v>50.796198811790411</c:v>
                </c:pt>
                <c:pt idx="111">
                  <c:v>42.571540732014</c:v>
                </c:pt>
                <c:pt idx="112">
                  <c:v>71.269198249188022</c:v>
                </c:pt>
                <c:pt idx="113">
                  <c:v>30.647790311804702</c:v>
                </c:pt>
                <c:pt idx="114">
                  <c:v>60.667988201314749</c:v>
                </c:pt>
                <c:pt idx="115">
                  <c:v>181.27211735621154</c:v>
                </c:pt>
                <c:pt idx="116">
                  <c:v>30.009489058717076</c:v>
                </c:pt>
                <c:pt idx="117">
                  <c:v>146.4800529299057</c:v>
                </c:pt>
                <c:pt idx="118">
                  <c:v>142.88248037003333</c:v>
                </c:pt>
                <c:pt idx="119">
                  <c:v>24.542099977493052</c:v>
                </c:pt>
                <c:pt idx="120">
                  <c:v>41.211598162705592</c:v>
                </c:pt>
                <c:pt idx="121">
                  <c:v>98.619866000611722</c:v>
                </c:pt>
                <c:pt idx="122">
                  <c:v>5.4033192236112892</c:v>
                </c:pt>
                <c:pt idx="123">
                  <c:v>66.443811772520803</c:v>
                </c:pt>
                <c:pt idx="124">
                  <c:v>64.005905763207068</c:v>
                </c:pt>
                <c:pt idx="125">
                  <c:v>141.76865714349694</c:v>
                </c:pt>
                <c:pt idx="126">
                  <c:v>26.03623115192304</c:v>
                </c:pt>
                <c:pt idx="127">
                  <c:v>130.61751031599752</c:v>
                </c:pt>
                <c:pt idx="128">
                  <c:v>30.255869706637707</c:v>
                </c:pt>
                <c:pt idx="129">
                  <c:v>155.24560569621914</c:v>
                </c:pt>
                <c:pt idx="130">
                  <c:v>150.63149602389564</c:v>
                </c:pt>
                <c:pt idx="131">
                  <c:v>137.8833663128583</c:v>
                </c:pt>
                <c:pt idx="132">
                  <c:v>30.011412694179892</c:v>
                </c:pt>
                <c:pt idx="133">
                  <c:v>56.69279493196683</c:v>
                </c:pt>
                <c:pt idx="134">
                  <c:v>154.9310666067845</c:v>
                </c:pt>
                <c:pt idx="135">
                  <c:v>9.4735043759459234</c:v>
                </c:pt>
                <c:pt idx="136">
                  <c:v>153.33393176773404</c:v>
                </c:pt>
                <c:pt idx="137">
                  <c:v>148.28164564682311</c:v>
                </c:pt>
                <c:pt idx="138">
                  <c:v>30.343162661308178</c:v>
                </c:pt>
                <c:pt idx="139">
                  <c:v>104.46429466482157</c:v>
                </c:pt>
                <c:pt idx="140">
                  <c:v>21.160343481528596</c:v>
                </c:pt>
                <c:pt idx="141">
                  <c:v>53.489372736225619</c:v>
                </c:pt>
                <c:pt idx="142">
                  <c:v>170.10541583509161</c:v>
                </c:pt>
                <c:pt idx="143">
                  <c:v>122.54675470708312</c:v>
                </c:pt>
                <c:pt idx="144">
                  <c:v>74.535279542639799</c:v>
                </c:pt>
                <c:pt idx="145">
                  <c:v>127.05851066090852</c:v>
                </c:pt>
                <c:pt idx="146">
                  <c:v>22.824178538758602</c:v>
                </c:pt>
                <c:pt idx="147">
                  <c:v>182.77167690725238</c:v>
                </c:pt>
                <c:pt idx="148">
                  <c:v>23.974290376149934</c:v>
                </c:pt>
                <c:pt idx="149">
                  <c:v>127.23166315361824</c:v>
                </c:pt>
                <c:pt idx="150">
                  <c:v>92.78987458855164</c:v>
                </c:pt>
                <c:pt idx="151">
                  <c:v>354.07718247520421</c:v>
                </c:pt>
                <c:pt idx="152">
                  <c:v>150.30776659252439</c:v>
                </c:pt>
                <c:pt idx="153">
                  <c:v>173.60845876049223</c:v>
                </c:pt>
                <c:pt idx="154">
                  <c:v>54.159653782050945</c:v>
                </c:pt>
                <c:pt idx="155">
                  <c:v>262.38170073723063</c:v>
                </c:pt>
                <c:pt idx="156">
                  <c:v>18.655655498108999</c:v>
                </c:pt>
                <c:pt idx="157">
                  <c:v>294.27361909739614</c:v>
                </c:pt>
                <c:pt idx="158">
                  <c:v>81.762564070848342</c:v>
                </c:pt>
                <c:pt idx="159">
                  <c:v>66.740546602416714</c:v>
                </c:pt>
                <c:pt idx="160">
                  <c:v>147.9698535929943</c:v>
                </c:pt>
                <c:pt idx="161">
                  <c:v>50.572323312666938</c:v>
                </c:pt>
                <c:pt idx="162">
                  <c:v>107.32821163427901</c:v>
                </c:pt>
                <c:pt idx="163">
                  <c:v>122.87660361634416</c:v>
                </c:pt>
                <c:pt idx="164">
                  <c:v>289.19442913077904</c:v>
                </c:pt>
                <c:pt idx="165">
                  <c:v>44.973770110650271</c:v>
                </c:pt>
                <c:pt idx="166">
                  <c:v>57.872398782343872</c:v>
                </c:pt>
                <c:pt idx="167">
                  <c:v>70.068731369181094</c:v>
                </c:pt>
                <c:pt idx="168">
                  <c:v>25.673427776947758</c:v>
                </c:pt>
                <c:pt idx="169" formatCode="General">
                  <c:v>800</c:v>
                </c:pt>
              </c:numCache>
            </c:numRef>
          </c:yVal>
          <c:smooth val="0"/>
        </c:ser>
        <c:dLbls>
          <c:showLegendKey val="0"/>
          <c:showVal val="0"/>
          <c:showCatName val="0"/>
          <c:showSerName val="0"/>
          <c:showPercent val="0"/>
          <c:showBubbleSize val="0"/>
        </c:dLbls>
        <c:axId val="303602632"/>
        <c:axId val="303603024"/>
      </c:scatterChart>
      <c:valAx>
        <c:axId val="303602632"/>
        <c:scaling>
          <c:orientation val="minMax"/>
          <c:max val="8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Local Sales Tax Per </a:t>
                </a:r>
              </a:p>
              <a:p>
                <a:pPr>
                  <a:defRPr/>
                </a:pPr>
                <a:r>
                  <a:rPr lang="en-US"/>
                  <a:t>Capita</a:t>
                </a:r>
              </a:p>
            </c:rich>
          </c:tx>
          <c:layout>
            <c:manualLayout>
              <c:xMode val="edge"/>
              <c:yMode val="edge"/>
              <c:x val="0.42408667988666365"/>
              <c:y val="0.8466003316749584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_(* #,##0_);_(* \(#,##0\);_(* &quot;-&quot;_);_(@_)"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3603024"/>
        <c:crosses val="autoZero"/>
        <c:crossBetween val="midCat"/>
      </c:valAx>
      <c:valAx>
        <c:axId val="303603024"/>
        <c:scaling>
          <c:orientation val="minMax"/>
          <c:max val="8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Regional Sales Tax Per Capita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_);\(#,##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36026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DATA!$AF$5</c:f>
              <c:strCache>
                <c:ptCount val="1"/>
                <c:pt idx="0">
                  <c:v>Tax Revenue Per Capita, CT AGI</c:v>
                </c:pt>
              </c:strCache>
            </c:strRef>
          </c:tx>
          <c:spPr>
            <a:ln w="25400" cap="rnd">
              <a:noFill/>
              <a:round/>
            </a:ln>
            <a:effectLst/>
          </c:spPr>
          <c:marker>
            <c:symbol val="circle"/>
            <c:size val="5"/>
            <c:spPr>
              <a:solidFill>
                <a:schemeClr val="accent1"/>
              </a:solidFill>
              <a:ln w="9525">
                <a:solidFill>
                  <a:schemeClr val="accent1"/>
                </a:solidFill>
              </a:ln>
              <a:effectLst/>
            </c:spPr>
          </c:marker>
          <c:xVal>
            <c:numRef>
              <c:f>DATA!$Z$7:$Z$175</c:f>
              <c:numCache>
                <c:formatCode>0.00</c:formatCode>
                <c:ptCount val="169"/>
                <c:pt idx="0">
                  <c:v>75.805302671260705</c:v>
                </c:pt>
                <c:pt idx="1">
                  <c:v>667.29530625570465</c:v>
                </c:pt>
                <c:pt idx="2">
                  <c:v>289.14589113981071</c:v>
                </c:pt>
                <c:pt idx="3">
                  <c:v>-611.38903118332655</c:v>
                </c:pt>
                <c:pt idx="4">
                  <c:v>-28.33112254872858</c:v>
                </c:pt>
                <c:pt idx="5">
                  <c:v>125.70761193964999</c:v>
                </c:pt>
                <c:pt idx="6">
                  <c:v>-114.51201830529881</c:v>
                </c:pt>
                <c:pt idx="7">
                  <c:v>-227.40322946764778</c:v>
                </c:pt>
                <c:pt idx="8">
                  <c:v>-201.22396894841549</c:v>
                </c:pt>
                <c:pt idx="9">
                  <c:v>-270.19466101934921</c:v>
                </c:pt>
                <c:pt idx="10">
                  <c:v>126.66396476801351</c:v>
                </c:pt>
                <c:pt idx="11">
                  <c:v>79.294156609518083</c:v>
                </c:pt>
                <c:pt idx="12">
                  <c:v>-5.0524506189537082</c:v>
                </c:pt>
                <c:pt idx="13">
                  <c:v>-422.74237705603991</c:v>
                </c:pt>
                <c:pt idx="14">
                  <c:v>1118.7486704456792</c:v>
                </c:pt>
                <c:pt idx="15">
                  <c:v>-1634.7679171814298</c:v>
                </c:pt>
                <c:pt idx="16">
                  <c:v>447.11338536226788</c:v>
                </c:pt>
                <c:pt idx="17">
                  <c:v>-660.33029235351671</c:v>
                </c:pt>
                <c:pt idx="18">
                  <c:v>317.27851732942838</c:v>
                </c:pt>
                <c:pt idx="19">
                  <c:v>-110.32362938003912</c:v>
                </c:pt>
                <c:pt idx="20">
                  <c:v>-676.34708559770127</c:v>
                </c:pt>
                <c:pt idx="21">
                  <c:v>265.61643910746193</c:v>
                </c:pt>
                <c:pt idx="22">
                  <c:v>-220.65295454071634</c:v>
                </c:pt>
                <c:pt idx="23">
                  <c:v>317.27942275134438</c:v>
                </c:pt>
                <c:pt idx="24">
                  <c:v>-33.43921257967736</c:v>
                </c:pt>
                <c:pt idx="25">
                  <c:v>-323.03489938217581</c:v>
                </c:pt>
                <c:pt idx="26">
                  <c:v>-354.2199605106178</c:v>
                </c:pt>
                <c:pt idx="27">
                  <c:v>182.89378469576673</c:v>
                </c:pt>
                <c:pt idx="28">
                  <c:v>-260.40701328171383</c:v>
                </c:pt>
                <c:pt idx="29">
                  <c:v>-3.3850059126223639</c:v>
                </c:pt>
                <c:pt idx="30">
                  <c:v>-2197.0063972889748</c:v>
                </c:pt>
                <c:pt idx="31">
                  <c:v>157.39172044417242</c:v>
                </c:pt>
                <c:pt idx="32">
                  <c:v>33.948731267046377</c:v>
                </c:pt>
                <c:pt idx="33">
                  <c:v>143.26455620869947</c:v>
                </c:pt>
                <c:pt idx="34">
                  <c:v>-3612.5522477350642</c:v>
                </c:pt>
                <c:pt idx="35">
                  <c:v>-220.27154267196889</c:v>
                </c:pt>
                <c:pt idx="36">
                  <c:v>605.65729417606849</c:v>
                </c:pt>
                <c:pt idx="37">
                  <c:v>-135.58035143450624</c:v>
                </c:pt>
                <c:pt idx="38">
                  <c:v>-149.07072078137693</c:v>
                </c:pt>
                <c:pt idx="39">
                  <c:v>-80.490694465695057</c:v>
                </c:pt>
                <c:pt idx="40">
                  <c:v>52.464968662503722</c:v>
                </c:pt>
                <c:pt idx="41">
                  <c:v>735.43655908665016</c:v>
                </c:pt>
                <c:pt idx="42">
                  <c:v>355.09081903550668</c:v>
                </c:pt>
                <c:pt idx="43">
                  <c:v>-281.24897619139853</c:v>
                </c:pt>
                <c:pt idx="44">
                  <c:v>160.15525665551394</c:v>
                </c:pt>
                <c:pt idx="45">
                  <c:v>77.512324288933002</c:v>
                </c:pt>
                <c:pt idx="46">
                  <c:v>-1261.3784176043951</c:v>
                </c:pt>
                <c:pt idx="47">
                  <c:v>136.49220050061092</c:v>
                </c:pt>
                <c:pt idx="48">
                  <c:v>389.47070736560164</c:v>
                </c:pt>
                <c:pt idx="49">
                  <c:v>-1015.1988994947587</c:v>
                </c:pt>
                <c:pt idx="50">
                  <c:v>-957.52448611628029</c:v>
                </c:pt>
                <c:pt idx="51">
                  <c:v>-455.84547405835565</c:v>
                </c:pt>
                <c:pt idx="52">
                  <c:v>-106.64493458115621</c:v>
                </c:pt>
                <c:pt idx="53">
                  <c:v>-274.55173944048266</c:v>
                </c:pt>
                <c:pt idx="54">
                  <c:v>-1167.2117938604592</c:v>
                </c:pt>
                <c:pt idx="55">
                  <c:v>-26.108098034271325</c:v>
                </c:pt>
                <c:pt idx="56">
                  <c:v>-5325.6452263309966</c:v>
                </c:pt>
                <c:pt idx="57">
                  <c:v>360.86841740271041</c:v>
                </c:pt>
                <c:pt idx="58">
                  <c:v>81.352990649708545</c:v>
                </c:pt>
                <c:pt idx="59">
                  <c:v>-650.87106768867454</c:v>
                </c:pt>
                <c:pt idx="60">
                  <c:v>-180.09676995292776</c:v>
                </c:pt>
                <c:pt idx="61">
                  <c:v>347.28680405919022</c:v>
                </c:pt>
                <c:pt idx="62">
                  <c:v>141.52531738936426</c:v>
                </c:pt>
                <c:pt idx="63">
                  <c:v>1364.0105287128899</c:v>
                </c:pt>
                <c:pt idx="64">
                  <c:v>32.27803309526935</c:v>
                </c:pt>
                <c:pt idx="65">
                  <c:v>-82.756201191038869</c:v>
                </c:pt>
                <c:pt idx="66">
                  <c:v>97.517215732867498</c:v>
                </c:pt>
                <c:pt idx="67">
                  <c:v>-1520.5851043099622</c:v>
                </c:pt>
                <c:pt idx="68">
                  <c:v>390.74135298309818</c:v>
                </c:pt>
                <c:pt idx="69">
                  <c:v>-336.81760454108922</c:v>
                </c:pt>
                <c:pt idx="70">
                  <c:v>94.772661762765438</c:v>
                </c:pt>
                <c:pt idx="71">
                  <c:v>323.92761409721572</c:v>
                </c:pt>
                <c:pt idx="72">
                  <c:v>55.400668580013871</c:v>
                </c:pt>
                <c:pt idx="73">
                  <c:v>-510.28450504765317</c:v>
                </c:pt>
                <c:pt idx="74">
                  <c:v>-2056.5922836286745</c:v>
                </c:pt>
                <c:pt idx="75">
                  <c:v>-1020.0636563131036</c:v>
                </c:pt>
                <c:pt idx="76">
                  <c:v>443.63236844952064</c:v>
                </c:pt>
                <c:pt idx="77">
                  <c:v>755.01378952110429</c:v>
                </c:pt>
                <c:pt idx="78">
                  <c:v>30.402598864750779</c:v>
                </c:pt>
                <c:pt idx="79">
                  <c:v>618.84587324948336</c:v>
                </c:pt>
                <c:pt idx="80">
                  <c:v>-408.57723345201936</c:v>
                </c:pt>
                <c:pt idx="81">
                  <c:v>-51.727871467690555</c:v>
                </c:pt>
                <c:pt idx="82">
                  <c:v>338.9925132602437</c:v>
                </c:pt>
                <c:pt idx="83">
                  <c:v>54.664955134881758</c:v>
                </c:pt>
                <c:pt idx="84">
                  <c:v>-316.46155396992123</c:v>
                </c:pt>
                <c:pt idx="85">
                  <c:v>348.69561196319665</c:v>
                </c:pt>
                <c:pt idx="86">
                  <c:v>-969.46975018571538</c:v>
                </c:pt>
                <c:pt idx="87">
                  <c:v>490.92563853178979</c:v>
                </c:pt>
                <c:pt idx="88">
                  <c:v>1037.3850496404507</c:v>
                </c:pt>
                <c:pt idx="89">
                  <c:v>-4006.3101128426592</c:v>
                </c:pt>
                <c:pt idx="90">
                  <c:v>-449.38132005853947</c:v>
                </c:pt>
                <c:pt idx="91">
                  <c:v>-68.37065788133323</c:v>
                </c:pt>
                <c:pt idx="92">
                  <c:v>1094.4433434703465</c:v>
                </c:pt>
                <c:pt idx="93">
                  <c:v>812.48128700730763</c:v>
                </c:pt>
                <c:pt idx="94">
                  <c:v>-171.17955732946524</c:v>
                </c:pt>
                <c:pt idx="95">
                  <c:v>189.92518481962878</c:v>
                </c:pt>
                <c:pt idx="96">
                  <c:v>-388.45271596557245</c:v>
                </c:pt>
                <c:pt idx="97">
                  <c:v>-954.46781502412682</c:v>
                </c:pt>
                <c:pt idx="98">
                  <c:v>30.89444287745814</c:v>
                </c:pt>
                <c:pt idx="99">
                  <c:v>-63.681939016394153</c:v>
                </c:pt>
                <c:pt idx="100">
                  <c:v>-128.08962538263958</c:v>
                </c:pt>
                <c:pt idx="101">
                  <c:v>-256.17566584281076</c:v>
                </c:pt>
                <c:pt idx="102">
                  <c:v>-455.68825937529954</c:v>
                </c:pt>
                <c:pt idx="103">
                  <c:v>563.88178462322196</c:v>
                </c:pt>
                <c:pt idx="104">
                  <c:v>-1664.7372755517113</c:v>
                </c:pt>
                <c:pt idx="105">
                  <c:v>-1630.0609472803039</c:v>
                </c:pt>
                <c:pt idx="106">
                  <c:v>-247.24759935728017</c:v>
                </c:pt>
                <c:pt idx="107">
                  <c:v>-105.29138227340586</c:v>
                </c:pt>
                <c:pt idx="108">
                  <c:v>365.61085866469227</c:v>
                </c:pt>
                <c:pt idx="109">
                  <c:v>264.3122020321905</c:v>
                </c:pt>
                <c:pt idx="110">
                  <c:v>402.44208875753793</c:v>
                </c:pt>
                <c:pt idx="111">
                  <c:v>153.75247056862304</c:v>
                </c:pt>
                <c:pt idx="112">
                  <c:v>145.20578100072834</c:v>
                </c:pt>
                <c:pt idx="113">
                  <c:v>73.66744383057717</c:v>
                </c:pt>
                <c:pt idx="114">
                  <c:v>57.852201240525304</c:v>
                </c:pt>
                <c:pt idx="115">
                  <c:v>507.1568851658667</c:v>
                </c:pt>
                <c:pt idx="116">
                  <c:v>-1248.8264791184631</c:v>
                </c:pt>
                <c:pt idx="117">
                  <c:v>-1441.9171641262674</c:v>
                </c:pt>
                <c:pt idx="118">
                  <c:v>22.317722335179589</c:v>
                </c:pt>
                <c:pt idx="119">
                  <c:v>-2608.4132037720165</c:v>
                </c:pt>
                <c:pt idx="120">
                  <c:v>-112.06295162595811</c:v>
                </c:pt>
                <c:pt idx="121">
                  <c:v>-2552.7613653301919</c:v>
                </c:pt>
                <c:pt idx="122">
                  <c:v>236.53389188788961</c:v>
                </c:pt>
                <c:pt idx="123">
                  <c:v>289.35507765596827</c:v>
                </c:pt>
                <c:pt idx="124">
                  <c:v>-2029.2862546163174</c:v>
                </c:pt>
                <c:pt idx="125">
                  <c:v>-167.44641508805012</c:v>
                </c:pt>
                <c:pt idx="126">
                  <c:v>-1404.3949729154451</c:v>
                </c:pt>
                <c:pt idx="127">
                  <c:v>-153.936843367633</c:v>
                </c:pt>
                <c:pt idx="128">
                  <c:v>291.91203016242622</c:v>
                </c:pt>
                <c:pt idx="129">
                  <c:v>-46.928202297029564</c:v>
                </c:pt>
                <c:pt idx="130">
                  <c:v>-198.30714519117618</c:v>
                </c:pt>
                <c:pt idx="131">
                  <c:v>64.04419614376306</c:v>
                </c:pt>
                <c:pt idx="132">
                  <c:v>276.9163132062705</c:v>
                </c:pt>
                <c:pt idx="133">
                  <c:v>397.03473345372049</c:v>
                </c:pt>
                <c:pt idx="134">
                  <c:v>-503.12496008322012</c:v>
                </c:pt>
                <c:pt idx="135">
                  <c:v>307.13181503658086</c:v>
                </c:pt>
                <c:pt idx="136">
                  <c:v>-875.61849832010125</c:v>
                </c:pt>
                <c:pt idx="137">
                  <c:v>246.09183447422038</c:v>
                </c:pt>
                <c:pt idx="138">
                  <c:v>74.672748999182573</c:v>
                </c:pt>
                <c:pt idx="139">
                  <c:v>263.53953268120307</c:v>
                </c:pt>
                <c:pt idx="140">
                  <c:v>347.19698418640303</c:v>
                </c:pt>
                <c:pt idx="141">
                  <c:v>100.65624215623339</c:v>
                </c:pt>
                <c:pt idx="142">
                  <c:v>451.3210884365908</c:v>
                </c:pt>
                <c:pt idx="143">
                  <c:v>-339.49493325114537</c:v>
                </c:pt>
                <c:pt idx="144">
                  <c:v>4.9638213082937002</c:v>
                </c:pt>
                <c:pt idx="145">
                  <c:v>539.07287704334067</c:v>
                </c:pt>
                <c:pt idx="146">
                  <c:v>202.03349185311714</c:v>
                </c:pt>
                <c:pt idx="147">
                  <c:v>5.018415409134013</c:v>
                </c:pt>
                <c:pt idx="148">
                  <c:v>-1600.3517600279836</c:v>
                </c:pt>
                <c:pt idx="149">
                  <c:v>-3047.3500782838728</c:v>
                </c:pt>
                <c:pt idx="150">
                  <c:v>852.74122269813995</c:v>
                </c:pt>
                <c:pt idx="151">
                  <c:v>-1007.3649503765294</c:v>
                </c:pt>
                <c:pt idx="152">
                  <c:v>68.290183034174291</c:v>
                </c:pt>
                <c:pt idx="153">
                  <c:v>266.99786117735653</c:v>
                </c:pt>
                <c:pt idx="154">
                  <c:v>737.32556375493334</c:v>
                </c:pt>
                <c:pt idx="155">
                  <c:v>-1097.5664454773239</c:v>
                </c:pt>
                <c:pt idx="156">
                  <c:v>-2074.1378840620441</c:v>
                </c:pt>
                <c:pt idx="157">
                  <c:v>-3576.2311631094658</c:v>
                </c:pt>
                <c:pt idx="158">
                  <c:v>141.66986745415534</c:v>
                </c:pt>
                <c:pt idx="159">
                  <c:v>198.2314154116882</c:v>
                </c:pt>
                <c:pt idx="160">
                  <c:v>-1962.5635456111638</c:v>
                </c:pt>
                <c:pt idx="161">
                  <c:v>304.76894168630162</c:v>
                </c:pt>
                <c:pt idx="162">
                  <c:v>856.36541081781854</c:v>
                </c:pt>
                <c:pt idx="163">
                  <c:v>82.870432313721267</c:v>
                </c:pt>
                <c:pt idx="164">
                  <c:v>31.92545451686301</c:v>
                </c:pt>
                <c:pt idx="165">
                  <c:v>117.46216991535974</c:v>
                </c:pt>
                <c:pt idx="166">
                  <c:v>-464.90697323456482</c:v>
                </c:pt>
                <c:pt idx="167">
                  <c:v>-452.62036027346824</c:v>
                </c:pt>
                <c:pt idx="168">
                  <c:v>52.782674126438721</c:v>
                </c:pt>
              </c:numCache>
            </c:numRef>
          </c:xVal>
          <c:yVal>
            <c:numRef>
              <c:f>DATA!$AF$7:$AF$175</c:f>
              <c:numCache>
                <c:formatCode>#,##0_);\(#,##0\)</c:formatCode>
                <c:ptCount val="169"/>
                <c:pt idx="0">
                  <c:v>287.3089531502423</c:v>
                </c:pt>
                <c:pt idx="1">
                  <c:v>156.35356807389238</c:v>
                </c:pt>
                <c:pt idx="2">
                  <c:v>229.51428504998836</c:v>
                </c:pt>
                <c:pt idx="3">
                  <c:v>615.46090991485858</c:v>
                </c:pt>
                <c:pt idx="4">
                  <c:v>254.35906813361609</c:v>
                </c:pt>
                <c:pt idx="5">
                  <c:v>229.0855051341504</c:v>
                </c:pt>
                <c:pt idx="6">
                  <c:v>293.49270838495465</c:v>
                </c:pt>
                <c:pt idx="7">
                  <c:v>373.24866156615661</c:v>
                </c:pt>
                <c:pt idx="8">
                  <c:v>257.20366018954837</c:v>
                </c:pt>
                <c:pt idx="9">
                  <c:v>268.73705439330541</c:v>
                </c:pt>
                <c:pt idx="10">
                  <c:v>271.48754377006128</c:v>
                </c:pt>
                <c:pt idx="11">
                  <c:v>316.32934520217259</c:v>
                </c:pt>
                <c:pt idx="12">
                  <c:v>222.53492933537049</c:v>
                </c:pt>
                <c:pt idx="13">
                  <c:v>313.46918403211419</c:v>
                </c:pt>
                <c:pt idx="14">
                  <c:v>107.5670867934637</c:v>
                </c:pt>
                <c:pt idx="15">
                  <c:v>444.43370300751877</c:v>
                </c:pt>
                <c:pt idx="16">
                  <c:v>195.44022581604335</c:v>
                </c:pt>
                <c:pt idx="17">
                  <c:v>346.79938786565543</c:v>
                </c:pt>
                <c:pt idx="18">
                  <c:v>192.49442791970802</c:v>
                </c:pt>
                <c:pt idx="19">
                  <c:v>355.10215952685422</c:v>
                </c:pt>
                <c:pt idx="20">
                  <c:v>639.149869337979</c:v>
                </c:pt>
                <c:pt idx="21">
                  <c:v>202.13554600507911</c:v>
                </c:pt>
                <c:pt idx="22">
                  <c:v>360.94489664208072</c:v>
                </c:pt>
                <c:pt idx="23">
                  <c:v>173.09133513289038</c:v>
                </c:pt>
                <c:pt idx="24">
                  <c:v>329.31964461454345</c:v>
                </c:pt>
                <c:pt idx="25">
                  <c:v>308.6037512036591</c:v>
                </c:pt>
                <c:pt idx="26">
                  <c:v>259.15290108769545</c:v>
                </c:pt>
                <c:pt idx="27">
                  <c:v>259.24519960915688</c:v>
                </c:pt>
                <c:pt idx="28">
                  <c:v>139.28968975705843</c:v>
                </c:pt>
                <c:pt idx="29">
                  <c:v>269.52973383856829</c:v>
                </c:pt>
                <c:pt idx="30">
                  <c:v>317.9403554970375</c:v>
                </c:pt>
                <c:pt idx="31">
                  <c:v>256.74407961399277</c:v>
                </c:pt>
                <c:pt idx="32">
                  <c:v>303.0021989556692</c:v>
                </c:pt>
                <c:pt idx="33">
                  <c:v>190.28776025717664</c:v>
                </c:pt>
                <c:pt idx="34">
                  <c:v>1564.0897379928315</c:v>
                </c:pt>
                <c:pt idx="35">
                  <c:v>285.50633694474539</c:v>
                </c:pt>
                <c:pt idx="36">
                  <c:v>173.88748656646678</c:v>
                </c:pt>
                <c:pt idx="37">
                  <c:v>371.51611686991868</c:v>
                </c:pt>
                <c:pt idx="38">
                  <c:v>321.51027849483717</c:v>
                </c:pt>
                <c:pt idx="39">
                  <c:v>244.81004432042022</c:v>
                </c:pt>
                <c:pt idx="40">
                  <c:v>281.42852594794965</c:v>
                </c:pt>
                <c:pt idx="41">
                  <c:v>150.16033308288283</c:v>
                </c:pt>
                <c:pt idx="42">
                  <c:v>192.12727808825039</c:v>
                </c:pt>
                <c:pt idx="43">
                  <c:v>273.61195159265651</c:v>
                </c:pt>
                <c:pt idx="44">
                  <c:v>224.30533485506604</c:v>
                </c:pt>
                <c:pt idx="45">
                  <c:v>216.31669090909091</c:v>
                </c:pt>
                <c:pt idx="46">
                  <c:v>604.99055364238404</c:v>
                </c:pt>
                <c:pt idx="47">
                  <c:v>293.63780909090906</c:v>
                </c:pt>
                <c:pt idx="48">
                  <c:v>187.3660579095729</c:v>
                </c:pt>
                <c:pt idx="49">
                  <c:v>446.14838894721055</c:v>
                </c:pt>
                <c:pt idx="50">
                  <c:v>528.08405510927048</c:v>
                </c:pt>
                <c:pt idx="51">
                  <c:v>443.95484899130918</c:v>
                </c:pt>
                <c:pt idx="52">
                  <c:v>239.32952307692307</c:v>
                </c:pt>
                <c:pt idx="53">
                  <c:v>450.34714118259961</c:v>
                </c:pt>
                <c:pt idx="54">
                  <c:v>326.28500338638673</c:v>
                </c:pt>
                <c:pt idx="55">
                  <c:v>349.01888470400564</c:v>
                </c:pt>
                <c:pt idx="56">
                  <c:v>1772.5634221972039</c:v>
                </c:pt>
                <c:pt idx="57">
                  <c:v>182.06403963542104</c:v>
                </c:pt>
                <c:pt idx="58">
                  <c:v>118.24448655485222</c:v>
                </c:pt>
                <c:pt idx="59">
                  <c:v>420.14406991553824</c:v>
                </c:pt>
                <c:pt idx="60">
                  <c:v>304.06580007191656</c:v>
                </c:pt>
                <c:pt idx="61">
                  <c:v>210.67296455066051</c:v>
                </c:pt>
                <c:pt idx="62">
                  <c:v>277.80279338842973</c:v>
                </c:pt>
                <c:pt idx="63">
                  <c:v>96.651719611603923</c:v>
                </c:pt>
                <c:pt idx="64">
                  <c:v>195.56542091271598</c:v>
                </c:pt>
                <c:pt idx="65">
                  <c:v>270.12363023420869</c:v>
                </c:pt>
                <c:pt idx="66">
                  <c:v>307.27313005810333</c:v>
                </c:pt>
                <c:pt idx="67">
                  <c:v>271.5225480769231</c:v>
                </c:pt>
                <c:pt idx="68">
                  <c:v>166.53117933244789</c:v>
                </c:pt>
                <c:pt idx="69">
                  <c:v>332.49923050299952</c:v>
                </c:pt>
                <c:pt idx="70">
                  <c:v>220.32692228899205</c:v>
                </c:pt>
                <c:pt idx="71">
                  <c:v>225.45372284233605</c:v>
                </c:pt>
                <c:pt idx="72">
                  <c:v>180.99246769727733</c:v>
                </c:pt>
                <c:pt idx="73">
                  <c:v>301.83518379728764</c:v>
                </c:pt>
                <c:pt idx="74">
                  <c:v>399.82063094745553</c:v>
                </c:pt>
                <c:pt idx="75">
                  <c:v>444.49562373557876</c:v>
                </c:pt>
                <c:pt idx="76">
                  <c:v>209.61570619114715</c:v>
                </c:pt>
                <c:pt idx="77">
                  <c:v>117.00221795746616</c:v>
                </c:pt>
                <c:pt idx="78">
                  <c:v>318.67168724601436</c:v>
                </c:pt>
                <c:pt idx="79">
                  <c:v>163.99299756141764</c:v>
                </c:pt>
                <c:pt idx="80">
                  <c:v>386.67298708609269</c:v>
                </c:pt>
                <c:pt idx="81">
                  <c:v>273.53470707984616</c:v>
                </c:pt>
                <c:pt idx="82">
                  <c:v>202.95966154105051</c:v>
                </c:pt>
                <c:pt idx="83">
                  <c:v>345.40017379097822</c:v>
                </c:pt>
                <c:pt idx="84">
                  <c:v>357.16556122968768</c:v>
                </c:pt>
                <c:pt idx="85">
                  <c:v>179.37542059528056</c:v>
                </c:pt>
                <c:pt idx="86">
                  <c:v>265.70902626050417</c:v>
                </c:pt>
                <c:pt idx="87">
                  <c:v>181.52923244510163</c:v>
                </c:pt>
                <c:pt idx="88">
                  <c:v>120.47060212413831</c:v>
                </c:pt>
                <c:pt idx="89">
                  <c:v>1729.9989027234428</c:v>
                </c:pt>
                <c:pt idx="90">
                  <c:v>320.35056638115628</c:v>
                </c:pt>
                <c:pt idx="91">
                  <c:v>288.94650822273513</c:v>
                </c:pt>
                <c:pt idx="92">
                  <c:v>129.2023612070156</c:v>
                </c:pt>
                <c:pt idx="93">
                  <c:v>115.31335308829925</c:v>
                </c:pt>
                <c:pt idx="94">
                  <c:v>244.56698191759281</c:v>
                </c:pt>
                <c:pt idx="95">
                  <c:v>238.59050994902961</c:v>
                </c:pt>
                <c:pt idx="96">
                  <c:v>388.06895389240958</c:v>
                </c:pt>
                <c:pt idx="97">
                  <c:v>284.00838176352704</c:v>
                </c:pt>
                <c:pt idx="98">
                  <c:v>266.25524681916153</c:v>
                </c:pt>
                <c:pt idx="99">
                  <c:v>40.356744522215457</c:v>
                </c:pt>
                <c:pt idx="100">
                  <c:v>286.33451709633084</c:v>
                </c:pt>
                <c:pt idx="101">
                  <c:v>254.85801455301453</c:v>
                </c:pt>
                <c:pt idx="102">
                  <c:v>310.00558379287622</c:v>
                </c:pt>
                <c:pt idx="103">
                  <c:v>142.74735918018999</c:v>
                </c:pt>
                <c:pt idx="104">
                  <c:v>476.57989734140563</c:v>
                </c:pt>
                <c:pt idx="105">
                  <c:v>330.90213199454081</c:v>
                </c:pt>
                <c:pt idx="106">
                  <c:v>394.51929632553464</c:v>
                </c:pt>
                <c:pt idx="107">
                  <c:v>288.13469613693468</c:v>
                </c:pt>
                <c:pt idx="108">
                  <c:v>154.03590567885115</c:v>
                </c:pt>
                <c:pt idx="109">
                  <c:v>206.42972223785671</c:v>
                </c:pt>
                <c:pt idx="110">
                  <c:v>200.7822709499506</c:v>
                </c:pt>
                <c:pt idx="111">
                  <c:v>272.41558129888597</c:v>
                </c:pt>
                <c:pt idx="112">
                  <c:v>283.42258643406768</c:v>
                </c:pt>
                <c:pt idx="113">
                  <c:v>212.83667806777521</c:v>
                </c:pt>
                <c:pt idx="114">
                  <c:v>255.57783403361344</c:v>
                </c:pt>
                <c:pt idx="115">
                  <c:v>153.03370915374947</c:v>
                </c:pt>
                <c:pt idx="116">
                  <c:v>571.0448558162268</c:v>
                </c:pt>
                <c:pt idx="117">
                  <c:v>720.60093210100285</c:v>
                </c:pt>
                <c:pt idx="118">
                  <c:v>287.82820012156202</c:v>
                </c:pt>
                <c:pt idx="119">
                  <c:v>492.78838657105604</c:v>
                </c:pt>
                <c:pt idx="120">
                  <c:v>305.32121854780735</c:v>
                </c:pt>
                <c:pt idx="121">
                  <c:v>331.75634605051044</c:v>
                </c:pt>
                <c:pt idx="122">
                  <c:v>88.064430707303032</c:v>
                </c:pt>
                <c:pt idx="123">
                  <c:v>228.62370018143332</c:v>
                </c:pt>
                <c:pt idx="124">
                  <c:v>428.441744312026</c:v>
                </c:pt>
                <c:pt idx="125">
                  <c:v>274.89694264610307</c:v>
                </c:pt>
                <c:pt idx="126">
                  <c:v>360.0462427626137</c:v>
                </c:pt>
                <c:pt idx="127">
                  <c:v>467.23688429909714</c:v>
                </c:pt>
                <c:pt idx="128">
                  <c:v>273.84247138988383</c:v>
                </c:pt>
                <c:pt idx="129">
                  <c:v>315.1199138064917</c:v>
                </c:pt>
                <c:pt idx="130">
                  <c:v>311.81456114075712</c:v>
                </c:pt>
                <c:pt idx="131">
                  <c:v>266.14879504712621</c:v>
                </c:pt>
                <c:pt idx="132">
                  <c:v>202.08284829202947</c:v>
                </c:pt>
                <c:pt idx="133">
                  <c:v>195.47625529705027</c:v>
                </c:pt>
                <c:pt idx="134">
                  <c:v>436.29028168474537</c:v>
                </c:pt>
                <c:pt idx="135">
                  <c:v>154.08562549329125</c:v>
                </c:pt>
                <c:pt idx="136">
                  <c:v>448.43874831327247</c:v>
                </c:pt>
                <c:pt idx="137">
                  <c:v>220.05056815104268</c:v>
                </c:pt>
                <c:pt idx="138">
                  <c:v>302.91287489670077</c:v>
                </c:pt>
                <c:pt idx="139">
                  <c:v>213.68724077384752</c:v>
                </c:pt>
                <c:pt idx="140">
                  <c:v>185.84440309212624</c:v>
                </c:pt>
                <c:pt idx="141">
                  <c:v>319.47437771249247</c:v>
                </c:pt>
                <c:pt idx="142">
                  <c:v>170.33459873547599</c:v>
                </c:pt>
                <c:pt idx="143">
                  <c:v>334.4265003724035</c:v>
                </c:pt>
                <c:pt idx="144">
                  <c:v>167.98540345821326</c:v>
                </c:pt>
                <c:pt idx="145">
                  <c:v>218.09450409541108</c:v>
                </c:pt>
                <c:pt idx="146">
                  <c:v>198.97567868098159</c:v>
                </c:pt>
                <c:pt idx="147">
                  <c:v>253.60490307456993</c:v>
                </c:pt>
                <c:pt idx="148">
                  <c:v>197.79857796610167</c:v>
                </c:pt>
                <c:pt idx="149">
                  <c:v>565.22859769792251</c:v>
                </c:pt>
                <c:pt idx="150">
                  <c:v>119.53390245065968</c:v>
                </c:pt>
                <c:pt idx="151">
                  <c:v>262.30951468628257</c:v>
                </c:pt>
                <c:pt idx="152">
                  <c:v>238.09935051592441</c:v>
                </c:pt>
                <c:pt idx="153">
                  <c:v>382.79057230817807</c:v>
                </c:pt>
                <c:pt idx="154">
                  <c:v>152.66745659361504</c:v>
                </c:pt>
                <c:pt idx="155">
                  <c:v>269.75012929789079</c:v>
                </c:pt>
                <c:pt idx="156">
                  <c:v>1004.3655910729948</c:v>
                </c:pt>
                <c:pt idx="157">
                  <c:v>1175.1181446822816</c:v>
                </c:pt>
                <c:pt idx="158">
                  <c:v>274.24916829635202</c:v>
                </c:pt>
                <c:pt idx="159">
                  <c:v>227.88760717846458</c:v>
                </c:pt>
                <c:pt idx="160">
                  <c:v>873.0329455674821</c:v>
                </c:pt>
                <c:pt idx="161">
                  <c:v>181.44683139013452</c:v>
                </c:pt>
                <c:pt idx="162">
                  <c:v>110.77569563499901</c:v>
                </c:pt>
                <c:pt idx="163">
                  <c:v>241.51398917525773</c:v>
                </c:pt>
                <c:pt idx="164">
                  <c:v>209.62561048599471</c:v>
                </c:pt>
                <c:pt idx="165">
                  <c:v>229.14487176414187</c:v>
                </c:pt>
                <c:pt idx="166">
                  <c:v>670.24248134951563</c:v>
                </c:pt>
                <c:pt idx="167">
                  <c:v>333.281897073663</c:v>
                </c:pt>
                <c:pt idx="168">
                  <c:v>265.72329141452343</c:v>
                </c:pt>
              </c:numCache>
            </c:numRef>
          </c:yVal>
          <c:smooth val="0"/>
        </c:ser>
        <c:dLbls>
          <c:showLegendKey val="0"/>
          <c:showVal val="0"/>
          <c:showCatName val="0"/>
          <c:showSerName val="0"/>
          <c:showPercent val="0"/>
          <c:showBubbleSize val="0"/>
        </c:dLbls>
        <c:axId val="303671432"/>
        <c:axId val="299046472"/>
      </c:scatterChart>
      <c:valAx>
        <c:axId val="303671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Index of Fiscal Disparities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9046472"/>
        <c:crosses val="autoZero"/>
        <c:crossBetween val="midCat"/>
      </c:valAx>
      <c:valAx>
        <c:axId val="299046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AGI</a:t>
                </a:r>
                <a:r>
                  <a:rPr lang="en-US" baseline="0"/>
                  <a:t> Tax Per Capita</a:t>
                </a:r>
              </a:p>
              <a:p>
                <a:pPr>
                  <a:defRPr/>
                </a:pP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_);\(#,##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36714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DATA!$AJ$5</c:f>
              <c:strCache>
                <c:ptCount val="1"/>
                <c:pt idx="0">
                  <c:v>Earnings place of work</c:v>
                </c:pt>
              </c:strCache>
            </c:strRef>
          </c:tx>
          <c:spPr>
            <a:ln w="25400" cap="rnd">
              <a:noFill/>
              <a:round/>
            </a:ln>
            <a:effectLst/>
          </c:spPr>
          <c:marker>
            <c:symbol val="circle"/>
            <c:size val="5"/>
            <c:spPr>
              <a:solidFill>
                <a:schemeClr val="accent1"/>
              </a:solidFill>
              <a:ln w="9525">
                <a:solidFill>
                  <a:schemeClr val="accent1"/>
                </a:solidFill>
              </a:ln>
              <a:effectLst/>
            </c:spPr>
          </c:marker>
          <c:xVal>
            <c:numRef>
              <c:f>DATA!$Z$7:$Z$175</c:f>
              <c:numCache>
                <c:formatCode>0.00</c:formatCode>
                <c:ptCount val="169"/>
                <c:pt idx="0">
                  <c:v>75.805302671260705</c:v>
                </c:pt>
                <c:pt idx="1">
                  <c:v>667.29530625570465</c:v>
                </c:pt>
                <c:pt idx="2">
                  <c:v>289.14589113981071</c:v>
                </c:pt>
                <c:pt idx="3">
                  <c:v>-611.38903118332655</c:v>
                </c:pt>
                <c:pt idx="4">
                  <c:v>-28.33112254872858</c:v>
                </c:pt>
                <c:pt idx="5">
                  <c:v>125.70761193964999</c:v>
                </c:pt>
                <c:pt idx="6">
                  <c:v>-114.51201830529881</c:v>
                </c:pt>
                <c:pt idx="7">
                  <c:v>-227.40322946764778</c:v>
                </c:pt>
                <c:pt idx="8">
                  <c:v>-201.22396894841549</c:v>
                </c:pt>
                <c:pt idx="9">
                  <c:v>-270.19466101934921</c:v>
                </c:pt>
                <c:pt idx="10">
                  <c:v>126.66396476801351</c:v>
                </c:pt>
                <c:pt idx="11">
                  <c:v>79.294156609518083</c:v>
                </c:pt>
                <c:pt idx="12">
                  <c:v>-5.0524506189537082</c:v>
                </c:pt>
                <c:pt idx="13">
                  <c:v>-422.74237705603991</c:v>
                </c:pt>
                <c:pt idx="14">
                  <c:v>1118.7486704456792</c:v>
                </c:pt>
                <c:pt idx="15">
                  <c:v>-1634.7679171814298</c:v>
                </c:pt>
                <c:pt idx="16">
                  <c:v>447.11338536226788</c:v>
                </c:pt>
                <c:pt idx="17">
                  <c:v>-660.33029235351671</c:v>
                </c:pt>
                <c:pt idx="18">
                  <c:v>317.27851732942838</c:v>
                </c:pt>
                <c:pt idx="19">
                  <c:v>-110.32362938003912</c:v>
                </c:pt>
                <c:pt idx="20">
                  <c:v>-676.34708559770127</c:v>
                </c:pt>
                <c:pt idx="21">
                  <c:v>265.61643910746193</c:v>
                </c:pt>
                <c:pt idx="22">
                  <c:v>-220.65295454071634</c:v>
                </c:pt>
                <c:pt idx="23">
                  <c:v>317.27942275134438</c:v>
                </c:pt>
                <c:pt idx="24">
                  <c:v>-33.43921257967736</c:v>
                </c:pt>
                <c:pt idx="25">
                  <c:v>-323.03489938217581</c:v>
                </c:pt>
                <c:pt idx="26">
                  <c:v>-354.2199605106178</c:v>
                </c:pt>
                <c:pt idx="27">
                  <c:v>182.89378469576673</c:v>
                </c:pt>
                <c:pt idx="28">
                  <c:v>-260.40701328171383</c:v>
                </c:pt>
                <c:pt idx="29">
                  <c:v>-3.3850059126223639</c:v>
                </c:pt>
                <c:pt idx="30">
                  <c:v>-2197.0063972889748</c:v>
                </c:pt>
                <c:pt idx="31">
                  <c:v>157.39172044417242</c:v>
                </c:pt>
                <c:pt idx="32">
                  <c:v>33.948731267046377</c:v>
                </c:pt>
                <c:pt idx="33">
                  <c:v>143.26455620869947</c:v>
                </c:pt>
                <c:pt idx="34">
                  <c:v>-3612.5522477350642</c:v>
                </c:pt>
                <c:pt idx="35">
                  <c:v>-220.27154267196889</c:v>
                </c:pt>
                <c:pt idx="36">
                  <c:v>605.65729417606849</c:v>
                </c:pt>
                <c:pt idx="37">
                  <c:v>-135.58035143450624</c:v>
                </c:pt>
                <c:pt idx="38">
                  <c:v>-149.07072078137693</c:v>
                </c:pt>
                <c:pt idx="39">
                  <c:v>-80.490694465695057</c:v>
                </c:pt>
                <c:pt idx="40">
                  <c:v>52.464968662503722</c:v>
                </c:pt>
                <c:pt idx="41">
                  <c:v>735.43655908665016</c:v>
                </c:pt>
                <c:pt idx="42">
                  <c:v>355.09081903550668</c:v>
                </c:pt>
                <c:pt idx="43">
                  <c:v>-281.24897619139853</c:v>
                </c:pt>
                <c:pt idx="44">
                  <c:v>160.15525665551394</c:v>
                </c:pt>
                <c:pt idx="45">
                  <c:v>77.512324288933002</c:v>
                </c:pt>
                <c:pt idx="46">
                  <c:v>-1261.3784176043951</c:v>
                </c:pt>
                <c:pt idx="47">
                  <c:v>136.49220050061092</c:v>
                </c:pt>
                <c:pt idx="48">
                  <c:v>389.47070736560164</c:v>
                </c:pt>
                <c:pt idx="49">
                  <c:v>-1015.1988994947587</c:v>
                </c:pt>
                <c:pt idx="50">
                  <c:v>-957.52448611628029</c:v>
                </c:pt>
                <c:pt idx="51">
                  <c:v>-455.84547405835565</c:v>
                </c:pt>
                <c:pt idx="52">
                  <c:v>-106.64493458115621</c:v>
                </c:pt>
                <c:pt idx="53">
                  <c:v>-274.55173944048266</c:v>
                </c:pt>
                <c:pt idx="54">
                  <c:v>-1167.2117938604592</c:v>
                </c:pt>
                <c:pt idx="55">
                  <c:v>-26.108098034271325</c:v>
                </c:pt>
                <c:pt idx="56">
                  <c:v>-5325.6452263309966</c:v>
                </c:pt>
                <c:pt idx="57">
                  <c:v>360.86841740271041</c:v>
                </c:pt>
                <c:pt idx="58">
                  <c:v>81.352990649708545</c:v>
                </c:pt>
                <c:pt idx="59">
                  <c:v>-650.87106768867454</c:v>
                </c:pt>
                <c:pt idx="60">
                  <c:v>-180.09676995292776</c:v>
                </c:pt>
                <c:pt idx="61">
                  <c:v>347.28680405919022</c:v>
                </c:pt>
                <c:pt idx="62">
                  <c:v>141.52531738936426</c:v>
                </c:pt>
                <c:pt idx="63">
                  <c:v>1364.0105287128899</c:v>
                </c:pt>
                <c:pt idx="64">
                  <c:v>32.27803309526935</c:v>
                </c:pt>
                <c:pt idx="65">
                  <c:v>-82.756201191038869</c:v>
                </c:pt>
                <c:pt idx="66">
                  <c:v>97.517215732867498</c:v>
                </c:pt>
                <c:pt idx="67">
                  <c:v>-1520.5851043099622</c:v>
                </c:pt>
                <c:pt idx="68">
                  <c:v>390.74135298309818</c:v>
                </c:pt>
                <c:pt idx="69">
                  <c:v>-336.81760454108922</c:v>
                </c:pt>
                <c:pt idx="70">
                  <c:v>94.772661762765438</c:v>
                </c:pt>
                <c:pt idx="71">
                  <c:v>323.92761409721572</c:v>
                </c:pt>
                <c:pt idx="72">
                  <c:v>55.400668580013871</c:v>
                </c:pt>
                <c:pt idx="73">
                  <c:v>-510.28450504765317</c:v>
                </c:pt>
                <c:pt idx="74">
                  <c:v>-2056.5922836286745</c:v>
                </c:pt>
                <c:pt idx="75">
                  <c:v>-1020.0636563131036</c:v>
                </c:pt>
                <c:pt idx="76">
                  <c:v>443.63236844952064</c:v>
                </c:pt>
                <c:pt idx="77">
                  <c:v>755.01378952110429</c:v>
                </c:pt>
                <c:pt idx="78">
                  <c:v>30.402598864750779</c:v>
                </c:pt>
                <c:pt idx="79">
                  <c:v>618.84587324948336</c:v>
                </c:pt>
                <c:pt idx="80">
                  <c:v>-408.57723345201936</c:v>
                </c:pt>
                <c:pt idx="81">
                  <c:v>-51.727871467690555</c:v>
                </c:pt>
                <c:pt idx="82">
                  <c:v>338.9925132602437</c:v>
                </c:pt>
                <c:pt idx="83">
                  <c:v>54.664955134881758</c:v>
                </c:pt>
                <c:pt idx="84">
                  <c:v>-316.46155396992123</c:v>
                </c:pt>
                <c:pt idx="85">
                  <c:v>348.69561196319665</c:v>
                </c:pt>
                <c:pt idx="86">
                  <c:v>-969.46975018571538</c:v>
                </c:pt>
                <c:pt idx="87">
                  <c:v>490.92563853178979</c:v>
                </c:pt>
                <c:pt idx="88">
                  <c:v>1037.3850496404507</c:v>
                </c:pt>
                <c:pt idx="89">
                  <c:v>-4006.3101128426592</c:v>
                </c:pt>
                <c:pt idx="90">
                  <c:v>-449.38132005853947</c:v>
                </c:pt>
                <c:pt idx="91">
                  <c:v>-68.37065788133323</c:v>
                </c:pt>
                <c:pt idx="92">
                  <c:v>1094.4433434703465</c:v>
                </c:pt>
                <c:pt idx="93">
                  <c:v>812.48128700730763</c:v>
                </c:pt>
                <c:pt idx="94">
                  <c:v>-171.17955732946524</c:v>
                </c:pt>
                <c:pt idx="95">
                  <c:v>189.92518481962878</c:v>
                </c:pt>
                <c:pt idx="96">
                  <c:v>-388.45271596557245</c:v>
                </c:pt>
                <c:pt idx="97">
                  <c:v>-954.46781502412682</c:v>
                </c:pt>
                <c:pt idx="98">
                  <c:v>30.89444287745814</c:v>
                </c:pt>
                <c:pt idx="99">
                  <c:v>-63.681939016394153</c:v>
                </c:pt>
                <c:pt idx="100">
                  <c:v>-128.08962538263958</c:v>
                </c:pt>
                <c:pt idx="101">
                  <c:v>-256.17566584281076</c:v>
                </c:pt>
                <c:pt idx="102">
                  <c:v>-455.68825937529954</c:v>
                </c:pt>
                <c:pt idx="103">
                  <c:v>563.88178462322196</c:v>
                </c:pt>
                <c:pt idx="104">
                  <c:v>-1664.7372755517113</c:v>
                </c:pt>
                <c:pt idx="105">
                  <c:v>-1630.0609472803039</c:v>
                </c:pt>
                <c:pt idx="106">
                  <c:v>-247.24759935728017</c:v>
                </c:pt>
                <c:pt idx="107">
                  <c:v>-105.29138227340586</c:v>
                </c:pt>
                <c:pt idx="108">
                  <c:v>365.61085866469227</c:v>
                </c:pt>
                <c:pt idx="109">
                  <c:v>264.3122020321905</c:v>
                </c:pt>
                <c:pt idx="110">
                  <c:v>402.44208875753793</c:v>
                </c:pt>
                <c:pt idx="111">
                  <c:v>153.75247056862304</c:v>
                </c:pt>
                <c:pt idx="112">
                  <c:v>145.20578100072834</c:v>
                </c:pt>
                <c:pt idx="113">
                  <c:v>73.66744383057717</c:v>
                </c:pt>
                <c:pt idx="114">
                  <c:v>57.852201240525304</c:v>
                </c:pt>
                <c:pt idx="115">
                  <c:v>507.1568851658667</c:v>
                </c:pt>
                <c:pt idx="116">
                  <c:v>-1248.8264791184631</c:v>
                </c:pt>
                <c:pt idx="117">
                  <c:v>-1441.9171641262674</c:v>
                </c:pt>
                <c:pt idx="118">
                  <c:v>22.317722335179589</c:v>
                </c:pt>
                <c:pt idx="119">
                  <c:v>-2608.4132037720165</c:v>
                </c:pt>
                <c:pt idx="120">
                  <c:v>-112.06295162595811</c:v>
                </c:pt>
                <c:pt idx="121">
                  <c:v>-2552.7613653301919</c:v>
                </c:pt>
                <c:pt idx="122">
                  <c:v>236.53389188788961</c:v>
                </c:pt>
                <c:pt idx="123">
                  <c:v>289.35507765596827</c:v>
                </c:pt>
                <c:pt idx="124">
                  <c:v>-2029.2862546163174</c:v>
                </c:pt>
                <c:pt idx="125">
                  <c:v>-167.44641508805012</c:v>
                </c:pt>
                <c:pt idx="126">
                  <c:v>-1404.3949729154451</c:v>
                </c:pt>
                <c:pt idx="127">
                  <c:v>-153.936843367633</c:v>
                </c:pt>
                <c:pt idx="128">
                  <c:v>291.91203016242622</c:v>
                </c:pt>
                <c:pt idx="129">
                  <c:v>-46.928202297029564</c:v>
                </c:pt>
                <c:pt idx="130">
                  <c:v>-198.30714519117618</c:v>
                </c:pt>
                <c:pt idx="131">
                  <c:v>64.04419614376306</c:v>
                </c:pt>
                <c:pt idx="132">
                  <c:v>276.9163132062705</c:v>
                </c:pt>
                <c:pt idx="133">
                  <c:v>397.03473345372049</c:v>
                </c:pt>
                <c:pt idx="134">
                  <c:v>-503.12496008322012</c:v>
                </c:pt>
                <c:pt idx="135">
                  <c:v>307.13181503658086</c:v>
                </c:pt>
                <c:pt idx="136">
                  <c:v>-875.61849832010125</c:v>
                </c:pt>
                <c:pt idx="137">
                  <c:v>246.09183447422038</c:v>
                </c:pt>
                <c:pt idx="138">
                  <c:v>74.672748999182573</c:v>
                </c:pt>
                <c:pt idx="139">
                  <c:v>263.53953268120307</c:v>
                </c:pt>
                <c:pt idx="140">
                  <c:v>347.19698418640303</c:v>
                </c:pt>
                <c:pt idx="141">
                  <c:v>100.65624215623339</c:v>
                </c:pt>
                <c:pt idx="142">
                  <c:v>451.3210884365908</c:v>
                </c:pt>
                <c:pt idx="143">
                  <c:v>-339.49493325114537</c:v>
                </c:pt>
                <c:pt idx="144">
                  <c:v>4.9638213082937002</c:v>
                </c:pt>
                <c:pt idx="145">
                  <c:v>539.07287704334067</c:v>
                </c:pt>
                <c:pt idx="146">
                  <c:v>202.03349185311714</c:v>
                </c:pt>
                <c:pt idx="147">
                  <c:v>5.018415409134013</c:v>
                </c:pt>
                <c:pt idx="148">
                  <c:v>-1600.3517600279836</c:v>
                </c:pt>
                <c:pt idx="149">
                  <c:v>-3047.3500782838728</c:v>
                </c:pt>
                <c:pt idx="150">
                  <c:v>852.74122269813995</c:v>
                </c:pt>
                <c:pt idx="151">
                  <c:v>-1007.3649503765294</c:v>
                </c:pt>
                <c:pt idx="152">
                  <c:v>68.290183034174291</c:v>
                </c:pt>
                <c:pt idx="153">
                  <c:v>266.99786117735653</c:v>
                </c:pt>
                <c:pt idx="154">
                  <c:v>737.32556375493334</c:v>
                </c:pt>
                <c:pt idx="155">
                  <c:v>-1097.5664454773239</c:v>
                </c:pt>
                <c:pt idx="156">
                  <c:v>-2074.1378840620441</c:v>
                </c:pt>
                <c:pt idx="157">
                  <c:v>-3576.2311631094658</c:v>
                </c:pt>
                <c:pt idx="158">
                  <c:v>141.66986745415534</c:v>
                </c:pt>
                <c:pt idx="159">
                  <c:v>198.2314154116882</c:v>
                </c:pt>
                <c:pt idx="160">
                  <c:v>-1962.5635456111638</c:v>
                </c:pt>
                <c:pt idx="161">
                  <c:v>304.76894168630162</c:v>
                </c:pt>
                <c:pt idx="162">
                  <c:v>856.36541081781854</c:v>
                </c:pt>
                <c:pt idx="163">
                  <c:v>82.870432313721267</c:v>
                </c:pt>
                <c:pt idx="164">
                  <c:v>31.92545451686301</c:v>
                </c:pt>
                <c:pt idx="165">
                  <c:v>117.46216991535974</c:v>
                </c:pt>
                <c:pt idx="166">
                  <c:v>-464.90697323456482</c:v>
                </c:pt>
                <c:pt idx="167">
                  <c:v>-452.62036027346824</c:v>
                </c:pt>
                <c:pt idx="168">
                  <c:v>52.782674126438721</c:v>
                </c:pt>
              </c:numCache>
            </c:numRef>
          </c:xVal>
          <c:yVal>
            <c:numRef>
              <c:f>DATA!$AJ$7:$AJ$175</c:f>
              <c:numCache>
                <c:formatCode>#,##0_);\(#,##0\)</c:formatCode>
                <c:ptCount val="169"/>
                <c:pt idx="0">
                  <c:v>50.348866828517806</c:v>
                </c:pt>
                <c:pt idx="1">
                  <c:v>71.200265442646412</c:v>
                </c:pt>
                <c:pt idx="2">
                  <c:v>52.482901492687034</c:v>
                </c:pt>
                <c:pt idx="3">
                  <c:v>223.14108870089885</c:v>
                </c:pt>
                <c:pt idx="4">
                  <c:v>69.274490774522036</c:v>
                </c:pt>
                <c:pt idx="5">
                  <c:v>79.312199295164362</c:v>
                </c:pt>
                <c:pt idx="6">
                  <c:v>347.90026144330318</c:v>
                </c:pt>
                <c:pt idx="7">
                  <c:v>115.11947716803809</c:v>
                </c:pt>
                <c:pt idx="8">
                  <c:v>212.58746530337859</c:v>
                </c:pt>
                <c:pt idx="9">
                  <c:v>75.205524862075023</c:v>
                </c:pt>
                <c:pt idx="10">
                  <c:v>793.15338404394697</c:v>
                </c:pt>
                <c:pt idx="11">
                  <c:v>116.54293849234347</c:v>
                </c:pt>
                <c:pt idx="12">
                  <c:v>193.84408897659327</c:v>
                </c:pt>
                <c:pt idx="13">
                  <c:v>226.16426897067396</c:v>
                </c:pt>
                <c:pt idx="14">
                  <c:v>165.75455011784041</c:v>
                </c:pt>
                <c:pt idx="15">
                  <c:v>77.778551812159066</c:v>
                </c:pt>
                <c:pt idx="16">
                  <c:v>252.44797838602003</c:v>
                </c:pt>
                <c:pt idx="17">
                  <c:v>207.98911814589269</c:v>
                </c:pt>
                <c:pt idx="18">
                  <c:v>75.705767188946126</c:v>
                </c:pt>
                <c:pt idx="19">
                  <c:v>47.057847887568229</c:v>
                </c:pt>
                <c:pt idx="20">
                  <c:v>384.6883791148403</c:v>
                </c:pt>
                <c:pt idx="21">
                  <c:v>34.621472046768901</c:v>
                </c:pt>
                <c:pt idx="22">
                  <c:v>137.14574766777585</c:v>
                </c:pt>
                <c:pt idx="23">
                  <c:v>46.696111284497839</c:v>
                </c:pt>
                <c:pt idx="24">
                  <c:v>351.458328241988</c:v>
                </c:pt>
                <c:pt idx="25">
                  <c:v>292.3555042995016</c:v>
                </c:pt>
                <c:pt idx="26">
                  <c:v>123.98677237320874</c:v>
                </c:pt>
                <c:pt idx="27">
                  <c:v>105.74961197750611</c:v>
                </c:pt>
                <c:pt idx="28">
                  <c:v>37.09683616756238</c:v>
                </c:pt>
                <c:pt idx="29">
                  <c:v>73.029888440375075</c:v>
                </c:pt>
                <c:pt idx="30">
                  <c:v>101.96291158320528</c:v>
                </c:pt>
                <c:pt idx="31">
                  <c:v>44.728500904312426</c:v>
                </c:pt>
                <c:pt idx="32">
                  <c:v>221.35087135181988</c:v>
                </c:pt>
                <c:pt idx="33">
                  <c:v>354.12226337800769</c:v>
                </c:pt>
                <c:pt idx="34">
                  <c:v>274.49938920410239</c:v>
                </c:pt>
                <c:pt idx="35">
                  <c:v>162.13451861615906</c:v>
                </c:pt>
                <c:pt idx="36">
                  <c:v>145.41016554938435</c:v>
                </c:pt>
                <c:pt idx="37">
                  <c:v>145.69081571942971</c:v>
                </c:pt>
                <c:pt idx="38">
                  <c:v>457.86184374837524</c:v>
                </c:pt>
                <c:pt idx="39">
                  <c:v>63.601852511127902</c:v>
                </c:pt>
                <c:pt idx="40">
                  <c:v>61.872864859490299</c:v>
                </c:pt>
                <c:pt idx="41">
                  <c:v>420.15444774497428</c:v>
                </c:pt>
                <c:pt idx="42">
                  <c:v>90.670519704923194</c:v>
                </c:pt>
                <c:pt idx="43">
                  <c:v>128.382928011871</c:v>
                </c:pt>
                <c:pt idx="44">
                  <c:v>271.16007787583055</c:v>
                </c:pt>
                <c:pt idx="45">
                  <c:v>187.78314353223766</c:v>
                </c:pt>
                <c:pt idx="46">
                  <c:v>68.294373192936291</c:v>
                </c:pt>
                <c:pt idx="47">
                  <c:v>95.444328689377087</c:v>
                </c:pt>
                <c:pt idx="48">
                  <c:v>236.21056461251874</c:v>
                </c:pt>
                <c:pt idx="49">
                  <c:v>349.24235245240192</c:v>
                </c:pt>
                <c:pt idx="50">
                  <c:v>288.13170413031094</c:v>
                </c:pt>
                <c:pt idx="51">
                  <c:v>871.65476486630041</c:v>
                </c:pt>
                <c:pt idx="52">
                  <c:v>297.84107098125645</c:v>
                </c:pt>
                <c:pt idx="53">
                  <c:v>297.49998007202095</c:v>
                </c:pt>
                <c:pt idx="54">
                  <c:v>47.387162327382825</c:v>
                </c:pt>
                <c:pt idx="55">
                  <c:v>80.922386773893791</c:v>
                </c:pt>
                <c:pt idx="56">
                  <c:v>810.08618157012847</c:v>
                </c:pt>
                <c:pt idx="57">
                  <c:v>40.614029546438069</c:v>
                </c:pt>
                <c:pt idx="58">
                  <c:v>520.93288143279801</c:v>
                </c:pt>
                <c:pt idx="59">
                  <c:v>182.82382552580268</c:v>
                </c:pt>
                <c:pt idx="60">
                  <c:v>71.269718238101817</c:v>
                </c:pt>
                <c:pt idx="61">
                  <c:v>158.12974799378316</c:v>
                </c:pt>
                <c:pt idx="62">
                  <c:v>29.898995119721118</c:v>
                </c:pt>
                <c:pt idx="63">
                  <c:v>767.10393365313269</c:v>
                </c:pt>
                <c:pt idx="64">
                  <c:v>22.413252065010155</c:v>
                </c:pt>
                <c:pt idx="65">
                  <c:v>63.69692195256102</c:v>
                </c:pt>
                <c:pt idx="66">
                  <c:v>71.286915840473455</c:v>
                </c:pt>
                <c:pt idx="67">
                  <c:v>202.65132318365789</c:v>
                </c:pt>
                <c:pt idx="68">
                  <c:v>240.92210956717295</c:v>
                </c:pt>
                <c:pt idx="69">
                  <c:v>57.891373609896213</c:v>
                </c:pt>
                <c:pt idx="70">
                  <c:v>68.989519114154788</c:v>
                </c:pt>
                <c:pt idx="71">
                  <c:v>275.39889708500056</c:v>
                </c:pt>
                <c:pt idx="72">
                  <c:v>104.16383873002437</c:v>
                </c:pt>
                <c:pt idx="73">
                  <c:v>189.00160861824088</c:v>
                </c:pt>
                <c:pt idx="74">
                  <c:v>53.569585495726827</c:v>
                </c:pt>
                <c:pt idx="75">
                  <c:v>137.3255716926968</c:v>
                </c:pt>
                <c:pt idx="76">
                  <c:v>215.50477463428348</c:v>
                </c:pt>
                <c:pt idx="77">
                  <c:v>249.24647468320023</c:v>
                </c:pt>
                <c:pt idx="78">
                  <c:v>86.511967237679031</c:v>
                </c:pt>
                <c:pt idx="79">
                  <c:v>181.77609619283484</c:v>
                </c:pt>
                <c:pt idx="80">
                  <c:v>304.82521997287756</c:v>
                </c:pt>
                <c:pt idx="81">
                  <c:v>243.99979159762827</c:v>
                </c:pt>
                <c:pt idx="82">
                  <c:v>368.27580478665686</c:v>
                </c:pt>
                <c:pt idx="83">
                  <c:v>275.10494891693446</c:v>
                </c:pt>
                <c:pt idx="84">
                  <c:v>147.72395224764526</c:v>
                </c:pt>
                <c:pt idx="85">
                  <c:v>263.07302556348304</c:v>
                </c:pt>
                <c:pt idx="86">
                  <c:v>76.571400838212909</c:v>
                </c:pt>
                <c:pt idx="87">
                  <c:v>113.04237983425256</c:v>
                </c:pt>
                <c:pt idx="88">
                  <c:v>195.75088216471295</c:v>
                </c:pt>
                <c:pt idx="89">
                  <c:v>237.57506743311319</c:v>
                </c:pt>
                <c:pt idx="90">
                  <c:v>57.67580975047634</c:v>
                </c:pt>
                <c:pt idx="91">
                  <c:v>91.126420958234661</c:v>
                </c:pt>
                <c:pt idx="92">
                  <c:v>421.88317845053245</c:v>
                </c:pt>
                <c:pt idx="93">
                  <c:v>282.59458223544459</c:v>
                </c:pt>
                <c:pt idx="94">
                  <c:v>135.02052085907664</c:v>
                </c:pt>
                <c:pt idx="95">
                  <c:v>318.05905375586377</c:v>
                </c:pt>
                <c:pt idx="96">
                  <c:v>189.94075854636486</c:v>
                </c:pt>
                <c:pt idx="97">
                  <c:v>91.09847426685819</c:v>
                </c:pt>
                <c:pt idx="98">
                  <c:v>153.04937479598465</c:v>
                </c:pt>
                <c:pt idx="99">
                  <c:v>303.14506187604161</c:v>
                </c:pt>
                <c:pt idx="100">
                  <c:v>400.85843144257302</c:v>
                </c:pt>
                <c:pt idx="101">
                  <c:v>127.47710324394664</c:v>
                </c:pt>
                <c:pt idx="102">
                  <c:v>530.79586285607218</c:v>
                </c:pt>
                <c:pt idx="103">
                  <c:v>199.10802424511709</c:v>
                </c:pt>
                <c:pt idx="104">
                  <c:v>165.00109127523211</c:v>
                </c:pt>
                <c:pt idx="105">
                  <c:v>263.699399534208</c:v>
                </c:pt>
                <c:pt idx="106">
                  <c:v>363.60280624890959</c:v>
                </c:pt>
                <c:pt idx="107">
                  <c:v>145.08367103729995</c:v>
                </c:pt>
                <c:pt idx="108">
                  <c:v>104.09274937306776</c:v>
                </c:pt>
                <c:pt idx="109">
                  <c:v>269.54770442233445</c:v>
                </c:pt>
                <c:pt idx="110">
                  <c:v>79.99519450510688</c:v>
                </c:pt>
                <c:pt idx="111">
                  <c:v>173.98195540037798</c:v>
                </c:pt>
                <c:pt idx="112">
                  <c:v>101.4351413176027</c:v>
                </c:pt>
                <c:pt idx="113">
                  <c:v>61.300708616873145</c:v>
                </c:pt>
                <c:pt idx="114">
                  <c:v>93.305916295604149</c:v>
                </c:pt>
                <c:pt idx="115">
                  <c:v>291.29936149102667</c:v>
                </c:pt>
                <c:pt idx="116">
                  <c:v>104.99262553071929</c:v>
                </c:pt>
                <c:pt idx="117">
                  <c:v>409.83807440334283</c:v>
                </c:pt>
                <c:pt idx="118">
                  <c:v>609.06080242994358</c:v>
                </c:pt>
                <c:pt idx="119">
                  <c:v>64.399825077740502</c:v>
                </c:pt>
                <c:pt idx="120">
                  <c:v>52.640836946314536</c:v>
                </c:pt>
                <c:pt idx="121">
                  <c:v>267.01995950378807</c:v>
                </c:pt>
                <c:pt idx="122">
                  <c:v>24.495405275781966</c:v>
                </c:pt>
                <c:pt idx="123">
                  <c:v>129.89899612530306</c:v>
                </c:pt>
                <c:pt idx="124">
                  <c:v>244.47388274882681</c:v>
                </c:pt>
                <c:pt idx="125">
                  <c:v>518.41275346454665</c:v>
                </c:pt>
                <c:pt idx="126">
                  <c:v>54.864673868890051</c:v>
                </c:pt>
                <c:pt idx="127">
                  <c:v>314.3851596958998</c:v>
                </c:pt>
                <c:pt idx="128">
                  <c:v>118.49386542417216</c:v>
                </c:pt>
                <c:pt idx="129">
                  <c:v>262.18777515883733</c:v>
                </c:pt>
                <c:pt idx="130">
                  <c:v>295.98558714805</c:v>
                </c:pt>
                <c:pt idx="131">
                  <c:v>155.56466491599488</c:v>
                </c:pt>
                <c:pt idx="132">
                  <c:v>91.042516449709609</c:v>
                </c:pt>
                <c:pt idx="133">
                  <c:v>125.16172981025613</c:v>
                </c:pt>
                <c:pt idx="134">
                  <c:v>758.70913348318982</c:v>
                </c:pt>
                <c:pt idx="135">
                  <c:v>39.816290578136389</c:v>
                </c:pt>
                <c:pt idx="136">
                  <c:v>174.27105836614768</c:v>
                </c:pt>
                <c:pt idx="137">
                  <c:v>337.78440969070459</c:v>
                </c:pt>
                <c:pt idx="138">
                  <c:v>139.93260202207759</c:v>
                </c:pt>
                <c:pt idx="139">
                  <c:v>193.89440336580688</c:v>
                </c:pt>
                <c:pt idx="140">
                  <c:v>69.918183453550057</c:v>
                </c:pt>
                <c:pt idx="141">
                  <c:v>135.97140214428029</c:v>
                </c:pt>
                <c:pt idx="142">
                  <c:v>207.17199847520192</c:v>
                </c:pt>
                <c:pt idx="143">
                  <c:v>239.13172359393531</c:v>
                </c:pt>
                <c:pt idx="144">
                  <c:v>52.588208276031345</c:v>
                </c:pt>
                <c:pt idx="145">
                  <c:v>124.50586073245071</c:v>
                </c:pt>
                <c:pt idx="146">
                  <c:v>38.456792620652955</c:v>
                </c:pt>
                <c:pt idx="147">
                  <c:v>395.56845693703696</c:v>
                </c:pt>
                <c:pt idx="148">
                  <c:v>47.46299773866486</c:v>
                </c:pt>
                <c:pt idx="149">
                  <c:v>233.00887580056826</c:v>
                </c:pt>
                <c:pt idx="150">
                  <c:v>160.98525670046152</c:v>
                </c:pt>
                <c:pt idx="151">
                  <c:v>286.14818311751372</c:v>
                </c:pt>
                <c:pt idx="152">
                  <c:v>182.28120855761958</c:v>
                </c:pt>
                <c:pt idx="153">
                  <c:v>227.70031955737542</c:v>
                </c:pt>
                <c:pt idx="154">
                  <c:v>148.20130046183587</c:v>
                </c:pt>
                <c:pt idx="155">
                  <c:v>276.48161058586123</c:v>
                </c:pt>
                <c:pt idx="156">
                  <c:v>83.830003884237286</c:v>
                </c:pt>
                <c:pt idx="157">
                  <c:v>646.88254206060481</c:v>
                </c:pt>
                <c:pt idx="158">
                  <c:v>183.42412081844572</c:v>
                </c:pt>
                <c:pt idx="159">
                  <c:v>78.935571567189413</c:v>
                </c:pt>
                <c:pt idx="160">
                  <c:v>758.04491351587365</c:v>
                </c:pt>
                <c:pt idx="161">
                  <c:v>140.38787973190475</c:v>
                </c:pt>
                <c:pt idx="162">
                  <c:v>178.35391331394274</c:v>
                </c:pt>
                <c:pt idx="163">
                  <c:v>643.74499004566496</c:v>
                </c:pt>
                <c:pt idx="164">
                  <c:v>740.3390883599285</c:v>
                </c:pt>
                <c:pt idx="165">
                  <c:v>72.473818622258193</c:v>
                </c:pt>
                <c:pt idx="166">
                  <c:v>201.85851888346687</c:v>
                </c:pt>
                <c:pt idx="167">
                  <c:v>96.769362792609058</c:v>
                </c:pt>
                <c:pt idx="168">
                  <c:v>114.08216244206844</c:v>
                </c:pt>
              </c:numCache>
            </c:numRef>
          </c:yVal>
          <c:smooth val="0"/>
        </c:ser>
        <c:dLbls>
          <c:showLegendKey val="0"/>
          <c:showVal val="0"/>
          <c:showCatName val="0"/>
          <c:showSerName val="0"/>
          <c:showPercent val="0"/>
          <c:showBubbleSize val="0"/>
        </c:dLbls>
        <c:axId val="299047256"/>
        <c:axId val="299047648"/>
      </c:scatterChart>
      <c:valAx>
        <c:axId val="299047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Index</a:t>
                </a:r>
                <a:r>
                  <a:rPr lang="en-US" baseline="0"/>
                  <a:t> of </a:t>
                </a:r>
                <a:r>
                  <a:rPr lang="en-US"/>
                  <a:t>Fiscal Disparities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9047648"/>
        <c:crosses val="autoZero"/>
        <c:crossBetween val="midCat"/>
      </c:valAx>
      <c:valAx>
        <c:axId val="299047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Payroll Tax Per Capita</a:t>
                </a:r>
              </a:p>
              <a:p>
                <a:pPr>
                  <a:defRPr/>
                </a:pP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_);\(#,##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90472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DATA!$AL$5</c:f>
              <c:strCache>
                <c:ptCount val="1"/>
                <c:pt idx="0">
                  <c:v>earnings place of residence</c:v>
                </c:pt>
              </c:strCache>
            </c:strRef>
          </c:tx>
          <c:spPr>
            <a:ln w="25400" cap="rnd">
              <a:noFill/>
              <a:round/>
            </a:ln>
            <a:effectLst/>
          </c:spPr>
          <c:marker>
            <c:symbol val="circle"/>
            <c:size val="5"/>
            <c:spPr>
              <a:solidFill>
                <a:schemeClr val="accent1"/>
              </a:solidFill>
              <a:ln w="9525">
                <a:solidFill>
                  <a:schemeClr val="accent1"/>
                </a:solidFill>
              </a:ln>
              <a:effectLst/>
            </c:spPr>
          </c:marker>
          <c:xVal>
            <c:numRef>
              <c:f>DATA!$Z$7:$Z$175</c:f>
              <c:numCache>
                <c:formatCode>0.00</c:formatCode>
                <c:ptCount val="169"/>
                <c:pt idx="0">
                  <c:v>75.805302671260705</c:v>
                </c:pt>
                <c:pt idx="1">
                  <c:v>667.29530625570465</c:v>
                </c:pt>
                <c:pt idx="2">
                  <c:v>289.14589113981071</c:v>
                </c:pt>
                <c:pt idx="3">
                  <c:v>-611.38903118332655</c:v>
                </c:pt>
                <c:pt idx="4">
                  <c:v>-28.33112254872858</c:v>
                </c:pt>
                <c:pt idx="5">
                  <c:v>125.70761193964999</c:v>
                </c:pt>
                <c:pt idx="6">
                  <c:v>-114.51201830529881</c:v>
                </c:pt>
                <c:pt idx="7">
                  <c:v>-227.40322946764778</c:v>
                </c:pt>
                <c:pt idx="8">
                  <c:v>-201.22396894841549</c:v>
                </c:pt>
                <c:pt idx="9">
                  <c:v>-270.19466101934921</c:v>
                </c:pt>
                <c:pt idx="10">
                  <c:v>126.66396476801351</c:v>
                </c:pt>
                <c:pt idx="11">
                  <c:v>79.294156609518083</c:v>
                </c:pt>
                <c:pt idx="12">
                  <c:v>-5.0524506189537082</c:v>
                </c:pt>
                <c:pt idx="13">
                  <c:v>-422.74237705603991</c:v>
                </c:pt>
                <c:pt idx="14">
                  <c:v>1118.7486704456792</c:v>
                </c:pt>
                <c:pt idx="15">
                  <c:v>-1634.7679171814298</c:v>
                </c:pt>
                <c:pt idx="16">
                  <c:v>447.11338536226788</c:v>
                </c:pt>
                <c:pt idx="17">
                  <c:v>-660.33029235351671</c:v>
                </c:pt>
                <c:pt idx="18">
                  <c:v>317.27851732942838</c:v>
                </c:pt>
                <c:pt idx="19">
                  <c:v>-110.32362938003912</c:v>
                </c:pt>
                <c:pt idx="20">
                  <c:v>-676.34708559770127</c:v>
                </c:pt>
                <c:pt idx="21">
                  <c:v>265.61643910746193</c:v>
                </c:pt>
                <c:pt idx="22">
                  <c:v>-220.65295454071634</c:v>
                </c:pt>
                <c:pt idx="23">
                  <c:v>317.27942275134438</c:v>
                </c:pt>
                <c:pt idx="24">
                  <c:v>-33.43921257967736</c:v>
                </c:pt>
                <c:pt idx="25">
                  <c:v>-323.03489938217581</c:v>
                </c:pt>
                <c:pt idx="26">
                  <c:v>-354.2199605106178</c:v>
                </c:pt>
                <c:pt idx="27">
                  <c:v>182.89378469576673</c:v>
                </c:pt>
                <c:pt idx="28">
                  <c:v>-260.40701328171383</c:v>
                </c:pt>
                <c:pt idx="29">
                  <c:v>-3.3850059126223639</c:v>
                </c:pt>
                <c:pt idx="30">
                  <c:v>-2197.0063972889748</c:v>
                </c:pt>
                <c:pt idx="31">
                  <c:v>157.39172044417242</c:v>
                </c:pt>
                <c:pt idx="32">
                  <c:v>33.948731267046377</c:v>
                </c:pt>
                <c:pt idx="33">
                  <c:v>143.26455620869947</c:v>
                </c:pt>
                <c:pt idx="34">
                  <c:v>-3612.5522477350642</c:v>
                </c:pt>
                <c:pt idx="35">
                  <c:v>-220.27154267196889</c:v>
                </c:pt>
                <c:pt idx="36">
                  <c:v>605.65729417606849</c:v>
                </c:pt>
                <c:pt idx="37">
                  <c:v>-135.58035143450624</c:v>
                </c:pt>
                <c:pt idx="38">
                  <c:v>-149.07072078137693</c:v>
                </c:pt>
                <c:pt idx="39">
                  <c:v>-80.490694465695057</c:v>
                </c:pt>
                <c:pt idx="40">
                  <c:v>52.464968662503722</c:v>
                </c:pt>
                <c:pt idx="41">
                  <c:v>735.43655908665016</c:v>
                </c:pt>
                <c:pt idx="42">
                  <c:v>355.09081903550668</c:v>
                </c:pt>
                <c:pt idx="43">
                  <c:v>-281.24897619139853</c:v>
                </c:pt>
                <c:pt idx="44">
                  <c:v>160.15525665551394</c:v>
                </c:pt>
                <c:pt idx="45">
                  <c:v>77.512324288933002</c:v>
                </c:pt>
                <c:pt idx="46">
                  <c:v>-1261.3784176043951</c:v>
                </c:pt>
                <c:pt idx="47">
                  <c:v>136.49220050061092</c:v>
                </c:pt>
                <c:pt idx="48">
                  <c:v>389.47070736560164</c:v>
                </c:pt>
                <c:pt idx="49">
                  <c:v>-1015.1988994947587</c:v>
                </c:pt>
                <c:pt idx="50">
                  <c:v>-957.52448611628029</c:v>
                </c:pt>
                <c:pt idx="51">
                  <c:v>-455.84547405835565</c:v>
                </c:pt>
                <c:pt idx="52">
                  <c:v>-106.64493458115621</c:v>
                </c:pt>
                <c:pt idx="53">
                  <c:v>-274.55173944048266</c:v>
                </c:pt>
                <c:pt idx="54">
                  <c:v>-1167.2117938604592</c:v>
                </c:pt>
                <c:pt idx="55">
                  <c:v>-26.108098034271325</c:v>
                </c:pt>
                <c:pt idx="56">
                  <c:v>-5325.6452263309966</c:v>
                </c:pt>
                <c:pt idx="57">
                  <c:v>360.86841740271041</c:v>
                </c:pt>
                <c:pt idx="58">
                  <c:v>81.352990649708545</c:v>
                </c:pt>
                <c:pt idx="59">
                  <c:v>-650.87106768867454</c:v>
                </c:pt>
                <c:pt idx="60">
                  <c:v>-180.09676995292776</c:v>
                </c:pt>
                <c:pt idx="61">
                  <c:v>347.28680405919022</c:v>
                </c:pt>
                <c:pt idx="62">
                  <c:v>141.52531738936426</c:v>
                </c:pt>
                <c:pt idx="63">
                  <c:v>1364.0105287128899</c:v>
                </c:pt>
                <c:pt idx="64">
                  <c:v>32.27803309526935</c:v>
                </c:pt>
                <c:pt idx="65">
                  <c:v>-82.756201191038869</c:v>
                </c:pt>
                <c:pt idx="66">
                  <c:v>97.517215732867498</c:v>
                </c:pt>
                <c:pt idx="67">
                  <c:v>-1520.5851043099622</c:v>
                </c:pt>
                <c:pt idx="68">
                  <c:v>390.74135298309818</c:v>
                </c:pt>
                <c:pt idx="69">
                  <c:v>-336.81760454108922</c:v>
                </c:pt>
                <c:pt idx="70">
                  <c:v>94.772661762765438</c:v>
                </c:pt>
                <c:pt idx="71">
                  <c:v>323.92761409721572</c:v>
                </c:pt>
                <c:pt idx="72">
                  <c:v>55.400668580013871</c:v>
                </c:pt>
                <c:pt idx="73">
                  <c:v>-510.28450504765317</c:v>
                </c:pt>
                <c:pt idx="74">
                  <c:v>-2056.5922836286745</c:v>
                </c:pt>
                <c:pt idx="75">
                  <c:v>-1020.0636563131036</c:v>
                </c:pt>
                <c:pt idx="76">
                  <c:v>443.63236844952064</c:v>
                </c:pt>
                <c:pt idx="77">
                  <c:v>755.01378952110429</c:v>
                </c:pt>
                <c:pt idx="78">
                  <c:v>30.402598864750779</c:v>
                </c:pt>
                <c:pt idx="79">
                  <c:v>618.84587324948336</c:v>
                </c:pt>
                <c:pt idx="80">
                  <c:v>-408.57723345201936</c:v>
                </c:pt>
                <c:pt idx="81">
                  <c:v>-51.727871467690555</c:v>
                </c:pt>
                <c:pt idx="82">
                  <c:v>338.9925132602437</c:v>
                </c:pt>
                <c:pt idx="83">
                  <c:v>54.664955134881758</c:v>
                </c:pt>
                <c:pt idx="84">
                  <c:v>-316.46155396992123</c:v>
                </c:pt>
                <c:pt idx="85">
                  <c:v>348.69561196319665</c:v>
                </c:pt>
                <c:pt idx="86">
                  <c:v>-969.46975018571538</c:v>
                </c:pt>
                <c:pt idx="87">
                  <c:v>490.92563853178979</c:v>
                </c:pt>
                <c:pt idx="88">
                  <c:v>1037.3850496404507</c:v>
                </c:pt>
                <c:pt idx="89">
                  <c:v>-4006.3101128426592</c:v>
                </c:pt>
                <c:pt idx="90">
                  <c:v>-449.38132005853947</c:v>
                </c:pt>
                <c:pt idx="91">
                  <c:v>-68.37065788133323</c:v>
                </c:pt>
                <c:pt idx="92">
                  <c:v>1094.4433434703465</c:v>
                </c:pt>
                <c:pt idx="93">
                  <c:v>812.48128700730763</c:v>
                </c:pt>
                <c:pt idx="94">
                  <c:v>-171.17955732946524</c:v>
                </c:pt>
                <c:pt idx="95">
                  <c:v>189.92518481962878</c:v>
                </c:pt>
                <c:pt idx="96">
                  <c:v>-388.45271596557245</c:v>
                </c:pt>
                <c:pt idx="97">
                  <c:v>-954.46781502412682</c:v>
                </c:pt>
                <c:pt idx="98">
                  <c:v>30.89444287745814</c:v>
                </c:pt>
                <c:pt idx="99">
                  <c:v>-63.681939016394153</c:v>
                </c:pt>
                <c:pt idx="100">
                  <c:v>-128.08962538263958</c:v>
                </c:pt>
                <c:pt idx="101">
                  <c:v>-256.17566584281076</c:v>
                </c:pt>
                <c:pt idx="102">
                  <c:v>-455.68825937529954</c:v>
                </c:pt>
                <c:pt idx="103">
                  <c:v>563.88178462322196</c:v>
                </c:pt>
                <c:pt idx="104">
                  <c:v>-1664.7372755517113</c:v>
                </c:pt>
                <c:pt idx="105">
                  <c:v>-1630.0609472803039</c:v>
                </c:pt>
                <c:pt idx="106">
                  <c:v>-247.24759935728017</c:v>
                </c:pt>
                <c:pt idx="107">
                  <c:v>-105.29138227340586</c:v>
                </c:pt>
                <c:pt idx="108">
                  <c:v>365.61085866469227</c:v>
                </c:pt>
                <c:pt idx="109">
                  <c:v>264.3122020321905</c:v>
                </c:pt>
                <c:pt idx="110">
                  <c:v>402.44208875753793</c:v>
                </c:pt>
                <c:pt idx="111">
                  <c:v>153.75247056862304</c:v>
                </c:pt>
                <c:pt idx="112">
                  <c:v>145.20578100072834</c:v>
                </c:pt>
                <c:pt idx="113">
                  <c:v>73.66744383057717</c:v>
                </c:pt>
                <c:pt idx="114">
                  <c:v>57.852201240525304</c:v>
                </c:pt>
                <c:pt idx="115">
                  <c:v>507.1568851658667</c:v>
                </c:pt>
                <c:pt idx="116">
                  <c:v>-1248.8264791184631</c:v>
                </c:pt>
                <c:pt idx="117">
                  <c:v>-1441.9171641262674</c:v>
                </c:pt>
                <c:pt idx="118">
                  <c:v>22.317722335179589</c:v>
                </c:pt>
                <c:pt idx="119">
                  <c:v>-2608.4132037720165</c:v>
                </c:pt>
                <c:pt idx="120">
                  <c:v>-112.06295162595811</c:v>
                </c:pt>
                <c:pt idx="121">
                  <c:v>-2552.7613653301919</c:v>
                </c:pt>
                <c:pt idx="122">
                  <c:v>236.53389188788961</c:v>
                </c:pt>
                <c:pt idx="123">
                  <c:v>289.35507765596827</c:v>
                </c:pt>
                <c:pt idx="124">
                  <c:v>-2029.2862546163174</c:v>
                </c:pt>
                <c:pt idx="125">
                  <c:v>-167.44641508805012</c:v>
                </c:pt>
                <c:pt idx="126">
                  <c:v>-1404.3949729154451</c:v>
                </c:pt>
                <c:pt idx="127">
                  <c:v>-153.936843367633</c:v>
                </c:pt>
                <c:pt idx="128">
                  <c:v>291.91203016242622</c:v>
                </c:pt>
                <c:pt idx="129">
                  <c:v>-46.928202297029564</c:v>
                </c:pt>
                <c:pt idx="130">
                  <c:v>-198.30714519117618</c:v>
                </c:pt>
                <c:pt idx="131">
                  <c:v>64.04419614376306</c:v>
                </c:pt>
                <c:pt idx="132">
                  <c:v>276.9163132062705</c:v>
                </c:pt>
                <c:pt idx="133">
                  <c:v>397.03473345372049</c:v>
                </c:pt>
                <c:pt idx="134">
                  <c:v>-503.12496008322012</c:v>
                </c:pt>
                <c:pt idx="135">
                  <c:v>307.13181503658086</c:v>
                </c:pt>
                <c:pt idx="136">
                  <c:v>-875.61849832010125</c:v>
                </c:pt>
                <c:pt idx="137">
                  <c:v>246.09183447422038</c:v>
                </c:pt>
                <c:pt idx="138">
                  <c:v>74.672748999182573</c:v>
                </c:pt>
                <c:pt idx="139">
                  <c:v>263.53953268120307</c:v>
                </c:pt>
                <c:pt idx="140">
                  <c:v>347.19698418640303</c:v>
                </c:pt>
                <c:pt idx="141">
                  <c:v>100.65624215623339</c:v>
                </c:pt>
                <c:pt idx="142">
                  <c:v>451.3210884365908</c:v>
                </c:pt>
                <c:pt idx="143">
                  <c:v>-339.49493325114537</c:v>
                </c:pt>
                <c:pt idx="144">
                  <c:v>4.9638213082937002</c:v>
                </c:pt>
                <c:pt idx="145">
                  <c:v>539.07287704334067</c:v>
                </c:pt>
                <c:pt idx="146">
                  <c:v>202.03349185311714</c:v>
                </c:pt>
                <c:pt idx="147">
                  <c:v>5.018415409134013</c:v>
                </c:pt>
                <c:pt idx="148">
                  <c:v>-1600.3517600279836</c:v>
                </c:pt>
                <c:pt idx="149">
                  <c:v>-3047.3500782838728</c:v>
                </c:pt>
                <c:pt idx="150">
                  <c:v>852.74122269813995</c:v>
                </c:pt>
                <c:pt idx="151">
                  <c:v>-1007.3649503765294</c:v>
                </c:pt>
                <c:pt idx="152">
                  <c:v>68.290183034174291</c:v>
                </c:pt>
                <c:pt idx="153">
                  <c:v>266.99786117735653</c:v>
                </c:pt>
                <c:pt idx="154">
                  <c:v>737.32556375493334</c:v>
                </c:pt>
                <c:pt idx="155">
                  <c:v>-1097.5664454773239</c:v>
                </c:pt>
                <c:pt idx="156">
                  <c:v>-2074.1378840620441</c:v>
                </c:pt>
                <c:pt idx="157">
                  <c:v>-3576.2311631094658</c:v>
                </c:pt>
                <c:pt idx="158">
                  <c:v>141.66986745415534</c:v>
                </c:pt>
                <c:pt idx="159">
                  <c:v>198.2314154116882</c:v>
                </c:pt>
                <c:pt idx="160">
                  <c:v>-1962.5635456111638</c:v>
                </c:pt>
                <c:pt idx="161">
                  <c:v>304.76894168630162</c:v>
                </c:pt>
                <c:pt idx="162">
                  <c:v>856.36541081781854</c:v>
                </c:pt>
                <c:pt idx="163">
                  <c:v>82.870432313721267</c:v>
                </c:pt>
                <c:pt idx="164">
                  <c:v>31.92545451686301</c:v>
                </c:pt>
                <c:pt idx="165">
                  <c:v>117.46216991535974</c:v>
                </c:pt>
                <c:pt idx="166">
                  <c:v>-464.90697323456482</c:v>
                </c:pt>
                <c:pt idx="167">
                  <c:v>-452.62036027346824</c:v>
                </c:pt>
                <c:pt idx="168">
                  <c:v>52.782674126438721</c:v>
                </c:pt>
              </c:numCache>
            </c:numRef>
          </c:xVal>
          <c:yVal>
            <c:numRef>
              <c:f>DATA!$AL$7:$AL$175</c:f>
              <c:numCache>
                <c:formatCode>_(* #,##0_);_(* \(#,##0\);_(* "-"??_);_(@_)</c:formatCode>
                <c:ptCount val="169"/>
                <c:pt idx="0">
                  <c:v>207.97636654848938</c:v>
                </c:pt>
                <c:pt idx="1">
                  <c:v>144.16088722322067</c:v>
                </c:pt>
                <c:pt idx="2">
                  <c:v>174.67673394163168</c:v>
                </c:pt>
                <c:pt idx="3">
                  <c:v>446.40424957021997</c:v>
                </c:pt>
                <c:pt idx="4">
                  <c:v>195.87678743256106</c:v>
                </c:pt>
                <c:pt idx="5">
                  <c:v>198.67145667936325</c:v>
                </c:pt>
                <c:pt idx="6">
                  <c:v>351.17284676933451</c:v>
                </c:pt>
                <c:pt idx="7">
                  <c:v>266.918243167122</c:v>
                </c:pt>
                <c:pt idx="8">
                  <c:v>265.68168658527719</c:v>
                </c:pt>
                <c:pt idx="9">
                  <c:v>182.6614040857981</c:v>
                </c:pt>
                <c:pt idx="10">
                  <c:v>545.29782910015456</c:v>
                </c:pt>
                <c:pt idx="11">
                  <c:v>250.21474326126776</c:v>
                </c:pt>
                <c:pt idx="12">
                  <c:v>224.36778567659965</c:v>
                </c:pt>
                <c:pt idx="13">
                  <c:v>286.73180373546393</c:v>
                </c:pt>
                <c:pt idx="14">
                  <c:v>151.15366586579307</c:v>
                </c:pt>
                <c:pt idx="15">
                  <c:v>198.95180008476066</c:v>
                </c:pt>
                <c:pt idx="16">
                  <c:v>255.82564981597221</c:v>
                </c:pt>
                <c:pt idx="17">
                  <c:v>286.35248539639309</c:v>
                </c:pt>
                <c:pt idx="18">
                  <c:v>141.9975287143406</c:v>
                </c:pt>
                <c:pt idx="19">
                  <c:v>261.49628091407624</c:v>
                </c:pt>
                <c:pt idx="20">
                  <c:v>522.35640669107079</c:v>
                </c:pt>
                <c:pt idx="21">
                  <c:v>143.28669441951925</c:v>
                </c:pt>
                <c:pt idx="22">
                  <c:v>293.08596416806284</c:v>
                </c:pt>
                <c:pt idx="23">
                  <c:v>135.76207291704654</c:v>
                </c:pt>
                <c:pt idx="24">
                  <c:v>373.68785337377415</c:v>
                </c:pt>
                <c:pt idx="25">
                  <c:v>306.09115685643468</c:v>
                </c:pt>
                <c:pt idx="26">
                  <c:v>221.16182670992413</c:v>
                </c:pt>
                <c:pt idx="27">
                  <c:v>222.83574208184965</c:v>
                </c:pt>
                <c:pt idx="28">
                  <c:v>143.97564333359333</c:v>
                </c:pt>
                <c:pt idx="29">
                  <c:v>197.03467502583933</c:v>
                </c:pt>
                <c:pt idx="30">
                  <c:v>143.32438783459563</c:v>
                </c:pt>
                <c:pt idx="31">
                  <c:v>189.01170155588997</c:v>
                </c:pt>
                <c:pt idx="32">
                  <c:v>303.4622577309288</c:v>
                </c:pt>
                <c:pt idx="33">
                  <c:v>285.48403266437981</c:v>
                </c:pt>
                <c:pt idx="34">
                  <c:v>424.93512525044861</c:v>
                </c:pt>
                <c:pt idx="35">
                  <c:v>261.89293049938527</c:v>
                </c:pt>
                <c:pt idx="36">
                  <c:v>189.21776454117915</c:v>
                </c:pt>
                <c:pt idx="37">
                  <c:v>279.54713338369021</c:v>
                </c:pt>
                <c:pt idx="38">
                  <c:v>427.5135822259366</c:v>
                </c:pt>
                <c:pt idx="39">
                  <c:v>185.74214185852716</c:v>
                </c:pt>
                <c:pt idx="40">
                  <c:v>209.65714260421035</c:v>
                </c:pt>
                <c:pt idx="41">
                  <c:v>309.84621231514348</c:v>
                </c:pt>
                <c:pt idx="42">
                  <c:v>158.25454527396812</c:v>
                </c:pt>
                <c:pt idx="43">
                  <c:v>226.66077983863673</c:v>
                </c:pt>
                <c:pt idx="44">
                  <c:v>278.12232213787161</c:v>
                </c:pt>
                <c:pt idx="45">
                  <c:v>217.62392673529439</c:v>
                </c:pt>
                <c:pt idx="46">
                  <c:v>301.37659910931308</c:v>
                </c:pt>
                <c:pt idx="47">
                  <c:v>242.77222697462906</c:v>
                </c:pt>
                <c:pt idx="48">
                  <c:v>236.84373115036712</c:v>
                </c:pt>
                <c:pt idx="49">
                  <c:v>372.71871360881971</c:v>
                </c:pt>
                <c:pt idx="50">
                  <c:v>375.89614182126235</c:v>
                </c:pt>
                <c:pt idx="51">
                  <c:v>709.53071759696104</c:v>
                </c:pt>
                <c:pt idx="52">
                  <c:v>297.60408461915398</c:v>
                </c:pt>
                <c:pt idx="53">
                  <c:v>411.83976659686732</c:v>
                </c:pt>
                <c:pt idx="54">
                  <c:v>203.39206838337199</c:v>
                </c:pt>
                <c:pt idx="55">
                  <c:v>251.75607372762346</c:v>
                </c:pt>
                <c:pt idx="56">
                  <c:v>692.04148555991583</c:v>
                </c:pt>
                <c:pt idx="57">
                  <c:v>131.18001521280874</c:v>
                </c:pt>
                <c:pt idx="58">
                  <c:v>381.20024903366317</c:v>
                </c:pt>
                <c:pt idx="59">
                  <c:v>299.42284813528505</c:v>
                </c:pt>
                <c:pt idx="60">
                  <c:v>213.5244893172918</c:v>
                </c:pt>
                <c:pt idx="61">
                  <c:v>208.85314539086491</c:v>
                </c:pt>
                <c:pt idx="62">
                  <c:v>160.04105226053565</c:v>
                </c:pt>
                <c:pt idx="63">
                  <c:v>444.27310453800391</c:v>
                </c:pt>
                <c:pt idx="64">
                  <c:v>147.62178083654811</c:v>
                </c:pt>
                <c:pt idx="65">
                  <c:v>224.11569340662967</c:v>
                </c:pt>
                <c:pt idx="66">
                  <c:v>237.69764976656555</c:v>
                </c:pt>
                <c:pt idx="67">
                  <c:v>210.87116326708085</c:v>
                </c:pt>
                <c:pt idx="68">
                  <c:v>210.45429333670776</c:v>
                </c:pt>
                <c:pt idx="69">
                  <c:v>228.99114763058557</c:v>
                </c:pt>
                <c:pt idx="70">
                  <c:v>182.88956538933388</c:v>
                </c:pt>
                <c:pt idx="71">
                  <c:v>277.58694263232206</c:v>
                </c:pt>
                <c:pt idx="72">
                  <c:v>180.04756832499734</c:v>
                </c:pt>
                <c:pt idx="73">
                  <c:v>251.55803102565952</c:v>
                </c:pt>
                <c:pt idx="74">
                  <c:v>189.5898282865964</c:v>
                </c:pt>
                <c:pt idx="75">
                  <c:v>294.41182423994923</c:v>
                </c:pt>
                <c:pt idx="76">
                  <c:v>246.71585862135169</c:v>
                </c:pt>
                <c:pt idx="77">
                  <c:v>192.0852704092427</c:v>
                </c:pt>
                <c:pt idx="78">
                  <c:v>248.85298736129263</c:v>
                </c:pt>
                <c:pt idx="79">
                  <c:v>197.14845340125095</c:v>
                </c:pt>
                <c:pt idx="80">
                  <c:v>371.37700873188533</c:v>
                </c:pt>
                <c:pt idx="81">
                  <c:v>295.30137504094841</c:v>
                </c:pt>
                <c:pt idx="82">
                  <c:v>316.23493076516985</c:v>
                </c:pt>
                <c:pt idx="83">
                  <c:v>311.56159035383257</c:v>
                </c:pt>
                <c:pt idx="84">
                  <c:v>291.07775061105195</c:v>
                </c:pt>
                <c:pt idx="85">
                  <c:v>242.93237711315311</c:v>
                </c:pt>
                <c:pt idx="86">
                  <c:v>184.72228649062444</c:v>
                </c:pt>
                <c:pt idx="87">
                  <c:v>177.14259592954375</c:v>
                </c:pt>
                <c:pt idx="88">
                  <c:v>176.42026396980782</c:v>
                </c:pt>
                <c:pt idx="89">
                  <c:v>474.12565846449218</c:v>
                </c:pt>
                <c:pt idx="90">
                  <c:v>156.7925838633665</c:v>
                </c:pt>
                <c:pt idx="91">
                  <c:v>229.2260686272069</c:v>
                </c:pt>
                <c:pt idx="92">
                  <c:v>287.02433971357055</c:v>
                </c:pt>
                <c:pt idx="93">
                  <c:v>217.87629559270187</c:v>
                </c:pt>
                <c:pt idx="94">
                  <c:v>214.89363577496326</c:v>
                </c:pt>
                <c:pt idx="95">
                  <c:v>306.33968356763233</c:v>
                </c:pt>
                <c:pt idx="96">
                  <c:v>313.89511980430655</c:v>
                </c:pt>
                <c:pt idx="97">
                  <c:v>174.00073940831632</c:v>
                </c:pt>
                <c:pt idx="98">
                  <c:v>232.45472790162364</c:v>
                </c:pt>
                <c:pt idx="99">
                  <c:v>188.15927267456891</c:v>
                </c:pt>
                <c:pt idx="100">
                  <c:v>366.67493336424428</c:v>
                </c:pt>
                <c:pt idx="101">
                  <c:v>201.61522547139705</c:v>
                </c:pt>
                <c:pt idx="102">
                  <c:v>430.9527375175046</c:v>
                </c:pt>
                <c:pt idx="103">
                  <c:v>190.53030207095819</c:v>
                </c:pt>
                <c:pt idx="104">
                  <c:v>295.67458985120396</c:v>
                </c:pt>
                <c:pt idx="105">
                  <c:v>312.84463399893997</c:v>
                </c:pt>
                <c:pt idx="106">
                  <c:v>386.11744665561372</c:v>
                </c:pt>
                <c:pt idx="107">
                  <c:v>261.21688282131322</c:v>
                </c:pt>
                <c:pt idx="108">
                  <c:v>147.22422428612126</c:v>
                </c:pt>
                <c:pt idx="109">
                  <c:v>273.97425033506528</c:v>
                </c:pt>
                <c:pt idx="110">
                  <c:v>176.7673764112125</c:v>
                </c:pt>
                <c:pt idx="111">
                  <c:v>233.53338178533437</c:v>
                </c:pt>
                <c:pt idx="112">
                  <c:v>223.97226113396059</c:v>
                </c:pt>
                <c:pt idx="113">
                  <c:v>161.36977787530483</c:v>
                </c:pt>
                <c:pt idx="114">
                  <c:v>215.60416429191335</c:v>
                </c:pt>
                <c:pt idx="115">
                  <c:v>221.68358102034796</c:v>
                </c:pt>
                <c:pt idx="116">
                  <c:v>300.82695628534231</c:v>
                </c:pt>
                <c:pt idx="117">
                  <c:v>494.58995795801059</c:v>
                </c:pt>
                <c:pt idx="118">
                  <c:v>485.21127644374394</c:v>
                </c:pt>
                <c:pt idx="119">
                  <c:v>218.30904820694985</c:v>
                </c:pt>
                <c:pt idx="120">
                  <c:v>213.9388006047991</c:v>
                </c:pt>
                <c:pt idx="121">
                  <c:v>247.37087480720598</c:v>
                </c:pt>
                <c:pt idx="122">
                  <c:v>110.68963021407535</c:v>
                </c:pt>
                <c:pt idx="123">
                  <c:v>225.78915216561117</c:v>
                </c:pt>
                <c:pt idx="124">
                  <c:v>215.2290316449448</c:v>
                </c:pt>
                <c:pt idx="125">
                  <c:v>438.49219701616886</c:v>
                </c:pt>
                <c:pt idx="126">
                  <c:v>153.87007120963287</c:v>
                </c:pt>
                <c:pt idx="127">
                  <c:v>443.6489398608245</c:v>
                </c:pt>
                <c:pt idx="128">
                  <c:v>187.2813715334625</c:v>
                </c:pt>
                <c:pt idx="129">
                  <c:v>334.44650021625699</c:v>
                </c:pt>
                <c:pt idx="130">
                  <c:v>330.32579391485325</c:v>
                </c:pt>
                <c:pt idx="131">
                  <c:v>250.18681857873736</c:v>
                </c:pt>
                <c:pt idx="132">
                  <c:v>168.52608106240947</c:v>
                </c:pt>
                <c:pt idx="133">
                  <c:v>188.70947267449733</c:v>
                </c:pt>
                <c:pt idx="134">
                  <c:v>568.12950911582038</c:v>
                </c:pt>
                <c:pt idx="135">
                  <c:v>104.32821890080037</c:v>
                </c:pt>
                <c:pt idx="136">
                  <c:v>208.20971836028158</c:v>
                </c:pt>
                <c:pt idx="137">
                  <c:v>310.69081779953075</c:v>
                </c:pt>
                <c:pt idx="138">
                  <c:v>225.55538916723094</c:v>
                </c:pt>
                <c:pt idx="139">
                  <c:v>236.17449770038101</c:v>
                </c:pt>
                <c:pt idx="140">
                  <c:v>96.981642086305058</c:v>
                </c:pt>
                <c:pt idx="141">
                  <c:v>273.85701204447105</c:v>
                </c:pt>
                <c:pt idx="142">
                  <c:v>214.23758379154654</c:v>
                </c:pt>
                <c:pt idx="143">
                  <c:v>321.17829637891771</c:v>
                </c:pt>
                <c:pt idx="144">
                  <c:v>125.40873560485967</c:v>
                </c:pt>
                <c:pt idx="145">
                  <c:v>208.20493517670937</c:v>
                </c:pt>
                <c:pt idx="146">
                  <c:v>130.71034404189652</c:v>
                </c:pt>
                <c:pt idx="147">
                  <c:v>352.27706310869752</c:v>
                </c:pt>
                <c:pt idx="148">
                  <c:v>124.80856692405673</c:v>
                </c:pt>
                <c:pt idx="149">
                  <c:v>269.66810758324743</c:v>
                </c:pt>
                <c:pt idx="150">
                  <c:v>154.62758087399359</c:v>
                </c:pt>
                <c:pt idx="151">
                  <c:v>294.33187878267591</c:v>
                </c:pt>
                <c:pt idx="152">
                  <c:v>243.289932933823</c:v>
                </c:pt>
                <c:pt idx="153">
                  <c:v>336.03813737254819</c:v>
                </c:pt>
                <c:pt idx="154">
                  <c:v>169.09704972126102</c:v>
                </c:pt>
                <c:pt idx="155">
                  <c:v>291.47027821232024</c:v>
                </c:pt>
                <c:pt idx="156">
                  <c:v>381.1226997332023</c:v>
                </c:pt>
                <c:pt idx="157">
                  <c:v>677.73892772193267</c:v>
                </c:pt>
                <c:pt idx="158">
                  <c:v>271.21459217229426</c:v>
                </c:pt>
                <c:pt idx="159">
                  <c:v>175.83701804391589</c:v>
                </c:pt>
                <c:pt idx="160">
                  <c:v>705.74626368402892</c:v>
                </c:pt>
                <c:pt idx="161">
                  <c:v>182.65798885200064</c:v>
                </c:pt>
                <c:pt idx="162">
                  <c:v>158.84249290983439</c:v>
                </c:pt>
                <c:pt idx="163">
                  <c:v>479.80832485188148</c:v>
                </c:pt>
                <c:pt idx="164">
                  <c:v>513.66944248338689</c:v>
                </c:pt>
                <c:pt idx="165">
                  <c:v>187.1701994348505</c:v>
                </c:pt>
                <c:pt idx="166">
                  <c:v>389.91726316915327</c:v>
                </c:pt>
                <c:pt idx="167">
                  <c:v>229.72766955777027</c:v>
                </c:pt>
                <c:pt idx="168">
                  <c:v>176.83240127014594</c:v>
                </c:pt>
              </c:numCache>
            </c:numRef>
          </c:yVal>
          <c:smooth val="0"/>
        </c:ser>
        <c:dLbls>
          <c:showLegendKey val="0"/>
          <c:showVal val="0"/>
          <c:showCatName val="0"/>
          <c:showSerName val="0"/>
          <c:showPercent val="0"/>
          <c:showBubbleSize val="0"/>
        </c:dLbls>
        <c:axId val="302807768"/>
        <c:axId val="302808160"/>
      </c:scatterChart>
      <c:valAx>
        <c:axId val="3028077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Index of Fiscal Disparties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2808160"/>
        <c:crosses val="autoZero"/>
        <c:crossBetween val="midCat"/>
      </c:valAx>
      <c:valAx>
        <c:axId val="302808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Split Earnings Tax Per Capita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_(* #,##0_);_(* \(#,##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28077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'[Local sales tax revenue by town.xlsx]Graphs'!$AA$58</c:f>
              <c:strCache>
                <c:ptCount val="1"/>
                <c:pt idx="0">
                  <c:v>Local Sales Tax Per Capita</c:v>
                </c:pt>
              </c:strCache>
            </c:strRef>
          </c:tx>
          <c:spPr>
            <a:solidFill>
              <a:srgbClr val="0070C0"/>
            </a:solidFill>
            <a:ln>
              <a:noFill/>
            </a:ln>
            <a:effectLst/>
          </c:spPr>
          <c:invertIfNegative val="0"/>
          <c:cat>
            <c:strRef>
              <c:f>'[Local sales tax revenue by town.xlsx]Graphs'!$Z$59:$Z$68</c:f>
              <c:strCache>
                <c:ptCount val="10"/>
                <c:pt idx="0">
                  <c:v>0-$25</c:v>
                </c:pt>
                <c:pt idx="1">
                  <c:v>$25-$50</c:v>
                </c:pt>
                <c:pt idx="2">
                  <c:v>$50-$75</c:v>
                </c:pt>
                <c:pt idx="3">
                  <c:v>$75-$100</c:v>
                </c:pt>
                <c:pt idx="4">
                  <c:v>$100-$125</c:v>
                </c:pt>
                <c:pt idx="5">
                  <c:v>$125-$150</c:v>
                </c:pt>
                <c:pt idx="6">
                  <c:v>$150-$175</c:v>
                </c:pt>
                <c:pt idx="7">
                  <c:v>$175-$200</c:v>
                </c:pt>
                <c:pt idx="8">
                  <c:v>$200-$300</c:v>
                </c:pt>
                <c:pt idx="9">
                  <c:v>$300+</c:v>
                </c:pt>
              </c:strCache>
            </c:strRef>
          </c:cat>
          <c:val>
            <c:numRef>
              <c:f>'[Local sales tax revenue by town.xlsx]Graphs'!$AA$59:$AA$68</c:f>
              <c:numCache>
                <c:formatCode>General</c:formatCode>
                <c:ptCount val="10"/>
                <c:pt idx="0">
                  <c:v>16</c:v>
                </c:pt>
                <c:pt idx="1">
                  <c:v>33</c:v>
                </c:pt>
                <c:pt idx="2">
                  <c:v>30</c:v>
                </c:pt>
                <c:pt idx="3">
                  <c:v>24</c:v>
                </c:pt>
                <c:pt idx="4">
                  <c:v>11</c:v>
                </c:pt>
                <c:pt idx="5">
                  <c:v>16</c:v>
                </c:pt>
                <c:pt idx="6">
                  <c:v>10</c:v>
                </c:pt>
                <c:pt idx="7">
                  <c:v>8</c:v>
                </c:pt>
                <c:pt idx="8">
                  <c:v>14</c:v>
                </c:pt>
                <c:pt idx="9">
                  <c:v>7</c:v>
                </c:pt>
              </c:numCache>
            </c:numRef>
          </c:val>
        </c:ser>
        <c:ser>
          <c:idx val="1"/>
          <c:order val="1"/>
          <c:tx>
            <c:strRef>
              <c:f>'[Local sales tax revenue by town.xlsx]Graphs'!$AB$58</c:f>
              <c:strCache>
                <c:ptCount val="1"/>
                <c:pt idx="0">
                  <c:v>Regional Sales Tax Per Capita</c:v>
                </c:pt>
              </c:strCache>
            </c:strRef>
          </c:tx>
          <c:spPr>
            <a:solidFill>
              <a:schemeClr val="accent3"/>
            </a:solidFill>
            <a:ln>
              <a:noFill/>
            </a:ln>
            <a:effectLst/>
          </c:spPr>
          <c:invertIfNegative val="0"/>
          <c:cat>
            <c:strRef>
              <c:f>'[Local sales tax revenue by town.xlsx]Graphs'!$Z$59:$Z$68</c:f>
              <c:strCache>
                <c:ptCount val="10"/>
                <c:pt idx="0">
                  <c:v>0-$25</c:v>
                </c:pt>
                <c:pt idx="1">
                  <c:v>$25-$50</c:v>
                </c:pt>
                <c:pt idx="2">
                  <c:v>$50-$75</c:v>
                </c:pt>
                <c:pt idx="3">
                  <c:v>$75-$100</c:v>
                </c:pt>
                <c:pt idx="4">
                  <c:v>$100-$125</c:v>
                </c:pt>
                <c:pt idx="5">
                  <c:v>$125-$150</c:v>
                </c:pt>
                <c:pt idx="6">
                  <c:v>$150-$175</c:v>
                </c:pt>
                <c:pt idx="7">
                  <c:v>$175-$200</c:v>
                </c:pt>
                <c:pt idx="8">
                  <c:v>$200-$300</c:v>
                </c:pt>
                <c:pt idx="9">
                  <c:v>$300+</c:v>
                </c:pt>
              </c:strCache>
            </c:strRef>
          </c:cat>
          <c:val>
            <c:numRef>
              <c:f>'[Local sales tax revenue by town.xlsx]Graphs'!$AB$59:$AB$68</c:f>
              <c:numCache>
                <c:formatCode>General</c:formatCode>
                <c:ptCount val="10"/>
                <c:pt idx="0">
                  <c:v>0</c:v>
                </c:pt>
                <c:pt idx="1">
                  <c:v>8</c:v>
                </c:pt>
                <c:pt idx="2">
                  <c:v>15</c:v>
                </c:pt>
                <c:pt idx="3">
                  <c:v>40</c:v>
                </c:pt>
                <c:pt idx="4">
                  <c:v>47</c:v>
                </c:pt>
                <c:pt idx="5">
                  <c:v>29</c:v>
                </c:pt>
                <c:pt idx="6">
                  <c:v>14</c:v>
                </c:pt>
                <c:pt idx="7">
                  <c:v>12</c:v>
                </c:pt>
                <c:pt idx="8">
                  <c:v>4</c:v>
                </c:pt>
              </c:numCache>
            </c:numRef>
          </c:val>
        </c:ser>
        <c:dLbls>
          <c:showLegendKey val="0"/>
          <c:showVal val="0"/>
          <c:showCatName val="0"/>
          <c:showSerName val="0"/>
          <c:showPercent val="0"/>
          <c:showBubbleSize val="0"/>
        </c:dLbls>
        <c:gapWidth val="219"/>
        <c:overlap val="-27"/>
        <c:axId val="304212208"/>
        <c:axId val="304212600"/>
      </c:barChart>
      <c:catAx>
        <c:axId val="30421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4212600"/>
        <c:crosses val="autoZero"/>
        <c:auto val="1"/>
        <c:lblAlgn val="ctr"/>
        <c:lblOffset val="100"/>
        <c:noMultiLvlLbl val="0"/>
      </c:catAx>
      <c:valAx>
        <c:axId val="304212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Number of Towns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421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327105894605"/>
          <c:y val="7.2649572649572655E-2"/>
          <c:w val="0.84486324263086421"/>
          <c:h val="0.84100410525607372"/>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Graphs!$J$3:$J$171</c:f>
              <c:numCache>
                <c:formatCode>_(* #,##0.00_);_(* \(#,##0.00\);_(* "-"??_);_(@_)</c:formatCode>
                <c:ptCount val="169"/>
                <c:pt idx="0">
                  <c:v>2535.0504038772215</c:v>
                </c:pt>
                <c:pt idx="1">
                  <c:v>1679.0476960809895</c:v>
                </c:pt>
                <c:pt idx="2">
                  <c:v>2150.0227853987444</c:v>
                </c:pt>
                <c:pt idx="3">
                  <c:v>3781.2006591595714</c:v>
                </c:pt>
                <c:pt idx="4">
                  <c:v>2325.0949098621422</c:v>
                </c:pt>
                <c:pt idx="5">
                  <c:v>2421.9629016230538</c:v>
                </c:pt>
                <c:pt idx="6">
                  <c:v>2961.0332028346302</c:v>
                </c:pt>
                <c:pt idx="7">
                  <c:v>3215.3557155715571</c:v>
                </c:pt>
                <c:pt idx="8">
                  <c:v>2981.909196802033</c:v>
                </c:pt>
                <c:pt idx="9">
                  <c:v>2341.0811715481173</c:v>
                </c:pt>
                <c:pt idx="10">
                  <c:v>3343.6595661900592</c:v>
                </c:pt>
                <c:pt idx="11">
                  <c:v>2931.7885737276201</c:v>
                </c:pt>
                <c:pt idx="12">
                  <c:v>2069.4255156608097</c:v>
                </c:pt>
                <c:pt idx="13">
                  <c:v>3121.2802497769849</c:v>
                </c:pt>
                <c:pt idx="14">
                  <c:v>1964.2064538729419</c:v>
                </c:pt>
                <c:pt idx="15">
                  <c:v>3923.9259687680742</c:v>
                </c:pt>
                <c:pt idx="16">
                  <c:v>2075.3766353905116</c:v>
                </c:pt>
                <c:pt idx="17">
                  <c:v>3212.3017936679908</c:v>
                </c:pt>
                <c:pt idx="18">
                  <c:v>1526.336496350365</c:v>
                </c:pt>
                <c:pt idx="19">
                  <c:v>2694.9755967604433</c:v>
                </c:pt>
                <c:pt idx="20">
                  <c:v>3393.7613240418118</c:v>
                </c:pt>
                <c:pt idx="21">
                  <c:v>1588.9724555577261</c:v>
                </c:pt>
                <c:pt idx="22">
                  <c:v>2924.6596467391305</c:v>
                </c:pt>
                <c:pt idx="23">
                  <c:v>2216.2043189368769</c:v>
                </c:pt>
                <c:pt idx="24">
                  <c:v>2671.1160470202294</c:v>
                </c:pt>
                <c:pt idx="25">
                  <c:v>2746.3505055368319</c:v>
                </c:pt>
                <c:pt idx="26">
                  <c:v>2842.6815469446333</c:v>
                </c:pt>
                <c:pt idx="27">
                  <c:v>2131.9096097772813</c:v>
                </c:pt>
                <c:pt idx="28">
                  <c:v>3326.7307944845697</c:v>
                </c:pt>
                <c:pt idx="29">
                  <c:v>2353.7101899196496</c:v>
                </c:pt>
                <c:pt idx="30">
                  <c:v>3842.8775510204082</c:v>
                </c:pt>
                <c:pt idx="31">
                  <c:v>2197.2772818657018</c:v>
                </c:pt>
                <c:pt idx="32">
                  <c:v>2719.3600454674624</c:v>
                </c:pt>
                <c:pt idx="33">
                  <c:v>2142.2609952785879</c:v>
                </c:pt>
                <c:pt idx="34">
                  <c:v>5355.2363201911585</c:v>
                </c:pt>
                <c:pt idx="35">
                  <c:v>2591.3750812567714</c:v>
                </c:pt>
                <c:pt idx="36">
                  <c:v>2059.9820107468267</c:v>
                </c:pt>
                <c:pt idx="37">
                  <c:v>3191.0857723577237</c:v>
                </c:pt>
                <c:pt idx="38">
                  <c:v>3145.79090548054</c:v>
                </c:pt>
                <c:pt idx="39">
                  <c:v>2342.8007222586998</c:v>
                </c:pt>
                <c:pt idx="40">
                  <c:v>2265.0454861379258</c:v>
                </c:pt>
                <c:pt idx="41">
                  <c:v>2261.6654632032942</c:v>
                </c:pt>
                <c:pt idx="42">
                  <c:v>2114.2030376795692</c:v>
                </c:pt>
                <c:pt idx="43">
                  <c:v>2431.4927558972749</c:v>
                </c:pt>
                <c:pt idx="44">
                  <c:v>2436.7868983246167</c:v>
                </c:pt>
                <c:pt idx="45">
                  <c:v>2112.2569696969699</c:v>
                </c:pt>
                <c:pt idx="46">
                  <c:v>5020.0817218543043</c:v>
                </c:pt>
                <c:pt idx="47">
                  <c:v>2246.9683572567783</c:v>
                </c:pt>
                <c:pt idx="48">
                  <c:v>1785.7446475312647</c:v>
                </c:pt>
                <c:pt idx="49">
                  <c:v>3113.5992801439711</c:v>
                </c:pt>
                <c:pt idx="50">
                  <c:v>4158.2676379602835</c:v>
                </c:pt>
                <c:pt idx="51">
                  <c:v>3239.372134177514</c:v>
                </c:pt>
                <c:pt idx="52">
                  <c:v>2307.7302564102565</c:v>
                </c:pt>
                <c:pt idx="53">
                  <c:v>3718.3477178663425</c:v>
                </c:pt>
                <c:pt idx="54">
                  <c:v>3127.0541821876059</c:v>
                </c:pt>
                <c:pt idx="55">
                  <c:v>2896.4888337468983</c:v>
                </c:pt>
                <c:pt idx="56">
                  <c:v>5163.685419467708</c:v>
                </c:pt>
                <c:pt idx="57">
                  <c:v>1453.2425788109374</c:v>
                </c:pt>
                <c:pt idx="58">
                  <c:v>2035.8822957683299</c:v>
                </c:pt>
                <c:pt idx="59">
                  <c:v>3448.4325423425839</c:v>
                </c:pt>
                <c:pt idx="60">
                  <c:v>3125.3159534939468</c:v>
                </c:pt>
                <c:pt idx="61">
                  <c:v>2424.9092535953669</c:v>
                </c:pt>
                <c:pt idx="62">
                  <c:v>2110.0892561983469</c:v>
                </c:pt>
                <c:pt idx="63">
                  <c:v>2042.2440661711819</c:v>
                </c:pt>
                <c:pt idx="64">
                  <c:v>2118.4864864864867</c:v>
                </c:pt>
                <c:pt idx="65">
                  <c:v>2444.9048970901349</c:v>
                </c:pt>
                <c:pt idx="66">
                  <c:v>2699.4006017846027</c:v>
                </c:pt>
                <c:pt idx="67">
                  <c:v>3223.1170715249664</c:v>
                </c:pt>
                <c:pt idx="68">
                  <c:v>1659.1760697580412</c:v>
                </c:pt>
                <c:pt idx="69">
                  <c:v>2735.2919550838333</c:v>
                </c:pt>
                <c:pt idx="70">
                  <c:v>2120.7441955749796</c:v>
                </c:pt>
                <c:pt idx="71">
                  <c:v>2023.3831639093748</c:v>
                </c:pt>
                <c:pt idx="72">
                  <c:v>1686.6361329026304</c:v>
                </c:pt>
                <c:pt idx="73">
                  <c:v>2949.5598382108019</c:v>
                </c:pt>
                <c:pt idx="74">
                  <c:v>3345.3218866363259</c:v>
                </c:pt>
                <c:pt idx="75">
                  <c:v>3708.3160916397833</c:v>
                </c:pt>
                <c:pt idx="76">
                  <c:v>2101.3987215616194</c:v>
                </c:pt>
                <c:pt idx="77">
                  <c:v>1022.5937677698168</c:v>
                </c:pt>
                <c:pt idx="78">
                  <c:v>2767.4009065332916</c:v>
                </c:pt>
                <c:pt idx="79">
                  <c:v>1876.4992832545188</c:v>
                </c:pt>
                <c:pt idx="80">
                  <c:v>3457.3863576158942</c:v>
                </c:pt>
                <c:pt idx="81">
                  <c:v>2927.6779009273919</c:v>
                </c:pt>
                <c:pt idx="82">
                  <c:v>2012.5370748227772</c:v>
                </c:pt>
                <c:pt idx="83">
                  <c:v>3105.0024577456802</c:v>
                </c:pt>
                <c:pt idx="84">
                  <c:v>3452.9225205032858</c:v>
                </c:pt>
                <c:pt idx="85">
                  <c:v>2000.2406095509914</c:v>
                </c:pt>
                <c:pt idx="86">
                  <c:v>3194.6373949579834</c:v>
                </c:pt>
                <c:pt idx="87">
                  <c:v>2141.6804253444911</c:v>
                </c:pt>
                <c:pt idx="88">
                  <c:v>1564.4627420943211</c:v>
                </c:pt>
                <c:pt idx="89">
                  <c:v>5848.8876015648511</c:v>
                </c:pt>
                <c:pt idx="90">
                  <c:v>2987.5122055674519</c:v>
                </c:pt>
                <c:pt idx="91">
                  <c:v>2565.2338430467398</c:v>
                </c:pt>
                <c:pt idx="92">
                  <c:v>1772.2256210775063</c:v>
                </c:pt>
                <c:pt idx="93">
                  <c:v>1503.0196824706395</c:v>
                </c:pt>
                <c:pt idx="94">
                  <c:v>2589.4067826894902</c:v>
                </c:pt>
                <c:pt idx="95">
                  <c:v>2741.7173103313075</c:v>
                </c:pt>
                <c:pt idx="96">
                  <c:v>3473.902203658361</c:v>
                </c:pt>
                <c:pt idx="97">
                  <c:v>4231.061456245825</c:v>
                </c:pt>
                <c:pt idx="98">
                  <c:v>2549.7423347006884</c:v>
                </c:pt>
                <c:pt idx="99">
                  <c:v>2280.8581862446745</c:v>
                </c:pt>
                <c:pt idx="100">
                  <c:v>3155.3766606971803</c:v>
                </c:pt>
                <c:pt idx="101">
                  <c:v>2391.2901152901154</c:v>
                </c:pt>
                <c:pt idx="102">
                  <c:v>3098.0216649903468</c:v>
                </c:pt>
                <c:pt idx="103">
                  <c:v>1603.5276073619632</c:v>
                </c:pt>
                <c:pt idx="104">
                  <c:v>4081.028560147407</c:v>
                </c:pt>
                <c:pt idx="105">
                  <c:v>3546.8476311171767</c:v>
                </c:pt>
                <c:pt idx="106">
                  <c:v>4029.8560355963828</c:v>
                </c:pt>
                <c:pt idx="107">
                  <c:v>2665.0069880653268</c:v>
                </c:pt>
                <c:pt idx="108">
                  <c:v>1466.1063315926892</c:v>
                </c:pt>
                <c:pt idx="109">
                  <c:v>2334.77728372826</c:v>
                </c:pt>
                <c:pt idx="110">
                  <c:v>2194.849110964768</c:v>
                </c:pt>
                <c:pt idx="111">
                  <c:v>1959.1218298174922</c:v>
                </c:pt>
                <c:pt idx="112">
                  <c:v>2608.6520501739224</c:v>
                </c:pt>
                <c:pt idx="113">
                  <c:v>1882.0835613555041</c:v>
                </c:pt>
                <c:pt idx="114">
                  <c:v>2294.2620798319326</c:v>
                </c:pt>
                <c:pt idx="115">
                  <c:v>991.01895684960198</c:v>
                </c:pt>
                <c:pt idx="116">
                  <c:v>4963.7763658086242</c:v>
                </c:pt>
                <c:pt idx="117">
                  <c:v>4569.4548346824531</c:v>
                </c:pt>
                <c:pt idx="118">
                  <c:v>2859.441270323659</c:v>
                </c:pt>
                <c:pt idx="119">
                  <c:v>3998.1855714906565</c:v>
                </c:pt>
                <c:pt idx="120">
                  <c:v>2595.1140666187393</c:v>
                </c:pt>
                <c:pt idx="121">
                  <c:v>3168.3825900053735</c:v>
                </c:pt>
                <c:pt idx="122">
                  <c:v>2275.5721679125936</c:v>
                </c:pt>
                <c:pt idx="123">
                  <c:v>2408.2349561536134</c:v>
                </c:pt>
                <c:pt idx="124">
                  <c:v>3459.7056699169375</c:v>
                </c:pt>
                <c:pt idx="125">
                  <c:v>2536.3811928210766</c:v>
                </c:pt>
                <c:pt idx="126">
                  <c:v>3377.2550317066448</c:v>
                </c:pt>
                <c:pt idx="127">
                  <c:v>3469.5768725361368</c:v>
                </c:pt>
                <c:pt idx="128">
                  <c:v>1667.535074692059</c:v>
                </c:pt>
                <c:pt idx="129">
                  <c:v>3171.0852228606927</c:v>
                </c:pt>
                <c:pt idx="130">
                  <c:v>2769.1556584776481</c:v>
                </c:pt>
                <c:pt idx="131">
                  <c:v>2359.2912585474032</c:v>
                </c:pt>
                <c:pt idx="132">
                  <c:v>1678.5113864701943</c:v>
                </c:pt>
                <c:pt idx="133">
                  <c:v>2036.9221437474034</c:v>
                </c:pt>
                <c:pt idx="134">
                  <c:v>3484.854623170289</c:v>
                </c:pt>
                <c:pt idx="135">
                  <c:v>1800.6761378584583</c:v>
                </c:pt>
                <c:pt idx="136">
                  <c:v>2741.5864953851137</c:v>
                </c:pt>
                <c:pt idx="137">
                  <c:v>2980.0831044221768</c:v>
                </c:pt>
                <c:pt idx="138">
                  <c:v>2234.9893840188165</c:v>
                </c:pt>
                <c:pt idx="139">
                  <c:v>2291.3173285659559</c:v>
                </c:pt>
                <c:pt idx="140">
                  <c:v>1446.5598767399852</c:v>
                </c:pt>
                <c:pt idx="141">
                  <c:v>2610.712025105161</c:v>
                </c:pt>
                <c:pt idx="142">
                  <c:v>2196.9960899586813</c:v>
                </c:pt>
                <c:pt idx="143">
                  <c:v>3738.0112824473808</c:v>
                </c:pt>
                <c:pt idx="144">
                  <c:v>2221.2161383285302</c:v>
                </c:pt>
                <c:pt idx="145">
                  <c:v>2019.9145961136435</c:v>
                </c:pt>
                <c:pt idx="146">
                  <c:v>1846.5812883435583</c:v>
                </c:pt>
                <c:pt idx="147">
                  <c:v>2421.8611455931905</c:v>
                </c:pt>
                <c:pt idx="148">
                  <c:v>3161.4603389830509</c:v>
                </c:pt>
                <c:pt idx="149">
                  <c:v>4036.7010106681641</c:v>
                </c:pt>
                <c:pt idx="150">
                  <c:v>2041.852942245484</c:v>
                </c:pt>
                <c:pt idx="151">
                  <c:v>3757.6268197662498</c:v>
                </c:pt>
                <c:pt idx="152">
                  <c:v>2109.6992450976013</c:v>
                </c:pt>
                <c:pt idx="153">
                  <c:v>3324.4553204925796</c:v>
                </c:pt>
                <c:pt idx="154">
                  <c:v>1601.5732172216301</c:v>
                </c:pt>
                <c:pt idx="155">
                  <c:v>3410.627708754695</c:v>
                </c:pt>
                <c:pt idx="156">
                  <c:v>6233.9104375791831</c:v>
                </c:pt>
                <c:pt idx="157">
                  <c:v>6494.9573760693338</c:v>
                </c:pt>
                <c:pt idx="158">
                  <c:v>2821.3580669424596</c:v>
                </c:pt>
                <c:pt idx="159">
                  <c:v>1933.1920903954801</c:v>
                </c:pt>
                <c:pt idx="160">
                  <c:v>5838.770936631613</c:v>
                </c:pt>
                <c:pt idx="161">
                  <c:v>1874.499461883408</c:v>
                </c:pt>
                <c:pt idx="162">
                  <c:v>1287.7387714793601</c:v>
                </c:pt>
                <c:pt idx="163">
                  <c:v>2823.333848797251</c:v>
                </c:pt>
                <c:pt idx="164">
                  <c:v>2512.1422073258318</c:v>
                </c:pt>
                <c:pt idx="165">
                  <c:v>1926.7677372962607</c:v>
                </c:pt>
                <c:pt idx="166">
                  <c:v>4567.0627992428463</c:v>
                </c:pt>
                <c:pt idx="167">
                  <c:v>2862.6299697275481</c:v>
                </c:pt>
                <c:pt idx="168">
                  <c:v>1836.3102622289459</c:v>
                </c:pt>
              </c:numCache>
            </c:numRef>
          </c:xVal>
          <c:yVal>
            <c:numRef>
              <c:f>Graphs!$K$3:$K$171</c:f>
              <c:numCache>
                <c:formatCode>0.0%</c:formatCode>
                <c:ptCount val="169"/>
                <c:pt idx="0">
                  <c:v>1.0737411968785993E-2</c:v>
                </c:pt>
                <c:pt idx="1">
                  <c:v>3.4312278190940522E-2</c:v>
                </c:pt>
                <c:pt idx="2">
                  <c:v>1.4669785324659623E-2</c:v>
                </c:pt>
                <c:pt idx="3">
                  <c:v>3.4044812082879697E-2</c:v>
                </c:pt>
                <c:pt idx="4">
                  <c:v>1.8467665970254444E-2</c:v>
                </c:pt>
                <c:pt idx="5">
                  <c:v>1.307553679976103E-2</c:v>
                </c:pt>
                <c:pt idx="6">
                  <c:v>0.17674583069799291</c:v>
                </c:pt>
                <c:pt idx="7">
                  <c:v>9.1377946236298017E-3</c:v>
                </c:pt>
                <c:pt idx="8">
                  <c:v>3.925264909264442E-2</c:v>
                </c:pt>
                <c:pt idx="9">
                  <c:v>1.9946585173743387E-2</c:v>
                </c:pt>
                <c:pt idx="10">
                  <c:v>3.3321770888683606E-2</c:v>
                </c:pt>
                <c:pt idx="11">
                  <c:v>2.4375603165036227E-2</c:v>
                </c:pt>
                <c:pt idx="12">
                  <c:v>5.2097702953122604E-2</c:v>
                </c:pt>
                <c:pt idx="13">
                  <c:v>6.123091465563326E-2</c:v>
                </c:pt>
                <c:pt idx="14">
                  <c:v>2.6905014656325905E-2</c:v>
                </c:pt>
                <c:pt idx="15">
                  <c:v>9.0093783281667179E-3</c:v>
                </c:pt>
                <c:pt idx="16">
                  <c:v>4.1495443977254957E-2</c:v>
                </c:pt>
                <c:pt idx="17">
                  <c:v>6.2983611101928044E-2</c:v>
                </c:pt>
                <c:pt idx="18">
                  <c:v>4.3220867337640557E-2</c:v>
                </c:pt>
                <c:pt idx="19">
                  <c:v>7.4305292762759647E-3</c:v>
                </c:pt>
                <c:pt idx="20">
                  <c:v>0.1386367466449748</c:v>
                </c:pt>
                <c:pt idx="21">
                  <c:v>1.5820401414029902E-2</c:v>
                </c:pt>
                <c:pt idx="22">
                  <c:v>7.7974331445245085E-2</c:v>
                </c:pt>
                <c:pt idx="23">
                  <c:v>1.2824331167805476E-2</c:v>
                </c:pt>
                <c:pt idx="24">
                  <c:v>3.4304804042539945E-2</c:v>
                </c:pt>
                <c:pt idx="25">
                  <c:v>1.6899913871568861E-2</c:v>
                </c:pt>
                <c:pt idx="26">
                  <c:v>6.6507200774366976E-2</c:v>
                </c:pt>
                <c:pt idx="27">
                  <c:v>3.8690993343856686E-2</c:v>
                </c:pt>
                <c:pt idx="28">
                  <c:v>2.6212447754036623E-3</c:v>
                </c:pt>
                <c:pt idx="29">
                  <c:v>4.1134530648129573E-2</c:v>
                </c:pt>
                <c:pt idx="30">
                  <c:v>2.2933500461419707E-2</c:v>
                </c:pt>
                <c:pt idx="31">
                  <c:v>1.2271907495168124E-2</c:v>
                </c:pt>
                <c:pt idx="32">
                  <c:v>5.4615878453538172E-2</c:v>
                </c:pt>
                <c:pt idx="33">
                  <c:v>0.10237193100087499</c:v>
                </c:pt>
                <c:pt idx="34">
                  <c:v>3.5776682476783277E-2</c:v>
                </c:pt>
                <c:pt idx="35">
                  <c:v>2.6106261190302574E-2</c:v>
                </c:pt>
                <c:pt idx="36">
                  <c:v>6.6153527730030928E-2</c:v>
                </c:pt>
                <c:pt idx="37">
                  <c:v>1.7427197126857499E-2</c:v>
                </c:pt>
                <c:pt idx="38">
                  <c:v>3.4923671394905778E-2</c:v>
                </c:pt>
                <c:pt idx="39">
                  <c:v>1.6778646911570713E-2</c:v>
                </c:pt>
                <c:pt idx="40">
                  <c:v>2.1823900799565206E-2</c:v>
                </c:pt>
                <c:pt idx="41">
                  <c:v>6.2155972042011204E-2</c:v>
                </c:pt>
                <c:pt idx="42">
                  <c:v>5.1862728298689383E-2</c:v>
                </c:pt>
                <c:pt idx="43">
                  <c:v>2.8783073095524851E-2</c:v>
                </c:pt>
                <c:pt idx="44">
                  <c:v>6.3755099020761014E-2</c:v>
                </c:pt>
                <c:pt idx="45">
                  <c:v>2.6447931083488307E-2</c:v>
                </c:pt>
                <c:pt idx="46">
                  <c:v>4.1772533693552666E-3</c:v>
                </c:pt>
                <c:pt idx="47">
                  <c:v>2.7454524889698857E-2</c:v>
                </c:pt>
                <c:pt idx="48">
                  <c:v>8.5533235778760264E-2</c:v>
                </c:pt>
                <c:pt idx="49">
                  <c:v>3.1375425674554425E-2</c:v>
                </c:pt>
                <c:pt idx="50">
                  <c:v>4.7187355971192613E-2</c:v>
                </c:pt>
                <c:pt idx="51">
                  <c:v>7.9581411336844793E-2</c:v>
                </c:pt>
                <c:pt idx="52">
                  <c:v>0.12139887100619313</c:v>
                </c:pt>
                <c:pt idx="53">
                  <c:v>3.3514499882318138E-2</c:v>
                </c:pt>
                <c:pt idx="54">
                  <c:v>1.3767226114484474E-2</c:v>
                </c:pt>
                <c:pt idx="55">
                  <c:v>2.3416386928505832E-2</c:v>
                </c:pt>
                <c:pt idx="56">
                  <c:v>3.8474363532247757E-2</c:v>
                </c:pt>
                <c:pt idx="57">
                  <c:v>2.2226807395754267E-2</c:v>
                </c:pt>
                <c:pt idx="58">
                  <c:v>4.4980269579975564E-2</c:v>
                </c:pt>
                <c:pt idx="59">
                  <c:v>2.2672299749924393E-2</c:v>
                </c:pt>
                <c:pt idx="60">
                  <c:v>1.3565563084463196E-2</c:v>
                </c:pt>
                <c:pt idx="61">
                  <c:v>3.7197648975595105E-2</c:v>
                </c:pt>
                <c:pt idx="62">
                  <c:v>6.2770981354661002E-3</c:v>
                </c:pt>
                <c:pt idx="63">
                  <c:v>8.4243695865419216E-2</c:v>
                </c:pt>
                <c:pt idx="64">
                  <c:v>5.7010874463645543E-3</c:v>
                </c:pt>
                <c:pt idx="65">
                  <c:v>1.366116071285617E-2</c:v>
                </c:pt>
                <c:pt idx="66">
                  <c:v>1.0456118030898045E-2</c:v>
                </c:pt>
                <c:pt idx="67">
                  <c:v>2.680027102611264E-2</c:v>
                </c:pt>
                <c:pt idx="68">
                  <c:v>5.9242554656829011E-2</c:v>
                </c:pt>
                <c:pt idx="69">
                  <c:v>1.3551747583888227E-2</c:v>
                </c:pt>
                <c:pt idx="70">
                  <c:v>6.5098194955462724E-3</c:v>
                </c:pt>
                <c:pt idx="71">
                  <c:v>2.4123717809213678E-2</c:v>
                </c:pt>
                <c:pt idx="72">
                  <c:v>0.17854917431886091</c:v>
                </c:pt>
                <c:pt idx="73">
                  <c:v>0.15480088228461311</c:v>
                </c:pt>
                <c:pt idx="74">
                  <c:v>3.2042549304586014E-3</c:v>
                </c:pt>
                <c:pt idx="75">
                  <c:v>2.2162149628241076E-2</c:v>
                </c:pt>
                <c:pt idx="76">
                  <c:v>0.11452688360411453</c:v>
                </c:pt>
                <c:pt idx="77">
                  <c:v>3.6574494713935056E-2</c:v>
                </c:pt>
                <c:pt idx="78">
                  <c:v>8.465173530944262E-3</c:v>
                </c:pt>
                <c:pt idx="79">
                  <c:v>4.6556282802654475E-2</c:v>
                </c:pt>
                <c:pt idx="80">
                  <c:v>3.2129913747201491E-2</c:v>
                </c:pt>
                <c:pt idx="81">
                  <c:v>2.5394426913211959E-2</c:v>
                </c:pt>
                <c:pt idx="82">
                  <c:v>5.3066097118142669E-2</c:v>
                </c:pt>
                <c:pt idx="83">
                  <c:v>7.7159310998919275E-2</c:v>
                </c:pt>
                <c:pt idx="84">
                  <c:v>2.2472771690457343E-2</c:v>
                </c:pt>
                <c:pt idx="85">
                  <c:v>3.8546799247452447E-2</c:v>
                </c:pt>
                <c:pt idx="86">
                  <c:v>1.3413529845645625E-2</c:v>
                </c:pt>
                <c:pt idx="87">
                  <c:v>3.2262053713667881E-2</c:v>
                </c:pt>
                <c:pt idx="88">
                  <c:v>3.3984679257890157E-2</c:v>
                </c:pt>
                <c:pt idx="89">
                  <c:v>1.6704170315626831E-2</c:v>
                </c:pt>
                <c:pt idx="90">
                  <c:v>7.8160249638643074E-3</c:v>
                </c:pt>
                <c:pt idx="91">
                  <c:v>2.6997146849160533E-2</c:v>
                </c:pt>
                <c:pt idx="92">
                  <c:v>8.3372436953646226E-2</c:v>
                </c:pt>
                <c:pt idx="93">
                  <c:v>0.14237981778104342</c:v>
                </c:pt>
                <c:pt idx="94">
                  <c:v>5.6468583527212332E-2</c:v>
                </c:pt>
                <c:pt idx="95">
                  <c:v>3.4695435691717229E-2</c:v>
                </c:pt>
                <c:pt idx="96">
                  <c:v>1.6680042848999151E-2</c:v>
                </c:pt>
                <c:pt idx="97">
                  <c:v>0.1517561481766013</c:v>
                </c:pt>
                <c:pt idx="98">
                  <c:v>2.7718226817718107E-2</c:v>
                </c:pt>
                <c:pt idx="99">
                  <c:v>9.3861135790066653E-3</c:v>
                </c:pt>
                <c:pt idx="100">
                  <c:v>7.2939641164420976E-2</c:v>
                </c:pt>
                <c:pt idx="101">
                  <c:v>2.7252883610701027E-2</c:v>
                </c:pt>
                <c:pt idx="102">
                  <c:v>8.0962903087586788E-2</c:v>
                </c:pt>
                <c:pt idx="103">
                  <c:v>6.122729340813246E-2</c:v>
                </c:pt>
                <c:pt idx="104">
                  <c:v>2.2336309615089731E-2</c:v>
                </c:pt>
                <c:pt idx="105">
                  <c:v>7.4666428461128628E-2</c:v>
                </c:pt>
                <c:pt idx="106">
                  <c:v>0.17793162619634736</c:v>
                </c:pt>
                <c:pt idx="107">
                  <c:v>1.9361453975023566E-2</c:v>
                </c:pt>
                <c:pt idx="108">
                  <c:v>5.722027265203105E-2</c:v>
                </c:pt>
                <c:pt idx="109">
                  <c:v>7.5810613517361902E-2</c:v>
                </c:pt>
                <c:pt idx="110">
                  <c:v>2.3143367149034876E-2</c:v>
                </c:pt>
                <c:pt idx="111">
                  <c:v>2.1729909842299024E-2</c:v>
                </c:pt>
                <c:pt idx="112">
                  <c:v>2.7320315963348357E-2</c:v>
                </c:pt>
                <c:pt idx="113">
                  <c:v>1.6283968969864289E-2</c:v>
                </c:pt>
                <c:pt idx="114">
                  <c:v>2.6443355680515371E-2</c:v>
                </c:pt>
                <c:pt idx="115">
                  <c:v>0.18291488382065488</c:v>
                </c:pt>
                <c:pt idx="116">
                  <c:v>6.045697236770735E-3</c:v>
                </c:pt>
                <c:pt idx="117">
                  <c:v>3.2056352065921029E-2</c:v>
                </c:pt>
                <c:pt idx="118">
                  <c:v>4.9968671101211504E-2</c:v>
                </c:pt>
                <c:pt idx="119">
                  <c:v>6.1383093752556718E-3</c:v>
                </c:pt>
                <c:pt idx="120">
                  <c:v>1.5880457315081167E-2</c:v>
                </c:pt>
                <c:pt idx="121">
                  <c:v>3.1126249182061208E-2</c:v>
                </c:pt>
                <c:pt idx="122">
                  <c:v>2.374488183588487E-3</c:v>
                </c:pt>
                <c:pt idx="123">
                  <c:v>2.7590253020263262E-2</c:v>
                </c:pt>
                <c:pt idx="124">
                  <c:v>1.8500390457996316E-2</c:v>
                </c:pt>
                <c:pt idx="125">
                  <c:v>5.5894065744043576E-2</c:v>
                </c:pt>
                <c:pt idx="126">
                  <c:v>7.7092878410091603E-3</c:v>
                </c:pt>
                <c:pt idx="127">
                  <c:v>3.7646524378784199E-2</c:v>
                </c:pt>
                <c:pt idx="128">
                  <c:v>1.8144067951449242E-2</c:v>
                </c:pt>
                <c:pt idx="129">
                  <c:v>4.8956617304712263E-2</c:v>
                </c:pt>
                <c:pt idx="130">
                  <c:v>5.4396182302986089E-2</c:v>
                </c:pt>
                <c:pt idx="131">
                  <c:v>5.8442706390457268E-2</c:v>
                </c:pt>
                <c:pt idx="132">
                  <c:v>1.7879779032832204E-2</c:v>
                </c:pt>
                <c:pt idx="133">
                  <c:v>2.7832578238688559E-2</c:v>
                </c:pt>
                <c:pt idx="134">
                  <c:v>4.4458401672388424E-2</c:v>
                </c:pt>
                <c:pt idx="135">
                  <c:v>5.2610817552193193E-3</c:v>
                </c:pt>
                <c:pt idx="136">
                  <c:v>5.5928905407813895E-2</c:v>
                </c:pt>
                <c:pt idx="137">
                  <c:v>4.9757553883912307E-2</c:v>
                </c:pt>
                <c:pt idx="138">
                  <c:v>1.3576423618955641E-2</c:v>
                </c:pt>
                <c:pt idx="139">
                  <c:v>4.5591369367507732E-2</c:v>
                </c:pt>
                <c:pt idx="140">
                  <c:v>1.4628045352133119E-2</c:v>
                </c:pt>
                <c:pt idx="141">
                  <c:v>2.0488423166500343E-2</c:v>
                </c:pt>
                <c:pt idx="142">
                  <c:v>7.7426362574132199E-2</c:v>
                </c:pt>
                <c:pt idx="143">
                  <c:v>3.27839445756965E-2</c:v>
                </c:pt>
                <c:pt idx="144">
                  <c:v>3.3556067892937136E-2</c:v>
                </c:pt>
                <c:pt idx="145">
                  <c:v>6.2902912284198392E-2</c:v>
                </c:pt>
                <c:pt idx="146">
                  <c:v>1.2360234928640813E-2</c:v>
                </c:pt>
                <c:pt idx="147">
                  <c:v>7.5467446694796297E-2</c:v>
                </c:pt>
                <c:pt idx="148">
                  <c:v>7.5832962636063813E-3</c:v>
                </c:pt>
                <c:pt idx="149">
                  <c:v>3.1518723536217159E-2</c:v>
                </c:pt>
                <c:pt idx="150">
                  <c:v>4.5443955668280384E-2</c:v>
                </c:pt>
                <c:pt idx="151">
                  <c:v>9.4228937427381435E-2</c:v>
                </c:pt>
                <c:pt idx="152">
                  <c:v>7.1246063599729195E-2</c:v>
                </c:pt>
                <c:pt idx="153">
                  <c:v>5.2221624905089387E-2</c:v>
                </c:pt>
                <c:pt idx="154">
                  <c:v>3.3816533143583523E-2</c:v>
                </c:pt>
                <c:pt idx="155">
                  <c:v>7.6930618977769552E-2</c:v>
                </c:pt>
                <c:pt idx="156">
                  <c:v>2.9926088423807315E-3</c:v>
                </c:pt>
                <c:pt idx="157">
                  <c:v>4.5308013903470265E-2</c:v>
                </c:pt>
                <c:pt idx="158">
                  <c:v>2.8979860808470669E-2</c:v>
                </c:pt>
                <c:pt idx="159">
                  <c:v>3.452349455286844E-2</c:v>
                </c:pt>
                <c:pt idx="160">
                  <c:v>2.5342637208912E-2</c:v>
                </c:pt>
                <c:pt idx="161">
                  <c:v>2.6979107938422273E-2</c:v>
                </c:pt>
                <c:pt idx="162">
                  <c:v>8.3346260912048081E-2</c:v>
                </c:pt>
                <c:pt idx="163">
                  <c:v>4.3521811516795995E-2</c:v>
                </c:pt>
                <c:pt idx="164">
                  <c:v>0.11511865382757359</c:v>
                </c:pt>
                <c:pt idx="165">
                  <c:v>2.3341562784188908E-2</c:v>
                </c:pt>
                <c:pt idx="166">
                  <c:v>1.2671688856991038E-2</c:v>
                </c:pt>
                <c:pt idx="167">
                  <c:v>2.4477048067742379E-2</c:v>
                </c:pt>
                <c:pt idx="168">
                  <c:v>1.3980985841567369E-2</c:v>
                </c:pt>
              </c:numCache>
            </c:numRef>
          </c:yVal>
          <c:smooth val="0"/>
        </c:ser>
        <c:dLbls>
          <c:showLegendKey val="0"/>
          <c:showVal val="0"/>
          <c:showCatName val="0"/>
          <c:showSerName val="0"/>
          <c:showPercent val="0"/>
          <c:showBubbleSize val="0"/>
        </c:dLbls>
        <c:axId val="304213384"/>
        <c:axId val="304213776"/>
      </c:scatterChart>
      <c:valAx>
        <c:axId val="304213384"/>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Local Sales Tax</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crossAx val="304213776"/>
        <c:crosses val="autoZero"/>
        <c:crossBetween val="midCat"/>
      </c:valAx>
      <c:valAx>
        <c:axId val="304213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Regional Sales Tax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2133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Graphs!$B$3:$B$171</c:f>
              <c:numCache>
                <c:formatCode>0.00</c:formatCode>
                <c:ptCount val="169"/>
                <c:pt idx="0">
                  <c:v>75.805302671260705</c:v>
                </c:pt>
                <c:pt idx="1">
                  <c:v>667.29530625570465</c:v>
                </c:pt>
                <c:pt idx="2">
                  <c:v>289.14589113981071</c:v>
                </c:pt>
                <c:pt idx="3">
                  <c:v>-611.38903118332655</c:v>
                </c:pt>
                <c:pt idx="4">
                  <c:v>-28.33112254872858</c:v>
                </c:pt>
                <c:pt idx="5">
                  <c:v>125.70761193964999</c:v>
                </c:pt>
                <c:pt idx="6">
                  <c:v>-114.51201830529881</c:v>
                </c:pt>
                <c:pt idx="7">
                  <c:v>-227.40322946764778</c:v>
                </c:pt>
                <c:pt idx="8">
                  <c:v>-201.22396894841549</c:v>
                </c:pt>
                <c:pt idx="9">
                  <c:v>-270.19466101934921</c:v>
                </c:pt>
                <c:pt idx="10">
                  <c:v>126.66396476801351</c:v>
                </c:pt>
                <c:pt idx="11">
                  <c:v>79.294156609518083</c:v>
                </c:pt>
                <c:pt idx="12">
                  <c:v>-5.0524506189537082</c:v>
                </c:pt>
                <c:pt idx="13">
                  <c:v>-422.74237705603991</c:v>
                </c:pt>
                <c:pt idx="14">
                  <c:v>1118.7486704456792</c:v>
                </c:pt>
                <c:pt idx="15">
                  <c:v>-1634.7679171814298</c:v>
                </c:pt>
                <c:pt idx="16">
                  <c:v>447.11338536226788</c:v>
                </c:pt>
                <c:pt idx="17">
                  <c:v>-660.33029235351671</c:v>
                </c:pt>
                <c:pt idx="18">
                  <c:v>317.27851732942838</c:v>
                </c:pt>
                <c:pt idx="19">
                  <c:v>-110.32362938003912</c:v>
                </c:pt>
                <c:pt idx="20">
                  <c:v>-676.34708559770127</c:v>
                </c:pt>
                <c:pt idx="21">
                  <c:v>265.61643910746193</c:v>
                </c:pt>
                <c:pt idx="22">
                  <c:v>-220.65295454071634</c:v>
                </c:pt>
                <c:pt idx="23">
                  <c:v>317.27942275134438</c:v>
                </c:pt>
                <c:pt idx="24">
                  <c:v>-33.43921257967736</c:v>
                </c:pt>
                <c:pt idx="25">
                  <c:v>-323.03489938217581</c:v>
                </c:pt>
                <c:pt idx="26">
                  <c:v>-354.2199605106178</c:v>
                </c:pt>
                <c:pt idx="27">
                  <c:v>182.89378469576673</c:v>
                </c:pt>
                <c:pt idx="28">
                  <c:v>-260.40701328171383</c:v>
                </c:pt>
                <c:pt idx="29">
                  <c:v>-3.3850059126223639</c:v>
                </c:pt>
                <c:pt idx="30">
                  <c:v>-2197.0063972889748</c:v>
                </c:pt>
                <c:pt idx="31">
                  <c:v>157.39172044417242</c:v>
                </c:pt>
                <c:pt idx="32">
                  <c:v>33.948731267046377</c:v>
                </c:pt>
                <c:pt idx="33">
                  <c:v>143.26455620869947</c:v>
                </c:pt>
                <c:pt idx="34">
                  <c:v>-3612.5522477350642</c:v>
                </c:pt>
                <c:pt idx="35">
                  <c:v>-220.27154267196889</c:v>
                </c:pt>
                <c:pt idx="36">
                  <c:v>605.65729417606849</c:v>
                </c:pt>
                <c:pt idx="37">
                  <c:v>-135.58035143450624</c:v>
                </c:pt>
                <c:pt idx="38">
                  <c:v>-149.07072078137693</c:v>
                </c:pt>
                <c:pt idx="39">
                  <c:v>-80.490694465695057</c:v>
                </c:pt>
                <c:pt idx="40">
                  <c:v>52.464968662503722</c:v>
                </c:pt>
                <c:pt idx="41">
                  <c:v>735.43655908665016</c:v>
                </c:pt>
                <c:pt idx="42">
                  <c:v>355.09081903550668</c:v>
                </c:pt>
                <c:pt idx="43">
                  <c:v>-281.24897619139853</c:v>
                </c:pt>
                <c:pt idx="44">
                  <c:v>160.15525665551394</c:v>
                </c:pt>
                <c:pt idx="45">
                  <c:v>77.512324288933002</c:v>
                </c:pt>
                <c:pt idx="46">
                  <c:v>-1261.3784176043951</c:v>
                </c:pt>
                <c:pt idx="47">
                  <c:v>136.49220050061092</c:v>
                </c:pt>
                <c:pt idx="48">
                  <c:v>389.47070736560164</c:v>
                </c:pt>
                <c:pt idx="49">
                  <c:v>-1015.1988994947587</c:v>
                </c:pt>
                <c:pt idx="50">
                  <c:v>-957.52448611628029</c:v>
                </c:pt>
                <c:pt idx="51">
                  <c:v>-455.84547405835565</c:v>
                </c:pt>
                <c:pt idx="52">
                  <c:v>-106.64493458115621</c:v>
                </c:pt>
                <c:pt idx="53">
                  <c:v>-274.55173944048266</c:v>
                </c:pt>
                <c:pt idx="54">
                  <c:v>-1167.2117938604592</c:v>
                </c:pt>
                <c:pt idx="55">
                  <c:v>-26.108098034271325</c:v>
                </c:pt>
                <c:pt idx="56">
                  <c:v>-5325.6452263309966</c:v>
                </c:pt>
                <c:pt idx="57">
                  <c:v>360.86841740271041</c:v>
                </c:pt>
                <c:pt idx="58">
                  <c:v>81.352990649708545</c:v>
                </c:pt>
                <c:pt idx="59">
                  <c:v>-650.87106768867454</c:v>
                </c:pt>
                <c:pt idx="60">
                  <c:v>-180.09676995292776</c:v>
                </c:pt>
                <c:pt idx="61">
                  <c:v>347.28680405919022</c:v>
                </c:pt>
                <c:pt idx="62">
                  <c:v>141.52531738936426</c:v>
                </c:pt>
                <c:pt idx="63">
                  <c:v>1364.0105287128899</c:v>
                </c:pt>
                <c:pt idx="64">
                  <c:v>32.27803309526935</c:v>
                </c:pt>
                <c:pt idx="65">
                  <c:v>-82.756201191038869</c:v>
                </c:pt>
                <c:pt idx="66">
                  <c:v>97.517215732867498</c:v>
                </c:pt>
                <c:pt idx="67">
                  <c:v>-1520.5851043099622</c:v>
                </c:pt>
                <c:pt idx="68">
                  <c:v>390.74135298309818</c:v>
                </c:pt>
                <c:pt idx="69">
                  <c:v>-336.81760454108922</c:v>
                </c:pt>
                <c:pt idx="70">
                  <c:v>94.772661762765438</c:v>
                </c:pt>
                <c:pt idx="71">
                  <c:v>323.92761409721572</c:v>
                </c:pt>
                <c:pt idx="72">
                  <c:v>55.400668580013871</c:v>
                </c:pt>
                <c:pt idx="73">
                  <c:v>-510.28450504765317</c:v>
                </c:pt>
                <c:pt idx="74">
                  <c:v>-2056.5922836286745</c:v>
                </c:pt>
                <c:pt idx="75">
                  <c:v>-1020.0636563131036</c:v>
                </c:pt>
                <c:pt idx="76">
                  <c:v>443.63236844952064</c:v>
                </c:pt>
                <c:pt idx="77">
                  <c:v>755.01378952110429</c:v>
                </c:pt>
                <c:pt idx="78">
                  <c:v>30.402598864750779</c:v>
                </c:pt>
                <c:pt idx="79">
                  <c:v>618.84587324948336</c:v>
                </c:pt>
                <c:pt idx="80">
                  <c:v>-408.57723345201936</c:v>
                </c:pt>
                <c:pt idx="81">
                  <c:v>-51.727871467690555</c:v>
                </c:pt>
                <c:pt idx="82">
                  <c:v>338.9925132602437</c:v>
                </c:pt>
                <c:pt idx="83">
                  <c:v>54.664955134881758</c:v>
                </c:pt>
                <c:pt idx="84">
                  <c:v>-316.46155396992123</c:v>
                </c:pt>
                <c:pt idx="85">
                  <c:v>348.69561196319665</c:v>
                </c:pt>
                <c:pt idx="86">
                  <c:v>-969.46975018571538</c:v>
                </c:pt>
                <c:pt idx="87">
                  <c:v>490.92563853178979</c:v>
                </c:pt>
                <c:pt idx="88">
                  <c:v>1037.3850496404507</c:v>
                </c:pt>
                <c:pt idx="89">
                  <c:v>-4006.3101128426592</c:v>
                </c:pt>
                <c:pt idx="90">
                  <c:v>-449.38132005853947</c:v>
                </c:pt>
                <c:pt idx="91">
                  <c:v>-68.37065788133323</c:v>
                </c:pt>
                <c:pt idx="92">
                  <c:v>1094.4433434703465</c:v>
                </c:pt>
                <c:pt idx="93">
                  <c:v>812.48128700730763</c:v>
                </c:pt>
                <c:pt idx="94">
                  <c:v>-171.17955732946524</c:v>
                </c:pt>
                <c:pt idx="95">
                  <c:v>189.92518481962878</c:v>
                </c:pt>
                <c:pt idx="96">
                  <c:v>-388.45271596557245</c:v>
                </c:pt>
                <c:pt idx="97">
                  <c:v>-954.46781502412682</c:v>
                </c:pt>
                <c:pt idx="98">
                  <c:v>30.89444287745814</c:v>
                </c:pt>
                <c:pt idx="99">
                  <c:v>-63.681939016394153</c:v>
                </c:pt>
                <c:pt idx="100">
                  <c:v>-128.08962538263958</c:v>
                </c:pt>
                <c:pt idx="101">
                  <c:v>-256.17566584281076</c:v>
                </c:pt>
                <c:pt idx="102">
                  <c:v>-455.68825937529954</c:v>
                </c:pt>
                <c:pt idx="103">
                  <c:v>563.88178462322196</c:v>
                </c:pt>
                <c:pt idx="104">
                  <c:v>-1664.7372755517113</c:v>
                </c:pt>
                <c:pt idx="105">
                  <c:v>-1630.0609472803039</c:v>
                </c:pt>
                <c:pt idx="106">
                  <c:v>-247.24759935728017</c:v>
                </c:pt>
                <c:pt idx="107">
                  <c:v>-105.29138227340586</c:v>
                </c:pt>
                <c:pt idx="108">
                  <c:v>365.61085866469227</c:v>
                </c:pt>
                <c:pt idx="109">
                  <c:v>264.3122020321905</c:v>
                </c:pt>
                <c:pt idx="110">
                  <c:v>402.44208875753793</c:v>
                </c:pt>
                <c:pt idx="111">
                  <c:v>153.75247056862304</c:v>
                </c:pt>
                <c:pt idx="112">
                  <c:v>145.20578100072834</c:v>
                </c:pt>
                <c:pt idx="113">
                  <c:v>73.66744383057717</c:v>
                </c:pt>
                <c:pt idx="114">
                  <c:v>57.852201240525304</c:v>
                </c:pt>
                <c:pt idx="115">
                  <c:v>507.1568851658667</c:v>
                </c:pt>
                <c:pt idx="116">
                  <c:v>-1248.8264791184631</c:v>
                </c:pt>
                <c:pt idx="117">
                  <c:v>-1441.9171641262674</c:v>
                </c:pt>
                <c:pt idx="118">
                  <c:v>22.317722335179589</c:v>
                </c:pt>
                <c:pt idx="119">
                  <c:v>-2608.4132037720165</c:v>
                </c:pt>
                <c:pt idx="120">
                  <c:v>-112.06295162595811</c:v>
                </c:pt>
                <c:pt idx="121">
                  <c:v>-2552.7613653301919</c:v>
                </c:pt>
                <c:pt idx="122">
                  <c:v>236.53389188788961</c:v>
                </c:pt>
                <c:pt idx="123">
                  <c:v>289.35507765596827</c:v>
                </c:pt>
                <c:pt idx="124">
                  <c:v>-2029.2862546163174</c:v>
                </c:pt>
                <c:pt idx="125">
                  <c:v>-167.44641508805012</c:v>
                </c:pt>
                <c:pt idx="126">
                  <c:v>-1404.3949729154451</c:v>
                </c:pt>
                <c:pt idx="127">
                  <c:v>-153.936843367633</c:v>
                </c:pt>
                <c:pt idx="128">
                  <c:v>291.91203016242622</c:v>
                </c:pt>
                <c:pt idx="129">
                  <c:v>-46.928202297029564</c:v>
                </c:pt>
                <c:pt idx="130">
                  <c:v>-198.30714519117618</c:v>
                </c:pt>
                <c:pt idx="131">
                  <c:v>64.04419614376306</c:v>
                </c:pt>
                <c:pt idx="132">
                  <c:v>276.9163132062705</c:v>
                </c:pt>
                <c:pt idx="133">
                  <c:v>397.03473345372049</c:v>
                </c:pt>
                <c:pt idx="134">
                  <c:v>-503.12496008322012</c:v>
                </c:pt>
                <c:pt idx="135">
                  <c:v>307.13181503658086</c:v>
                </c:pt>
                <c:pt idx="136">
                  <c:v>-875.61849832010125</c:v>
                </c:pt>
                <c:pt idx="137">
                  <c:v>246.09183447422038</c:v>
                </c:pt>
                <c:pt idx="138">
                  <c:v>74.672748999182573</c:v>
                </c:pt>
                <c:pt idx="139">
                  <c:v>263.53953268120307</c:v>
                </c:pt>
                <c:pt idx="140">
                  <c:v>347.19698418640303</c:v>
                </c:pt>
                <c:pt idx="141">
                  <c:v>100.65624215623339</c:v>
                </c:pt>
                <c:pt idx="142">
                  <c:v>451.3210884365908</c:v>
                </c:pt>
                <c:pt idx="143">
                  <c:v>-339.49493325114537</c:v>
                </c:pt>
                <c:pt idx="144">
                  <c:v>4.9638213082937002</c:v>
                </c:pt>
                <c:pt idx="145">
                  <c:v>539.07287704334067</c:v>
                </c:pt>
                <c:pt idx="146">
                  <c:v>202.03349185311714</c:v>
                </c:pt>
                <c:pt idx="147">
                  <c:v>5.018415409134013</c:v>
                </c:pt>
                <c:pt idx="148">
                  <c:v>-1600.3517600279836</c:v>
                </c:pt>
                <c:pt idx="149">
                  <c:v>-3047.3500782838728</c:v>
                </c:pt>
                <c:pt idx="150">
                  <c:v>852.74122269813995</c:v>
                </c:pt>
                <c:pt idx="151">
                  <c:v>-1007.3649503765294</c:v>
                </c:pt>
                <c:pt idx="152">
                  <c:v>68.290183034174291</c:v>
                </c:pt>
                <c:pt idx="153">
                  <c:v>266.99786117735653</c:v>
                </c:pt>
                <c:pt idx="154">
                  <c:v>737.32556375493334</c:v>
                </c:pt>
                <c:pt idx="155">
                  <c:v>-1097.5664454773239</c:v>
                </c:pt>
                <c:pt idx="156">
                  <c:v>-2074.1378840620441</c:v>
                </c:pt>
                <c:pt idx="157">
                  <c:v>-3576.2311631094658</c:v>
                </c:pt>
                <c:pt idx="158">
                  <c:v>141.66986745415534</c:v>
                </c:pt>
                <c:pt idx="159">
                  <c:v>198.2314154116882</c:v>
                </c:pt>
                <c:pt idx="160">
                  <c:v>-1962.5635456111638</c:v>
                </c:pt>
                <c:pt idx="161">
                  <c:v>304.76894168630162</c:v>
                </c:pt>
                <c:pt idx="162">
                  <c:v>856.36541081781854</c:v>
                </c:pt>
                <c:pt idx="163">
                  <c:v>82.870432313721267</c:v>
                </c:pt>
                <c:pt idx="164">
                  <c:v>31.92545451686301</c:v>
                </c:pt>
                <c:pt idx="165">
                  <c:v>117.46216991535974</c:v>
                </c:pt>
                <c:pt idx="166">
                  <c:v>-464.90697323456482</c:v>
                </c:pt>
                <c:pt idx="167">
                  <c:v>-452.62036027346824</c:v>
                </c:pt>
                <c:pt idx="168">
                  <c:v>52.782674126438721</c:v>
                </c:pt>
              </c:numCache>
            </c:numRef>
          </c:xVal>
          <c:yVal>
            <c:numRef>
              <c:f>Graphs!$F$3:$F$171</c:f>
              <c:numCache>
                <c:formatCode>_(* #,##0_);_(* \(#,##0\);_(* "-"??_);_(@_)</c:formatCode>
                <c:ptCount val="169"/>
                <c:pt idx="0">
                  <c:v>27.219880548067042</c:v>
                </c:pt>
                <c:pt idx="1">
                  <c:v>57.611951643788672</c:v>
                </c:pt>
                <c:pt idx="2">
                  <c:v>31.540372704926309</c:v>
                </c:pt>
                <c:pt idx="3">
                  <c:v>128.73026588874848</c:v>
                </c:pt>
                <c:pt idx="4">
                  <c:v>42.939076144472907</c:v>
                </c:pt>
                <c:pt idx="5">
                  <c:v>31.668465047828246</c:v>
                </c:pt>
                <c:pt idx="6">
                  <c:v>523.35027315934519</c:v>
                </c:pt>
                <c:pt idx="7">
                  <c:v>29.381260170807131</c:v>
                </c:pt>
                <c:pt idx="8">
                  <c:v>117.04783532819938</c:v>
                </c:pt>
                <c:pt idx="9">
                  <c:v>46.696574986931466</c:v>
                </c:pt>
                <c:pt idx="10">
                  <c:v>111.41665799434037</c:v>
                </c:pt>
                <c:pt idx="11">
                  <c:v>71.46411483697203</c:v>
                </c:pt>
                <c:pt idx="12">
                  <c:v>107.81231579850943</c:v>
                </c:pt>
                <c:pt idx="13">
                  <c:v>191.11884459040823</c:v>
                </c:pt>
                <c:pt idx="14">
                  <c:v>52.847003429501434</c:v>
                </c:pt>
                <c:pt idx="15">
                  <c:v>35.35213358434968</c:v>
                </c:pt>
                <c:pt idx="16">
                  <c:v>86.118674905550861</c:v>
                </c:pt>
                <c:pt idx="17">
                  <c:v>202.32236691441065</c:v>
                </c:pt>
                <c:pt idx="18">
                  <c:v>65.969587221358211</c:v>
                </c:pt>
                <c:pt idx="19">
                  <c:v>20.025095070577763</c:v>
                </c:pt>
                <c:pt idx="20">
                  <c:v>470.50002885469894</c:v>
                </c:pt>
                <c:pt idx="21">
                  <c:v>25.138182082760018</c:v>
                </c:pt>
                <c:pt idx="22">
                  <c:v>228.04838065937037</c:v>
                </c:pt>
                <c:pt idx="23">
                  <c:v>28.421338121567299</c:v>
                </c:pt>
                <c:pt idx="24">
                  <c:v>91.632112567912898</c:v>
                </c:pt>
                <c:pt idx="25">
                  <c:v>46.413087004712068</c:v>
                </c:pt>
                <c:pt idx="26">
                  <c:v>189.05879238023482</c:v>
                </c:pt>
                <c:pt idx="27">
                  <c:v>82.485700521596911</c:v>
                </c:pt>
                <c:pt idx="28">
                  <c:v>8.7201757142171523</c:v>
                </c:pt>
                <c:pt idx="29">
                  <c:v>96.818763944064699</c:v>
                </c:pt>
                <c:pt idx="30">
                  <c:v>88.130634089505961</c:v>
                </c:pt>
                <c:pt idx="31">
                  <c:v>26.964783544290345</c:v>
                </c:pt>
                <c:pt idx="32">
                  <c:v>148.52023771465895</c:v>
                </c:pt>
                <c:pt idx="33">
                  <c:v>219.30739479452538</c:v>
                </c:pt>
                <c:pt idx="34">
                  <c:v>191.5925894156164</c:v>
                </c:pt>
                <c:pt idx="35">
                  <c:v>67.651114713330827</c:v>
                </c:pt>
                <c:pt idx="36">
                  <c:v>136.27507707130508</c:v>
                </c:pt>
                <c:pt idx="37">
                  <c:v>55.611680803588364</c:v>
                </c:pt>
                <c:pt idx="38">
                  <c:v>109.86256786008548</c:v>
                </c:pt>
                <c:pt idx="39">
                  <c:v>39.30902610295157</c:v>
                </c:pt>
                <c:pt idx="40">
                  <c:v>49.432127995977041</c:v>
                </c:pt>
                <c:pt idx="41">
                  <c:v>140.57601529924628</c:v>
                </c:pt>
                <c:pt idx="42">
                  <c:v>109.64833771143925</c:v>
                </c:pt>
                <c:pt idx="43">
                  <c:v>69.985833724230432</c:v>
                </c:pt>
                <c:pt idx="44">
                  <c:v>155.35758999517901</c:v>
                </c:pt>
                <c:pt idx="45">
                  <c:v>55.864826765163301</c:v>
                </c:pt>
                <c:pt idx="46">
                  <c:v>20.970153287054682</c:v>
                </c:pt>
                <c:pt idx="47">
                  <c:v>61.689448690671973</c:v>
                </c:pt>
                <c:pt idx="48">
                  <c:v>152.74051797795082</c:v>
                </c:pt>
                <c:pt idx="49">
                  <c:v>97.690502794503317</c:v>
                </c:pt>
                <c:pt idx="50">
                  <c:v>196.21765525592218</c:v>
                </c:pt>
                <c:pt idx="51">
                  <c:v>257.79380628309355</c:v>
                </c:pt>
                <c:pt idx="52">
                  <c:v>280.15584771503774</c:v>
                </c:pt>
                <c:pt idx="53">
                  <c:v>124.61856415284946</c:v>
                </c:pt>
                <c:pt idx="54">
                  <c:v>43.050861998421098</c:v>
                </c:pt>
                <c:pt idx="55">
                  <c:v>67.825303265113973</c:v>
                </c:pt>
                <c:pt idx="56">
                  <c:v>198.66950999476782</c:v>
                </c:pt>
                <c:pt idx="57">
                  <c:v>32.300942898539944</c:v>
                </c:pt>
                <c:pt idx="58">
                  <c:v>91.574534496759014</c:v>
                </c:pt>
                <c:pt idx="59">
                  <c:v>78.18389626738491</c:v>
                </c:pt>
                <c:pt idx="60">
                  <c:v>42.396670726001382</c:v>
                </c:pt>
                <c:pt idx="61">
                  <c:v>90.200923212912784</c:v>
                </c:pt>
                <c:pt idx="62">
                  <c:v>13.245237335749694</c:v>
                </c:pt>
                <c:pt idx="63">
                  <c:v>172.04618799348214</c:v>
                </c:pt>
                <c:pt idx="64">
                  <c:v>12.077676713401061</c:v>
                </c:pt>
                <c:pt idx="65">
                  <c:v>33.400238726797404</c:v>
                </c:pt>
                <c:pt idx="66">
                  <c:v>28.225251304937014</c:v>
                </c:pt>
                <c:pt idx="67">
                  <c:v>86.380411065759574</c:v>
                </c:pt>
                <c:pt idx="68">
                  <c:v>98.293828997943507</c:v>
                </c:pt>
                <c:pt idx="69">
                  <c:v>37.067986143536238</c:v>
                </c:pt>
                <c:pt idx="70">
                  <c:v>13.805661909420598</c:v>
                </c:pt>
                <c:pt idx="71">
                  <c:v>48.811524466063702</c:v>
                </c:pt>
                <c:pt idx="72">
                  <c:v>301.14748890612117</c:v>
                </c:pt>
                <c:pt idx="73">
                  <c:v>456.59446530629288</c:v>
                </c:pt>
                <c:pt idx="74">
                  <c:v>10.719264149225518</c:v>
                </c:pt>
                <c:pt idx="75">
                  <c:v>82.184256091735023</c:v>
                </c:pt>
                <c:pt idx="76">
                  <c:v>240.66664679012268</c:v>
                </c:pt>
                <c:pt idx="77">
                  <c:v>37.400850353800102</c:v>
                </c:pt>
                <c:pt idx="78">
                  <c:v>23.426528903496774</c:v>
                </c:pt>
                <c:pt idx="79">
                  <c:v>87.362831310175807</c:v>
                </c:pt>
                <c:pt idx="80">
                  <c:v>111.08552546094981</c:v>
                </c:pt>
                <c:pt idx="81">
                  <c:v>74.34670248052646</c:v>
                </c:pt>
                <c:pt idx="82">
                  <c:v>106.79748786640825</c:v>
                </c:pt>
                <c:pt idx="83">
                  <c:v>239.57985028960763</c:v>
                </c:pt>
                <c:pt idx="84">
                  <c:v>77.596739468108851</c:v>
                </c:pt>
                <c:pt idx="85">
                  <c:v>77.102873222963979</c:v>
                </c:pt>
                <c:pt idx="86">
                  <c:v>42.851364043284498</c:v>
                </c:pt>
                <c:pt idx="87">
                  <c:v>69.095008919975044</c:v>
                </c:pt>
                <c:pt idx="88">
                  <c:v>53.167764500994835</c:v>
                </c:pt>
                <c:pt idx="89">
                  <c:v>97.700814653497389</c:v>
                </c:pt>
                <c:pt idx="90">
                  <c:v>23.350469978564519</c:v>
                </c:pt>
                <c:pt idx="91">
                  <c:v>69.25399476316926</c:v>
                </c:pt>
                <c:pt idx="92">
                  <c:v>147.7547688609209</c:v>
                </c:pt>
                <c:pt idx="93">
                  <c:v>213.99966851149136</c:v>
                </c:pt>
                <c:pt idx="94">
                  <c:v>146.22013319423164</c:v>
                </c:pt>
                <c:pt idx="95">
                  <c:v>95.125076625467798</c:v>
                </c:pt>
                <c:pt idx="96">
                  <c:v>57.944837610254034</c:v>
                </c:pt>
                <c:pt idx="97">
                  <c:v>642.08958929834796</c:v>
                </c:pt>
                <c:pt idx="98">
                  <c:v>70.674336359971804</c:v>
                </c:pt>
                <c:pt idx="99">
                  <c:v>21.408393993699651</c:v>
                </c:pt>
                <c:pt idx="100">
                  <c:v>230.15204136984127</c:v>
                </c:pt>
                <c:pt idx="101">
                  <c:v>65.169551191421348</c:v>
                </c:pt>
                <c:pt idx="102">
                  <c:v>250.82482782585771</c:v>
                </c:pt>
                <c:pt idx="103">
                  <c:v>98.179655303991538</c:v>
                </c:pt>
                <c:pt idx="104">
                  <c:v>91.15511746747633</c:v>
                </c:pt>
                <c:pt idx="105">
                  <c:v>264.83044491133427</c:v>
                </c:pt>
                <c:pt idx="106">
                  <c:v>717.03883775082988</c:v>
                </c:pt>
                <c:pt idx="107">
                  <c:v>51.598410142543003</c:v>
                </c:pt>
                <c:pt idx="108">
                  <c:v>83.89100403060273</c:v>
                </c:pt>
                <c:pt idx="109">
                  <c:v>177.00089830583914</c:v>
                </c:pt>
                <c:pt idx="110">
                  <c:v>50.796198811790411</c:v>
                </c:pt>
                <c:pt idx="111">
                  <c:v>42.571540732014</c:v>
                </c:pt>
                <c:pt idx="112">
                  <c:v>71.269198249188022</c:v>
                </c:pt>
                <c:pt idx="113">
                  <c:v>30.647790311804702</c:v>
                </c:pt>
                <c:pt idx="114">
                  <c:v>60.667988201314749</c:v>
                </c:pt>
                <c:pt idx="115">
                  <c:v>181.27211735621154</c:v>
                </c:pt>
                <c:pt idx="116">
                  <c:v>30.009489058717076</c:v>
                </c:pt>
                <c:pt idx="117">
                  <c:v>146.4800529299057</c:v>
                </c:pt>
                <c:pt idx="118">
                  <c:v>142.88248037003333</c:v>
                </c:pt>
                <c:pt idx="119">
                  <c:v>24.542099977493052</c:v>
                </c:pt>
                <c:pt idx="120">
                  <c:v>41.211598162705592</c:v>
                </c:pt>
                <c:pt idx="121">
                  <c:v>98.619866000611722</c:v>
                </c:pt>
                <c:pt idx="122">
                  <c:v>5.4033192236112892</c:v>
                </c:pt>
                <c:pt idx="123">
                  <c:v>66.443811772520803</c:v>
                </c:pt>
                <c:pt idx="124">
                  <c:v>64.005905763207068</c:v>
                </c:pt>
                <c:pt idx="125">
                  <c:v>141.76865714349694</c:v>
                </c:pt>
                <c:pt idx="126">
                  <c:v>26.03623115192304</c:v>
                </c:pt>
                <c:pt idx="127">
                  <c:v>130.61751031599752</c:v>
                </c:pt>
                <c:pt idx="128">
                  <c:v>30.255869706637707</c:v>
                </c:pt>
                <c:pt idx="129">
                  <c:v>155.24560569621914</c:v>
                </c:pt>
                <c:pt idx="130">
                  <c:v>150.63149602389564</c:v>
                </c:pt>
                <c:pt idx="131">
                  <c:v>137.8833663128583</c:v>
                </c:pt>
                <c:pt idx="132">
                  <c:v>30.011412694179892</c:v>
                </c:pt>
                <c:pt idx="133">
                  <c:v>56.69279493196683</c:v>
                </c:pt>
                <c:pt idx="134">
                  <c:v>154.9310666067845</c:v>
                </c:pt>
                <c:pt idx="135">
                  <c:v>9.4735043759459234</c:v>
                </c:pt>
                <c:pt idx="136">
                  <c:v>153.33393176773404</c:v>
                </c:pt>
                <c:pt idx="137">
                  <c:v>148.28164564682311</c:v>
                </c:pt>
                <c:pt idx="138">
                  <c:v>30.343162661308178</c:v>
                </c:pt>
                <c:pt idx="139">
                  <c:v>104.46429466482157</c:v>
                </c:pt>
                <c:pt idx="140">
                  <c:v>21.160343481528596</c:v>
                </c:pt>
                <c:pt idx="141">
                  <c:v>53.489372736225619</c:v>
                </c:pt>
                <c:pt idx="142">
                  <c:v>170.10541583509161</c:v>
                </c:pt>
                <c:pt idx="143">
                  <c:v>122.54675470708312</c:v>
                </c:pt>
                <c:pt idx="144">
                  <c:v>74.535279542639799</c:v>
                </c:pt>
                <c:pt idx="145">
                  <c:v>127.05851066090852</c:v>
                </c:pt>
                <c:pt idx="146">
                  <c:v>22.824178538758602</c:v>
                </c:pt>
                <c:pt idx="147">
                  <c:v>182.77167690725238</c:v>
                </c:pt>
                <c:pt idx="148">
                  <c:v>23.974290376149934</c:v>
                </c:pt>
                <c:pt idx="149">
                  <c:v>127.23166315361824</c:v>
                </c:pt>
                <c:pt idx="150">
                  <c:v>92.78987458855164</c:v>
                </c:pt>
                <c:pt idx="151">
                  <c:v>354.07718247520421</c:v>
                </c:pt>
                <c:pt idx="152">
                  <c:v>150.30776659252439</c:v>
                </c:pt>
                <c:pt idx="153">
                  <c:v>173.60845876049223</c:v>
                </c:pt>
                <c:pt idx="154">
                  <c:v>54.159653782050945</c:v>
                </c:pt>
                <c:pt idx="155">
                  <c:v>262.38170073723063</c:v>
                </c:pt>
                <c:pt idx="156">
                  <c:v>18.655655498108999</c:v>
                </c:pt>
                <c:pt idx="157">
                  <c:v>294.27361909739614</c:v>
                </c:pt>
                <c:pt idx="158">
                  <c:v>81.762564070848342</c:v>
                </c:pt>
                <c:pt idx="159">
                  <c:v>66.740546602416714</c:v>
                </c:pt>
                <c:pt idx="160">
                  <c:v>147.9698535929943</c:v>
                </c:pt>
                <c:pt idx="161">
                  <c:v>50.572323312666938</c:v>
                </c:pt>
                <c:pt idx="162">
                  <c:v>107.32821163427901</c:v>
                </c:pt>
                <c:pt idx="163">
                  <c:v>122.87660361634416</c:v>
                </c:pt>
                <c:pt idx="164">
                  <c:v>289.19442913077904</c:v>
                </c:pt>
                <c:pt idx="165">
                  <c:v>44.973770110650271</c:v>
                </c:pt>
                <c:pt idx="166">
                  <c:v>57.872398782343872</c:v>
                </c:pt>
                <c:pt idx="167">
                  <c:v>70.068731369181094</c:v>
                </c:pt>
                <c:pt idx="168">
                  <c:v>25.673427776947758</c:v>
                </c:pt>
              </c:numCache>
            </c:numRef>
          </c:yVal>
          <c:smooth val="0"/>
        </c:ser>
        <c:dLbls>
          <c:showLegendKey val="0"/>
          <c:showVal val="0"/>
          <c:showCatName val="0"/>
          <c:showSerName val="0"/>
          <c:showPercent val="0"/>
          <c:showBubbleSize val="0"/>
        </c:dLbls>
        <c:axId val="303314032"/>
        <c:axId val="303314424"/>
      </c:scatterChart>
      <c:valAx>
        <c:axId val="3033140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Index of Fiscal Disparities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3314424"/>
        <c:crosses val="autoZero"/>
        <c:crossBetween val="midCat"/>
      </c:valAx>
      <c:valAx>
        <c:axId val="303314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Local Sales Tax Revenue Per Capita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_(* #,##0_);_(* \(#,##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33140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Graphs!$B$3:$B$171</c:f>
              <c:numCache>
                <c:formatCode>0.00</c:formatCode>
                <c:ptCount val="169"/>
                <c:pt idx="0">
                  <c:v>75.805302671260705</c:v>
                </c:pt>
                <c:pt idx="1">
                  <c:v>667.29530625570465</c:v>
                </c:pt>
                <c:pt idx="2">
                  <c:v>289.14589113981071</c:v>
                </c:pt>
                <c:pt idx="3">
                  <c:v>-611.38903118332655</c:v>
                </c:pt>
                <c:pt idx="4">
                  <c:v>-28.33112254872858</c:v>
                </c:pt>
                <c:pt idx="5">
                  <c:v>125.70761193964999</c:v>
                </c:pt>
                <c:pt idx="6">
                  <c:v>-114.51201830529881</c:v>
                </c:pt>
                <c:pt idx="7">
                  <c:v>-227.40322946764778</c:v>
                </c:pt>
                <c:pt idx="8">
                  <c:v>-201.22396894841549</c:v>
                </c:pt>
                <c:pt idx="9">
                  <c:v>-270.19466101934921</c:v>
                </c:pt>
                <c:pt idx="10">
                  <c:v>126.66396476801351</c:v>
                </c:pt>
                <c:pt idx="11">
                  <c:v>79.294156609518083</c:v>
                </c:pt>
                <c:pt idx="12">
                  <c:v>-5.0524506189537082</c:v>
                </c:pt>
                <c:pt idx="13">
                  <c:v>-422.74237705603991</c:v>
                </c:pt>
                <c:pt idx="14">
                  <c:v>1118.7486704456792</c:v>
                </c:pt>
                <c:pt idx="15">
                  <c:v>-1634.7679171814298</c:v>
                </c:pt>
                <c:pt idx="16">
                  <c:v>447.11338536226788</c:v>
                </c:pt>
                <c:pt idx="17">
                  <c:v>-660.33029235351671</c:v>
                </c:pt>
                <c:pt idx="18">
                  <c:v>317.27851732942838</c:v>
                </c:pt>
                <c:pt idx="19">
                  <c:v>-110.32362938003912</c:v>
                </c:pt>
                <c:pt idx="20">
                  <c:v>-676.34708559770127</c:v>
                </c:pt>
                <c:pt idx="21">
                  <c:v>265.61643910746193</c:v>
                </c:pt>
                <c:pt idx="22">
                  <c:v>-220.65295454071634</c:v>
                </c:pt>
                <c:pt idx="23">
                  <c:v>317.27942275134438</c:v>
                </c:pt>
                <c:pt idx="24">
                  <c:v>-33.43921257967736</c:v>
                </c:pt>
                <c:pt idx="25">
                  <c:v>-323.03489938217581</c:v>
                </c:pt>
                <c:pt idx="26">
                  <c:v>-354.2199605106178</c:v>
                </c:pt>
                <c:pt idx="27">
                  <c:v>182.89378469576673</c:v>
                </c:pt>
                <c:pt idx="28">
                  <c:v>-260.40701328171383</c:v>
                </c:pt>
                <c:pt idx="29">
                  <c:v>-3.3850059126223639</c:v>
                </c:pt>
                <c:pt idx="30">
                  <c:v>-2197.0063972889748</c:v>
                </c:pt>
                <c:pt idx="31">
                  <c:v>157.39172044417242</c:v>
                </c:pt>
                <c:pt idx="32">
                  <c:v>33.948731267046377</c:v>
                </c:pt>
                <c:pt idx="33">
                  <c:v>143.26455620869947</c:v>
                </c:pt>
                <c:pt idx="34">
                  <c:v>-3612.5522477350642</c:v>
                </c:pt>
                <c:pt idx="35">
                  <c:v>-220.27154267196889</c:v>
                </c:pt>
                <c:pt idx="36">
                  <c:v>605.65729417606849</c:v>
                </c:pt>
                <c:pt idx="37">
                  <c:v>-135.58035143450624</c:v>
                </c:pt>
                <c:pt idx="38">
                  <c:v>-149.07072078137693</c:v>
                </c:pt>
                <c:pt idx="39">
                  <c:v>-80.490694465695057</c:v>
                </c:pt>
                <c:pt idx="40">
                  <c:v>52.464968662503722</c:v>
                </c:pt>
                <c:pt idx="41">
                  <c:v>735.43655908665016</c:v>
                </c:pt>
                <c:pt idx="42">
                  <c:v>355.09081903550668</c:v>
                </c:pt>
                <c:pt idx="43">
                  <c:v>-281.24897619139853</c:v>
                </c:pt>
                <c:pt idx="44">
                  <c:v>160.15525665551394</c:v>
                </c:pt>
                <c:pt idx="45">
                  <c:v>77.512324288933002</c:v>
                </c:pt>
                <c:pt idx="46">
                  <c:v>-1261.3784176043951</c:v>
                </c:pt>
                <c:pt idx="47">
                  <c:v>136.49220050061092</c:v>
                </c:pt>
                <c:pt idx="48">
                  <c:v>389.47070736560164</c:v>
                </c:pt>
                <c:pt idx="49">
                  <c:v>-1015.1988994947587</c:v>
                </c:pt>
                <c:pt idx="50">
                  <c:v>-957.52448611628029</c:v>
                </c:pt>
                <c:pt idx="51">
                  <c:v>-455.84547405835565</c:v>
                </c:pt>
                <c:pt idx="52">
                  <c:v>-106.64493458115621</c:v>
                </c:pt>
                <c:pt idx="53">
                  <c:v>-274.55173944048266</c:v>
                </c:pt>
                <c:pt idx="54">
                  <c:v>-1167.2117938604592</c:v>
                </c:pt>
                <c:pt idx="55">
                  <c:v>-26.108098034271325</c:v>
                </c:pt>
                <c:pt idx="56">
                  <c:v>-5325.6452263309966</c:v>
                </c:pt>
                <c:pt idx="57">
                  <c:v>360.86841740271041</c:v>
                </c:pt>
                <c:pt idx="58">
                  <c:v>81.352990649708545</c:v>
                </c:pt>
                <c:pt idx="59">
                  <c:v>-650.87106768867454</c:v>
                </c:pt>
                <c:pt idx="60">
                  <c:v>-180.09676995292776</c:v>
                </c:pt>
                <c:pt idx="61">
                  <c:v>347.28680405919022</c:v>
                </c:pt>
                <c:pt idx="62">
                  <c:v>141.52531738936426</c:v>
                </c:pt>
                <c:pt idx="63">
                  <c:v>1364.0105287128899</c:v>
                </c:pt>
                <c:pt idx="64">
                  <c:v>32.27803309526935</c:v>
                </c:pt>
                <c:pt idx="65">
                  <c:v>-82.756201191038869</c:v>
                </c:pt>
                <c:pt idx="66">
                  <c:v>97.517215732867498</c:v>
                </c:pt>
                <c:pt idx="67">
                  <c:v>-1520.5851043099622</c:v>
                </c:pt>
                <c:pt idx="68">
                  <c:v>390.74135298309818</c:v>
                </c:pt>
                <c:pt idx="69">
                  <c:v>-336.81760454108922</c:v>
                </c:pt>
                <c:pt idx="70">
                  <c:v>94.772661762765438</c:v>
                </c:pt>
                <c:pt idx="71">
                  <c:v>323.92761409721572</c:v>
                </c:pt>
                <c:pt idx="72">
                  <c:v>55.400668580013871</c:v>
                </c:pt>
                <c:pt idx="73">
                  <c:v>-510.28450504765317</c:v>
                </c:pt>
                <c:pt idx="74">
                  <c:v>-2056.5922836286745</c:v>
                </c:pt>
                <c:pt idx="75">
                  <c:v>-1020.0636563131036</c:v>
                </c:pt>
                <c:pt idx="76">
                  <c:v>443.63236844952064</c:v>
                </c:pt>
                <c:pt idx="77">
                  <c:v>755.01378952110429</c:v>
                </c:pt>
                <c:pt idx="78">
                  <c:v>30.402598864750779</c:v>
                </c:pt>
                <c:pt idx="79">
                  <c:v>618.84587324948336</c:v>
                </c:pt>
                <c:pt idx="80">
                  <c:v>-408.57723345201936</c:v>
                </c:pt>
                <c:pt idx="81">
                  <c:v>-51.727871467690555</c:v>
                </c:pt>
                <c:pt idx="82">
                  <c:v>338.9925132602437</c:v>
                </c:pt>
                <c:pt idx="83">
                  <c:v>54.664955134881758</c:v>
                </c:pt>
                <c:pt idx="84">
                  <c:v>-316.46155396992123</c:v>
                </c:pt>
                <c:pt idx="85">
                  <c:v>348.69561196319665</c:v>
                </c:pt>
                <c:pt idx="86">
                  <c:v>-969.46975018571538</c:v>
                </c:pt>
                <c:pt idx="87">
                  <c:v>490.92563853178979</c:v>
                </c:pt>
                <c:pt idx="88">
                  <c:v>1037.3850496404507</c:v>
                </c:pt>
                <c:pt idx="89">
                  <c:v>-4006.3101128426592</c:v>
                </c:pt>
                <c:pt idx="90">
                  <c:v>-449.38132005853947</c:v>
                </c:pt>
                <c:pt idx="91">
                  <c:v>-68.37065788133323</c:v>
                </c:pt>
                <c:pt idx="92">
                  <c:v>1094.4433434703465</c:v>
                </c:pt>
                <c:pt idx="93">
                  <c:v>812.48128700730763</c:v>
                </c:pt>
                <c:pt idx="94">
                  <c:v>-171.17955732946524</c:v>
                </c:pt>
                <c:pt idx="95">
                  <c:v>189.92518481962878</c:v>
                </c:pt>
                <c:pt idx="96">
                  <c:v>-388.45271596557245</c:v>
                </c:pt>
                <c:pt idx="97">
                  <c:v>-954.46781502412682</c:v>
                </c:pt>
                <c:pt idx="98">
                  <c:v>30.89444287745814</c:v>
                </c:pt>
                <c:pt idx="99">
                  <c:v>-63.681939016394153</c:v>
                </c:pt>
                <c:pt idx="100">
                  <c:v>-128.08962538263958</c:v>
                </c:pt>
                <c:pt idx="101">
                  <c:v>-256.17566584281076</c:v>
                </c:pt>
                <c:pt idx="102">
                  <c:v>-455.68825937529954</c:v>
                </c:pt>
                <c:pt idx="103">
                  <c:v>563.88178462322196</c:v>
                </c:pt>
                <c:pt idx="104">
                  <c:v>-1664.7372755517113</c:v>
                </c:pt>
                <c:pt idx="105">
                  <c:v>-1630.0609472803039</c:v>
                </c:pt>
                <c:pt idx="106">
                  <c:v>-247.24759935728017</c:v>
                </c:pt>
                <c:pt idx="107">
                  <c:v>-105.29138227340586</c:v>
                </c:pt>
                <c:pt idx="108">
                  <c:v>365.61085866469227</c:v>
                </c:pt>
                <c:pt idx="109">
                  <c:v>264.3122020321905</c:v>
                </c:pt>
                <c:pt idx="110">
                  <c:v>402.44208875753793</c:v>
                </c:pt>
                <c:pt idx="111">
                  <c:v>153.75247056862304</c:v>
                </c:pt>
                <c:pt idx="112">
                  <c:v>145.20578100072834</c:v>
                </c:pt>
                <c:pt idx="113">
                  <c:v>73.66744383057717</c:v>
                </c:pt>
                <c:pt idx="114">
                  <c:v>57.852201240525304</c:v>
                </c:pt>
                <c:pt idx="115">
                  <c:v>507.1568851658667</c:v>
                </c:pt>
                <c:pt idx="116">
                  <c:v>-1248.8264791184631</c:v>
                </c:pt>
                <c:pt idx="117">
                  <c:v>-1441.9171641262674</c:v>
                </c:pt>
                <c:pt idx="118">
                  <c:v>22.317722335179589</c:v>
                </c:pt>
                <c:pt idx="119">
                  <c:v>-2608.4132037720165</c:v>
                </c:pt>
                <c:pt idx="120">
                  <c:v>-112.06295162595811</c:v>
                </c:pt>
                <c:pt idx="121">
                  <c:v>-2552.7613653301919</c:v>
                </c:pt>
                <c:pt idx="122">
                  <c:v>236.53389188788961</c:v>
                </c:pt>
                <c:pt idx="123">
                  <c:v>289.35507765596827</c:v>
                </c:pt>
                <c:pt idx="124">
                  <c:v>-2029.2862546163174</c:v>
                </c:pt>
                <c:pt idx="125">
                  <c:v>-167.44641508805012</c:v>
                </c:pt>
                <c:pt idx="126">
                  <c:v>-1404.3949729154451</c:v>
                </c:pt>
                <c:pt idx="127">
                  <c:v>-153.936843367633</c:v>
                </c:pt>
                <c:pt idx="128">
                  <c:v>291.91203016242622</c:v>
                </c:pt>
                <c:pt idx="129">
                  <c:v>-46.928202297029564</c:v>
                </c:pt>
                <c:pt idx="130">
                  <c:v>-198.30714519117618</c:v>
                </c:pt>
                <c:pt idx="131">
                  <c:v>64.04419614376306</c:v>
                </c:pt>
                <c:pt idx="132">
                  <c:v>276.9163132062705</c:v>
                </c:pt>
                <c:pt idx="133">
                  <c:v>397.03473345372049</c:v>
                </c:pt>
                <c:pt idx="134">
                  <c:v>-503.12496008322012</c:v>
                </c:pt>
                <c:pt idx="135">
                  <c:v>307.13181503658086</c:v>
                </c:pt>
                <c:pt idx="136">
                  <c:v>-875.61849832010125</c:v>
                </c:pt>
                <c:pt idx="137">
                  <c:v>246.09183447422038</c:v>
                </c:pt>
                <c:pt idx="138">
                  <c:v>74.672748999182573</c:v>
                </c:pt>
                <c:pt idx="139">
                  <c:v>263.53953268120307</c:v>
                </c:pt>
                <c:pt idx="140">
                  <c:v>347.19698418640303</c:v>
                </c:pt>
                <c:pt idx="141">
                  <c:v>100.65624215623339</c:v>
                </c:pt>
                <c:pt idx="142">
                  <c:v>451.3210884365908</c:v>
                </c:pt>
                <c:pt idx="143">
                  <c:v>-339.49493325114537</c:v>
                </c:pt>
                <c:pt idx="144">
                  <c:v>4.9638213082937002</c:v>
                </c:pt>
                <c:pt idx="145">
                  <c:v>539.07287704334067</c:v>
                </c:pt>
                <c:pt idx="146">
                  <c:v>202.03349185311714</c:v>
                </c:pt>
                <c:pt idx="147">
                  <c:v>5.018415409134013</c:v>
                </c:pt>
                <c:pt idx="148">
                  <c:v>-1600.3517600279836</c:v>
                </c:pt>
                <c:pt idx="149">
                  <c:v>-3047.3500782838728</c:v>
                </c:pt>
                <c:pt idx="150">
                  <c:v>852.74122269813995</c:v>
                </c:pt>
                <c:pt idx="151">
                  <c:v>-1007.3649503765294</c:v>
                </c:pt>
                <c:pt idx="152">
                  <c:v>68.290183034174291</c:v>
                </c:pt>
                <c:pt idx="153">
                  <c:v>266.99786117735653</c:v>
                </c:pt>
                <c:pt idx="154">
                  <c:v>737.32556375493334</c:v>
                </c:pt>
                <c:pt idx="155">
                  <c:v>-1097.5664454773239</c:v>
                </c:pt>
                <c:pt idx="156">
                  <c:v>-2074.1378840620441</c:v>
                </c:pt>
                <c:pt idx="157">
                  <c:v>-3576.2311631094658</c:v>
                </c:pt>
                <c:pt idx="158">
                  <c:v>141.66986745415534</c:v>
                </c:pt>
                <c:pt idx="159">
                  <c:v>198.2314154116882</c:v>
                </c:pt>
                <c:pt idx="160">
                  <c:v>-1962.5635456111638</c:v>
                </c:pt>
                <c:pt idx="161">
                  <c:v>304.76894168630162</c:v>
                </c:pt>
                <c:pt idx="162">
                  <c:v>856.36541081781854</c:v>
                </c:pt>
                <c:pt idx="163">
                  <c:v>82.870432313721267</c:v>
                </c:pt>
                <c:pt idx="164">
                  <c:v>31.92545451686301</c:v>
                </c:pt>
                <c:pt idx="165">
                  <c:v>117.46216991535974</c:v>
                </c:pt>
                <c:pt idx="166">
                  <c:v>-464.90697323456482</c:v>
                </c:pt>
                <c:pt idx="167">
                  <c:v>-452.62036027346824</c:v>
                </c:pt>
                <c:pt idx="168">
                  <c:v>52.782674126438721</c:v>
                </c:pt>
              </c:numCache>
            </c:numRef>
          </c:xVal>
          <c:yVal>
            <c:numRef>
              <c:f>Graphs!$G$3:$G$171</c:f>
              <c:numCache>
                <c:formatCode>#,##0_);\(#,##0\)</c:formatCode>
                <c:ptCount val="169"/>
                <c:pt idx="0">
                  <c:v>86.696625223108313</c:v>
                </c:pt>
                <c:pt idx="1">
                  <c:v>69.638113897167528</c:v>
                </c:pt>
                <c:pt idx="2">
                  <c:v>48.189149638630042</c:v>
                </c:pt>
                <c:pt idx="3">
                  <c:v>128.69153352204583</c:v>
                </c:pt>
                <c:pt idx="4">
                  <c:v>94.801840184898765</c:v>
                </c:pt>
                <c:pt idx="5">
                  <c:v>65.383147820998715</c:v>
                </c:pt>
                <c:pt idx="6">
                  <c:v>146.09606833949667</c:v>
                </c:pt>
                <c:pt idx="7">
                  <c:v>106.09149291608168</c:v>
                </c:pt>
                <c:pt idx="8">
                  <c:v>153.84787776647926</c:v>
                </c:pt>
                <c:pt idx="9">
                  <c:v>72.460031773786099</c:v>
                </c:pt>
                <c:pt idx="10">
                  <c:v>194.48985800897526</c:v>
                </c:pt>
                <c:pt idx="11">
                  <c:v>103.89272035574207</c:v>
                </c:pt>
                <c:pt idx="12">
                  <c:v>119.3710730914006</c:v>
                </c:pt>
                <c:pt idx="13">
                  <c:v>144.94986079056628</c:v>
                </c:pt>
                <c:pt idx="14">
                  <c:v>94.340779981629979</c:v>
                </c:pt>
                <c:pt idx="15">
                  <c:v>115.1046052203771</c:v>
                </c:pt>
                <c:pt idx="16">
                  <c:v>94.412592174115858</c:v>
                </c:pt>
                <c:pt idx="17">
                  <c:v>165.2473565915094</c:v>
                </c:pt>
                <c:pt idx="18">
                  <c:v>57.203991220433061</c:v>
                </c:pt>
                <c:pt idx="19">
                  <c:v>83.794386249869689</c:v>
                </c:pt>
                <c:pt idx="20">
                  <c:v>219.83019622120929</c:v>
                </c:pt>
                <c:pt idx="21">
                  <c:v>45.282499849871343</c:v>
                </c:pt>
                <c:pt idx="22">
                  <c:v>115.82772229883297</c:v>
                </c:pt>
                <c:pt idx="23">
                  <c:v>49.019790007893384</c:v>
                </c:pt>
                <c:pt idx="24">
                  <c:v>119.29764190893904</c:v>
                </c:pt>
                <c:pt idx="25">
                  <c:v>123.1904191662623</c:v>
                </c:pt>
                <c:pt idx="26">
                  <c:v>95.858199706675393</c:v>
                </c:pt>
                <c:pt idx="27">
                  <c:v>90.72150565211453</c:v>
                </c:pt>
                <c:pt idx="28">
                  <c:v>89.902987706605998</c:v>
                </c:pt>
                <c:pt idx="29">
                  <c:v>95.496194682067525</c:v>
                </c:pt>
                <c:pt idx="30">
                  <c:v>120.63457176288524</c:v>
                </c:pt>
                <c:pt idx="31">
                  <c:v>85.813858786194174</c:v>
                </c:pt>
                <c:pt idx="32">
                  <c:v>122.82841792230371</c:v>
                </c:pt>
                <c:pt idx="33">
                  <c:v>183.53788296070795</c:v>
                </c:pt>
                <c:pt idx="34">
                  <c:v>156.2235006386378</c:v>
                </c:pt>
                <c:pt idx="35">
                  <c:v>99.787080465992403</c:v>
                </c:pt>
                <c:pt idx="36">
                  <c:v>96.809904563187615</c:v>
                </c:pt>
                <c:pt idx="37">
                  <c:v>93.626118793540684</c:v>
                </c:pt>
                <c:pt idx="38">
                  <c:v>171.4285371076721</c:v>
                </c:pt>
                <c:pt idx="39">
                  <c:v>75.866283582708022</c:v>
                </c:pt>
                <c:pt idx="40">
                  <c:v>73.870790047297575</c:v>
                </c:pt>
                <c:pt idx="41">
                  <c:v>146.9511253559279</c:v>
                </c:pt>
                <c:pt idx="42">
                  <c:v>107.67989663035442</c:v>
                </c:pt>
                <c:pt idx="43">
                  <c:v>98.503845194074202</c:v>
                </c:pt>
                <c:pt idx="44">
                  <c:v>153.61906485516786</c:v>
                </c:pt>
                <c:pt idx="45">
                  <c:v>74.324108878510074</c:v>
                </c:pt>
                <c:pt idx="46">
                  <c:v>69.925349316246823</c:v>
                </c:pt>
                <c:pt idx="47">
                  <c:v>99.864587337972722</c:v>
                </c:pt>
                <c:pt idx="48">
                  <c:v>126.81913877334551</c:v>
                </c:pt>
                <c:pt idx="49">
                  <c:v>130.2809328225604</c:v>
                </c:pt>
                <c:pt idx="50">
                  <c:v>112.15675138864397</c:v>
                </c:pt>
                <c:pt idx="51">
                  <c:v>229.99343790081309</c:v>
                </c:pt>
                <c:pt idx="52">
                  <c:v>125.18305058971573</c:v>
                </c:pt>
                <c:pt idx="53">
                  <c:v>133.54873714696092</c:v>
                </c:pt>
                <c:pt idx="54">
                  <c:v>91.064430017036045</c:v>
                </c:pt>
                <c:pt idx="55">
                  <c:v>98.542628923015513</c:v>
                </c:pt>
                <c:pt idx="56">
                  <c:v>188.58544178984235</c:v>
                </c:pt>
                <c:pt idx="57">
                  <c:v>74.571856818769248</c:v>
                </c:pt>
                <c:pt idx="58">
                  <c:v>144.98599971848978</c:v>
                </c:pt>
                <c:pt idx="59">
                  <c:v>124.17326568958001</c:v>
                </c:pt>
                <c:pt idx="60">
                  <c:v>76.944361393397458</c:v>
                </c:pt>
                <c:pt idx="61">
                  <c:v>125.3987745318336</c:v>
                </c:pt>
                <c:pt idx="62">
                  <c:v>42.684109393422432</c:v>
                </c:pt>
                <c:pt idx="63">
                  <c:v>189.00409679453341</c:v>
                </c:pt>
                <c:pt idx="64">
                  <c:v>74.80396384065034</c:v>
                </c:pt>
                <c:pt idx="65">
                  <c:v>85.310344565307688</c:v>
                </c:pt>
                <c:pt idx="66">
                  <c:v>95.90677019019671</c:v>
                </c:pt>
                <c:pt idx="67">
                  <c:v>150.63547890440259</c:v>
                </c:pt>
                <c:pt idx="68">
                  <c:v>89.284498515084977</c:v>
                </c:pt>
                <c:pt idx="69">
                  <c:v>69.209054754875012</c:v>
                </c:pt>
                <c:pt idx="70">
                  <c:v>84.296177815601695</c:v>
                </c:pt>
                <c:pt idx="71">
                  <c:v>153.04174145083525</c:v>
                </c:pt>
                <c:pt idx="72">
                  <c:v>113.42791129275331</c:v>
                </c:pt>
                <c:pt idx="73">
                  <c:v>148.34624870943543</c:v>
                </c:pt>
                <c:pt idx="74">
                  <c:v>66.552704496275922</c:v>
                </c:pt>
                <c:pt idx="75">
                  <c:v>114.44133435673031</c:v>
                </c:pt>
                <c:pt idx="76">
                  <c:v>133.21389490511692</c:v>
                </c:pt>
                <c:pt idx="77">
                  <c:v>127.92760783934597</c:v>
                </c:pt>
                <c:pt idx="78">
                  <c:v>95.613925261855513</c:v>
                </c:pt>
                <c:pt idx="79">
                  <c:v>129.17457343127825</c:v>
                </c:pt>
                <c:pt idx="80">
                  <c:v>112.87143226266396</c:v>
                </c:pt>
                <c:pt idx="81">
                  <c:v>112.97888123754061</c:v>
                </c:pt>
                <c:pt idx="82">
                  <c:v>131.75680969455877</c:v>
                </c:pt>
                <c:pt idx="83">
                  <c:v>157.39259576357048</c:v>
                </c:pt>
                <c:pt idx="84">
                  <c:v>92.996715304482009</c:v>
                </c:pt>
                <c:pt idx="85">
                  <c:v>149.39326667225197</c:v>
                </c:pt>
                <c:pt idx="86">
                  <c:v>102.14073155962528</c:v>
                </c:pt>
                <c:pt idx="87">
                  <c:v>78.486161949444764</c:v>
                </c:pt>
                <c:pt idx="88">
                  <c:v>115.96376603040731</c:v>
                </c:pt>
                <c:pt idx="89">
                  <c:v>145.01634474308236</c:v>
                </c:pt>
                <c:pt idx="90">
                  <c:v>107.32857346209491</c:v>
                </c:pt>
                <c:pt idx="91">
                  <c:v>107.15342996173993</c:v>
                </c:pt>
                <c:pt idx="92">
                  <c:v>170.54213908523997</c:v>
                </c:pt>
                <c:pt idx="93">
                  <c:v>126.49169223318603</c:v>
                </c:pt>
                <c:pt idx="94">
                  <c:v>140.31476215170537</c:v>
                </c:pt>
                <c:pt idx="95">
                  <c:v>146.56143216870919</c:v>
                </c:pt>
                <c:pt idx="96">
                  <c:v>141.45711973342122</c:v>
                </c:pt>
                <c:pt idx="97">
                  <c:v>112.67527250566056</c:v>
                </c:pt>
                <c:pt idx="98">
                  <c:v>120.80429077103473</c:v>
                </c:pt>
                <c:pt idx="99">
                  <c:v>179.86720808529481</c:v>
                </c:pt>
                <c:pt idx="100">
                  <c:v>190.27729806599817</c:v>
                </c:pt>
                <c:pt idx="101">
                  <c:v>99.089512801049281</c:v>
                </c:pt>
                <c:pt idx="102">
                  <c:v>180.25085969369857</c:v>
                </c:pt>
                <c:pt idx="103">
                  <c:v>115.65810678235179</c:v>
                </c:pt>
                <c:pt idx="104">
                  <c:v>101.35382805994847</c:v>
                </c:pt>
                <c:pt idx="105">
                  <c:v>135.90300415453629</c:v>
                </c:pt>
                <c:pt idx="106">
                  <c:v>185.20036289610562</c:v>
                </c:pt>
                <c:pt idx="107">
                  <c:v>80.370460452392493</c:v>
                </c:pt>
                <c:pt idx="108">
                  <c:v>64.710197381614918</c:v>
                </c:pt>
                <c:pt idx="109">
                  <c:v>141.38106662850925</c:v>
                </c:pt>
                <c:pt idx="110">
                  <c:v>70.142782203376271</c:v>
                </c:pt>
                <c:pt idx="111">
                  <c:v>75.064986977184631</c:v>
                </c:pt>
                <c:pt idx="112">
                  <c:v>86.51149147157426</c:v>
                </c:pt>
                <c:pt idx="113">
                  <c:v>81.928388503342219</c:v>
                </c:pt>
                <c:pt idx="114">
                  <c:v>74.50575550682106</c:v>
                </c:pt>
                <c:pt idx="115">
                  <c:v>106.70510412183773</c:v>
                </c:pt>
                <c:pt idx="116">
                  <c:v>121.96721164442316</c:v>
                </c:pt>
                <c:pt idx="117">
                  <c:v>163.22322577936097</c:v>
                </c:pt>
                <c:pt idx="118">
                  <c:v>179.1538570690966</c:v>
                </c:pt>
                <c:pt idx="119">
                  <c:v>92.910685422883105</c:v>
                </c:pt>
                <c:pt idx="120">
                  <c:v>79.422003018193863</c:v>
                </c:pt>
                <c:pt idx="121">
                  <c:v>173.11590508182468</c:v>
                </c:pt>
                <c:pt idx="122">
                  <c:v>41.623094514133975</c:v>
                </c:pt>
                <c:pt idx="123">
                  <c:v>82.149784695287693</c:v>
                </c:pt>
                <c:pt idx="124">
                  <c:v>143.63519214064848</c:v>
                </c:pt>
                <c:pt idx="125">
                  <c:v>121.25480604051776</c:v>
                </c:pt>
                <c:pt idx="126">
                  <c:v>109.00482481686423</c:v>
                </c:pt>
                <c:pt idx="127">
                  <c:v>124.05650996445375</c:v>
                </c:pt>
                <c:pt idx="128">
                  <c:v>100.47134138594856</c:v>
                </c:pt>
                <c:pt idx="129">
                  <c:v>135.49565601138826</c:v>
                </c:pt>
                <c:pt idx="130">
                  <c:v>100.98539351080058</c:v>
                </c:pt>
                <c:pt idx="131">
                  <c:v>117.60850732126208</c:v>
                </c:pt>
                <c:pt idx="132">
                  <c:v>85.847453024022684</c:v>
                </c:pt>
                <c:pt idx="133">
                  <c:v>108.95985465368702</c:v>
                </c:pt>
                <c:pt idx="134">
                  <c:v>196.21012591445435</c:v>
                </c:pt>
                <c:pt idx="135">
                  <c:v>44.373943243745522</c:v>
                </c:pt>
                <c:pt idx="136">
                  <c:v>112.06061037495799</c:v>
                </c:pt>
                <c:pt idx="137">
                  <c:v>123.40308107068931</c:v>
                </c:pt>
                <c:pt idx="138">
                  <c:v>106.78384581438128</c:v>
                </c:pt>
                <c:pt idx="139">
                  <c:v>94.71713789345398</c:v>
                </c:pt>
                <c:pt idx="140">
                  <c:v>52.252856755330825</c:v>
                </c:pt>
                <c:pt idx="141">
                  <c:v>103.68856643628881</c:v>
                </c:pt>
                <c:pt idx="142">
                  <c:v>152.60525454947901</c:v>
                </c:pt>
                <c:pt idx="143">
                  <c:v>112.26939189126146</c:v>
                </c:pt>
                <c:pt idx="144">
                  <c:v>46.373397341010666</c:v>
                </c:pt>
                <c:pt idx="145">
                  <c:v>109.29230256455405</c:v>
                </c:pt>
                <c:pt idx="146">
                  <c:v>47.238541604247921</c:v>
                </c:pt>
                <c:pt idx="147">
                  <c:v>170.58458017733452</c:v>
                </c:pt>
                <c:pt idx="148">
                  <c:v>85.512526547426049</c:v>
                </c:pt>
                <c:pt idx="149">
                  <c:v>152.68623887879048</c:v>
                </c:pt>
                <c:pt idx="150">
                  <c:v>93.112439281442121</c:v>
                </c:pt>
                <c:pt idx="151">
                  <c:v>136.26068514290799</c:v>
                </c:pt>
                <c:pt idx="152">
                  <c:v>94.655418243525645</c:v>
                </c:pt>
                <c:pt idx="153">
                  <c:v>130.25848307797551</c:v>
                </c:pt>
                <c:pt idx="154">
                  <c:v>116.06346453498375</c:v>
                </c:pt>
                <c:pt idx="155">
                  <c:v>131.04458410009693</c:v>
                </c:pt>
                <c:pt idx="156">
                  <c:v>109.1405261280849</c:v>
                </c:pt>
                <c:pt idx="157">
                  <c:v>190.65634648730887</c:v>
                </c:pt>
                <c:pt idx="158">
                  <c:v>118.9096607168317</c:v>
                </c:pt>
                <c:pt idx="159">
                  <c:v>103.93890103964627</c:v>
                </c:pt>
                <c:pt idx="160">
                  <c:v>206.36459154634449</c:v>
                </c:pt>
                <c:pt idx="161">
                  <c:v>123.04208711071733</c:v>
                </c:pt>
                <c:pt idx="162">
                  <c:v>116.3221047566294</c:v>
                </c:pt>
                <c:pt idx="163">
                  <c:v>179.55260945541417</c:v>
                </c:pt>
                <c:pt idx="164">
                  <c:v>203.36491982397928</c:v>
                </c:pt>
                <c:pt idx="165">
                  <c:v>70.241993556131618</c:v>
                </c:pt>
                <c:pt idx="166">
                  <c:v>141.67770575586945</c:v>
                </c:pt>
                <c:pt idx="167">
                  <c:v>73.671430688495079</c:v>
                </c:pt>
                <c:pt idx="168">
                  <c:v>59.204390166021525</c:v>
                </c:pt>
              </c:numCache>
            </c:numRef>
          </c:yVal>
          <c:smooth val="0"/>
        </c:ser>
        <c:dLbls>
          <c:showLegendKey val="0"/>
          <c:showVal val="0"/>
          <c:showCatName val="0"/>
          <c:showSerName val="0"/>
          <c:showPercent val="0"/>
          <c:showBubbleSize val="0"/>
        </c:dLbls>
        <c:axId val="303315208"/>
        <c:axId val="232693984"/>
      </c:scatterChart>
      <c:valAx>
        <c:axId val="3033152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Index of Fiscal Disparities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2693984"/>
        <c:crosses val="autoZero"/>
        <c:crossBetween val="midCat"/>
      </c:valAx>
      <c:valAx>
        <c:axId val="232693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Regional Sales Tax Revenue Per Capita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_);\(#,##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33152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DATA!$AL$5</c:f>
              <c:strCache>
                <c:ptCount val="1"/>
                <c:pt idx="0">
                  <c:v>earnings place of residence</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olid"/>
              </a:ln>
              <a:effectLst/>
            </c:spPr>
            <c:trendlineType val="linear"/>
            <c:dispRSqr val="0"/>
            <c:dispEq val="0"/>
          </c:trendline>
          <c:xVal>
            <c:numRef>
              <c:f>DATA!$AF$7:$AF$175</c:f>
              <c:numCache>
                <c:formatCode>#,##0_);\(#,##0\)</c:formatCode>
                <c:ptCount val="169"/>
                <c:pt idx="0">
                  <c:v>287.3089531502423</c:v>
                </c:pt>
                <c:pt idx="1">
                  <c:v>156.35356807389238</c:v>
                </c:pt>
                <c:pt idx="2">
                  <c:v>229.51428504998836</c:v>
                </c:pt>
                <c:pt idx="3">
                  <c:v>615.46090991485858</c:v>
                </c:pt>
                <c:pt idx="4">
                  <c:v>254.35906813361609</c:v>
                </c:pt>
                <c:pt idx="5">
                  <c:v>229.0855051341504</c:v>
                </c:pt>
                <c:pt idx="6">
                  <c:v>293.49270838495465</c:v>
                </c:pt>
                <c:pt idx="7">
                  <c:v>373.24866156615661</c:v>
                </c:pt>
                <c:pt idx="8">
                  <c:v>257.20366018954837</c:v>
                </c:pt>
                <c:pt idx="9">
                  <c:v>268.73705439330541</c:v>
                </c:pt>
                <c:pt idx="10">
                  <c:v>271.48754377006128</c:v>
                </c:pt>
                <c:pt idx="11">
                  <c:v>316.32934520217259</c:v>
                </c:pt>
                <c:pt idx="12">
                  <c:v>222.53492933537049</c:v>
                </c:pt>
                <c:pt idx="13">
                  <c:v>313.46918403211419</c:v>
                </c:pt>
                <c:pt idx="14">
                  <c:v>107.5670867934637</c:v>
                </c:pt>
                <c:pt idx="15">
                  <c:v>444.43370300751877</c:v>
                </c:pt>
                <c:pt idx="16">
                  <c:v>195.44022581604335</c:v>
                </c:pt>
                <c:pt idx="17">
                  <c:v>346.79938786565543</c:v>
                </c:pt>
                <c:pt idx="18">
                  <c:v>192.49442791970802</c:v>
                </c:pt>
                <c:pt idx="19">
                  <c:v>355.10215952685422</c:v>
                </c:pt>
                <c:pt idx="20">
                  <c:v>639.149869337979</c:v>
                </c:pt>
                <c:pt idx="21">
                  <c:v>202.13554600507911</c:v>
                </c:pt>
                <c:pt idx="22">
                  <c:v>360.94489664208072</c:v>
                </c:pt>
                <c:pt idx="23">
                  <c:v>173.09133513289038</c:v>
                </c:pt>
                <c:pt idx="24">
                  <c:v>329.31964461454345</c:v>
                </c:pt>
                <c:pt idx="25">
                  <c:v>308.6037512036591</c:v>
                </c:pt>
                <c:pt idx="26">
                  <c:v>259.15290108769545</c:v>
                </c:pt>
                <c:pt idx="27">
                  <c:v>259.24519960915688</c:v>
                </c:pt>
                <c:pt idx="28">
                  <c:v>139.28968975705843</c:v>
                </c:pt>
                <c:pt idx="29">
                  <c:v>269.52973383856829</c:v>
                </c:pt>
                <c:pt idx="30">
                  <c:v>317.9403554970375</c:v>
                </c:pt>
                <c:pt idx="31">
                  <c:v>256.74407961399277</c:v>
                </c:pt>
                <c:pt idx="32">
                  <c:v>303.0021989556692</c:v>
                </c:pt>
                <c:pt idx="33">
                  <c:v>190.28776025717664</c:v>
                </c:pt>
                <c:pt idx="34">
                  <c:v>1564.0897379928315</c:v>
                </c:pt>
                <c:pt idx="35">
                  <c:v>285.50633694474539</c:v>
                </c:pt>
                <c:pt idx="36">
                  <c:v>173.88748656646678</c:v>
                </c:pt>
                <c:pt idx="37">
                  <c:v>371.51611686991868</c:v>
                </c:pt>
                <c:pt idx="38">
                  <c:v>321.51027849483717</c:v>
                </c:pt>
                <c:pt idx="39">
                  <c:v>244.81004432042022</c:v>
                </c:pt>
                <c:pt idx="40">
                  <c:v>281.42852594794965</c:v>
                </c:pt>
                <c:pt idx="41">
                  <c:v>150.16033308288283</c:v>
                </c:pt>
                <c:pt idx="42">
                  <c:v>192.12727808825039</c:v>
                </c:pt>
                <c:pt idx="43">
                  <c:v>273.61195159265651</c:v>
                </c:pt>
                <c:pt idx="44">
                  <c:v>224.30533485506604</c:v>
                </c:pt>
                <c:pt idx="45">
                  <c:v>216.31669090909091</c:v>
                </c:pt>
                <c:pt idx="46">
                  <c:v>604.99055364238404</c:v>
                </c:pt>
                <c:pt idx="47">
                  <c:v>293.63780909090906</c:v>
                </c:pt>
                <c:pt idx="48">
                  <c:v>187.3660579095729</c:v>
                </c:pt>
                <c:pt idx="49">
                  <c:v>446.14838894721055</c:v>
                </c:pt>
                <c:pt idx="50">
                  <c:v>528.08405510927048</c:v>
                </c:pt>
                <c:pt idx="51">
                  <c:v>443.95484899130918</c:v>
                </c:pt>
                <c:pt idx="52">
                  <c:v>239.32952307692307</c:v>
                </c:pt>
                <c:pt idx="53">
                  <c:v>450.34714118259961</c:v>
                </c:pt>
                <c:pt idx="54">
                  <c:v>326.28500338638673</c:v>
                </c:pt>
                <c:pt idx="55">
                  <c:v>349.01888470400564</c:v>
                </c:pt>
                <c:pt idx="56">
                  <c:v>1772.5634221972039</c:v>
                </c:pt>
                <c:pt idx="57">
                  <c:v>182.06403963542104</c:v>
                </c:pt>
                <c:pt idx="58">
                  <c:v>118.24448655485222</c:v>
                </c:pt>
                <c:pt idx="59">
                  <c:v>420.14406991553824</c:v>
                </c:pt>
                <c:pt idx="60">
                  <c:v>304.06580007191656</c:v>
                </c:pt>
                <c:pt idx="61">
                  <c:v>210.67296455066051</c:v>
                </c:pt>
                <c:pt idx="62">
                  <c:v>277.80279338842973</c:v>
                </c:pt>
                <c:pt idx="63">
                  <c:v>96.651719611603923</c:v>
                </c:pt>
                <c:pt idx="64">
                  <c:v>195.56542091271598</c:v>
                </c:pt>
                <c:pt idx="65">
                  <c:v>270.12363023420869</c:v>
                </c:pt>
                <c:pt idx="66">
                  <c:v>307.27313005810333</c:v>
                </c:pt>
                <c:pt idx="67">
                  <c:v>271.5225480769231</c:v>
                </c:pt>
                <c:pt idx="68">
                  <c:v>166.53117933244789</c:v>
                </c:pt>
                <c:pt idx="69">
                  <c:v>332.49923050299952</c:v>
                </c:pt>
                <c:pt idx="70">
                  <c:v>220.32692228899205</c:v>
                </c:pt>
                <c:pt idx="71">
                  <c:v>225.45372284233605</c:v>
                </c:pt>
                <c:pt idx="72">
                  <c:v>180.99246769727733</c:v>
                </c:pt>
                <c:pt idx="73">
                  <c:v>301.83518379728764</c:v>
                </c:pt>
                <c:pt idx="74">
                  <c:v>399.82063094745553</c:v>
                </c:pt>
                <c:pt idx="75">
                  <c:v>444.49562373557876</c:v>
                </c:pt>
                <c:pt idx="76">
                  <c:v>209.61570619114715</c:v>
                </c:pt>
                <c:pt idx="77">
                  <c:v>117.00221795746616</c:v>
                </c:pt>
                <c:pt idx="78">
                  <c:v>318.67168724601436</c:v>
                </c:pt>
                <c:pt idx="79">
                  <c:v>163.99299756141764</c:v>
                </c:pt>
                <c:pt idx="80">
                  <c:v>386.67298708609269</c:v>
                </c:pt>
                <c:pt idx="81">
                  <c:v>273.53470707984616</c:v>
                </c:pt>
                <c:pt idx="82">
                  <c:v>202.95966154105051</c:v>
                </c:pt>
                <c:pt idx="83">
                  <c:v>345.40017379097822</c:v>
                </c:pt>
                <c:pt idx="84">
                  <c:v>357.16556122968768</c:v>
                </c:pt>
                <c:pt idx="85">
                  <c:v>179.37542059528056</c:v>
                </c:pt>
                <c:pt idx="86">
                  <c:v>265.70902626050417</c:v>
                </c:pt>
                <c:pt idx="87">
                  <c:v>181.52923244510163</c:v>
                </c:pt>
                <c:pt idx="88">
                  <c:v>120.47060212413831</c:v>
                </c:pt>
                <c:pt idx="89">
                  <c:v>1729.9989027234428</c:v>
                </c:pt>
                <c:pt idx="90">
                  <c:v>320.35056638115628</c:v>
                </c:pt>
                <c:pt idx="91">
                  <c:v>288.94650822273513</c:v>
                </c:pt>
                <c:pt idx="92">
                  <c:v>129.2023612070156</c:v>
                </c:pt>
                <c:pt idx="93">
                  <c:v>115.31335308829925</c:v>
                </c:pt>
                <c:pt idx="94">
                  <c:v>244.56698191759281</c:v>
                </c:pt>
                <c:pt idx="95">
                  <c:v>238.59050994902961</c:v>
                </c:pt>
                <c:pt idx="96">
                  <c:v>388.06895389240958</c:v>
                </c:pt>
                <c:pt idx="97">
                  <c:v>284.00838176352704</c:v>
                </c:pt>
                <c:pt idx="98">
                  <c:v>266.25524681916153</c:v>
                </c:pt>
                <c:pt idx="99">
                  <c:v>40.356744522215457</c:v>
                </c:pt>
                <c:pt idx="100">
                  <c:v>286.33451709633084</c:v>
                </c:pt>
                <c:pt idx="101">
                  <c:v>254.85801455301453</c:v>
                </c:pt>
                <c:pt idx="102">
                  <c:v>310.00558379287622</c:v>
                </c:pt>
                <c:pt idx="103">
                  <c:v>142.74735918018999</c:v>
                </c:pt>
                <c:pt idx="104">
                  <c:v>476.57989734140563</c:v>
                </c:pt>
                <c:pt idx="105">
                  <c:v>330.90213199454081</c:v>
                </c:pt>
                <c:pt idx="106">
                  <c:v>394.51929632553464</c:v>
                </c:pt>
                <c:pt idx="107">
                  <c:v>288.13469613693468</c:v>
                </c:pt>
                <c:pt idx="108">
                  <c:v>154.03590567885115</c:v>
                </c:pt>
                <c:pt idx="109">
                  <c:v>206.42972223785671</c:v>
                </c:pt>
                <c:pt idx="110">
                  <c:v>200.7822709499506</c:v>
                </c:pt>
                <c:pt idx="111">
                  <c:v>272.41558129888597</c:v>
                </c:pt>
                <c:pt idx="112">
                  <c:v>283.42258643406768</c:v>
                </c:pt>
                <c:pt idx="113">
                  <c:v>212.83667806777521</c:v>
                </c:pt>
                <c:pt idx="114">
                  <c:v>255.57783403361344</c:v>
                </c:pt>
                <c:pt idx="115">
                  <c:v>153.03370915374947</c:v>
                </c:pt>
                <c:pt idx="116">
                  <c:v>571.0448558162268</c:v>
                </c:pt>
                <c:pt idx="117">
                  <c:v>720.60093210100285</c:v>
                </c:pt>
                <c:pt idx="118">
                  <c:v>287.82820012156202</c:v>
                </c:pt>
                <c:pt idx="119">
                  <c:v>492.78838657105604</c:v>
                </c:pt>
                <c:pt idx="120">
                  <c:v>305.32121854780735</c:v>
                </c:pt>
                <c:pt idx="121">
                  <c:v>331.75634605051044</c:v>
                </c:pt>
                <c:pt idx="122">
                  <c:v>88.064430707303032</c:v>
                </c:pt>
                <c:pt idx="123">
                  <c:v>228.62370018143332</c:v>
                </c:pt>
                <c:pt idx="124">
                  <c:v>428.441744312026</c:v>
                </c:pt>
                <c:pt idx="125">
                  <c:v>274.89694264610307</c:v>
                </c:pt>
                <c:pt idx="126">
                  <c:v>360.0462427626137</c:v>
                </c:pt>
                <c:pt idx="127">
                  <c:v>467.23688429909714</c:v>
                </c:pt>
                <c:pt idx="128">
                  <c:v>273.84247138988383</c:v>
                </c:pt>
                <c:pt idx="129">
                  <c:v>315.1199138064917</c:v>
                </c:pt>
                <c:pt idx="130">
                  <c:v>311.81456114075712</c:v>
                </c:pt>
                <c:pt idx="131">
                  <c:v>266.14879504712621</c:v>
                </c:pt>
                <c:pt idx="132">
                  <c:v>202.08284829202947</c:v>
                </c:pt>
                <c:pt idx="133">
                  <c:v>195.47625529705027</c:v>
                </c:pt>
                <c:pt idx="134">
                  <c:v>436.29028168474537</c:v>
                </c:pt>
                <c:pt idx="135">
                  <c:v>154.08562549329125</c:v>
                </c:pt>
                <c:pt idx="136">
                  <c:v>448.43874831327247</c:v>
                </c:pt>
                <c:pt idx="137">
                  <c:v>220.05056815104268</c:v>
                </c:pt>
                <c:pt idx="138">
                  <c:v>302.91287489670077</c:v>
                </c:pt>
                <c:pt idx="139">
                  <c:v>213.68724077384752</c:v>
                </c:pt>
                <c:pt idx="140">
                  <c:v>185.84440309212624</c:v>
                </c:pt>
                <c:pt idx="141">
                  <c:v>319.47437771249247</c:v>
                </c:pt>
                <c:pt idx="142">
                  <c:v>170.33459873547599</c:v>
                </c:pt>
                <c:pt idx="143">
                  <c:v>334.4265003724035</c:v>
                </c:pt>
                <c:pt idx="144">
                  <c:v>167.98540345821326</c:v>
                </c:pt>
                <c:pt idx="145">
                  <c:v>218.09450409541108</c:v>
                </c:pt>
                <c:pt idx="146">
                  <c:v>198.97567868098159</c:v>
                </c:pt>
                <c:pt idx="147">
                  <c:v>253.60490307456993</c:v>
                </c:pt>
                <c:pt idx="148">
                  <c:v>197.79857796610167</c:v>
                </c:pt>
                <c:pt idx="149">
                  <c:v>565.22859769792251</c:v>
                </c:pt>
                <c:pt idx="150">
                  <c:v>119.53390245065968</c:v>
                </c:pt>
                <c:pt idx="151">
                  <c:v>262.30951468628257</c:v>
                </c:pt>
                <c:pt idx="152">
                  <c:v>238.09935051592441</c:v>
                </c:pt>
                <c:pt idx="153">
                  <c:v>382.79057230817807</c:v>
                </c:pt>
                <c:pt idx="154">
                  <c:v>152.66745659361504</c:v>
                </c:pt>
                <c:pt idx="155">
                  <c:v>269.75012929789079</c:v>
                </c:pt>
                <c:pt idx="156">
                  <c:v>1004.3655910729948</c:v>
                </c:pt>
                <c:pt idx="157">
                  <c:v>1175.1181446822816</c:v>
                </c:pt>
                <c:pt idx="158">
                  <c:v>274.24916829635202</c:v>
                </c:pt>
                <c:pt idx="159">
                  <c:v>227.88760717846458</c:v>
                </c:pt>
                <c:pt idx="160">
                  <c:v>873.0329455674821</c:v>
                </c:pt>
                <c:pt idx="161">
                  <c:v>181.44683139013452</c:v>
                </c:pt>
                <c:pt idx="162">
                  <c:v>110.77569563499901</c:v>
                </c:pt>
                <c:pt idx="163">
                  <c:v>241.51398917525773</c:v>
                </c:pt>
                <c:pt idx="164">
                  <c:v>209.62561048599471</c:v>
                </c:pt>
                <c:pt idx="165">
                  <c:v>229.14487176414187</c:v>
                </c:pt>
                <c:pt idx="166">
                  <c:v>670.24248134951563</c:v>
                </c:pt>
                <c:pt idx="167">
                  <c:v>333.281897073663</c:v>
                </c:pt>
                <c:pt idx="168">
                  <c:v>265.72329141452343</c:v>
                </c:pt>
              </c:numCache>
            </c:numRef>
          </c:xVal>
          <c:yVal>
            <c:numRef>
              <c:f>DATA!$AH$7:$AH$175</c:f>
              <c:numCache>
                <c:formatCode>#,##0_);\(#,##0\)</c:formatCode>
                <c:ptCount val="169"/>
                <c:pt idx="0">
                  <c:v>295.08705654281096</c:v>
                </c:pt>
                <c:pt idx="1">
                  <c:v>125.45350936700935</c:v>
                </c:pt>
                <c:pt idx="2">
                  <c:v>208.07012322715647</c:v>
                </c:pt>
                <c:pt idx="3">
                  <c:v>779.2579972535018</c:v>
                </c:pt>
                <c:pt idx="4">
                  <c:v>243.97067338282079</c:v>
                </c:pt>
                <c:pt idx="5">
                  <c:v>218.8728155018218</c:v>
                </c:pt>
                <c:pt idx="6">
                  <c:v>305.80352445611771</c:v>
                </c:pt>
                <c:pt idx="7">
                  <c:v>437.22787398739871</c:v>
                </c:pt>
                <c:pt idx="8">
                  <c:v>230.63884047228254</c:v>
                </c:pt>
                <c:pt idx="9">
                  <c:v>276.50771548117154</c:v>
                </c:pt>
                <c:pt idx="10">
                  <c:v>276.23336445871024</c:v>
                </c:pt>
                <c:pt idx="11">
                  <c:v>339.3432347616174</c:v>
                </c:pt>
                <c:pt idx="12">
                  <c:v>212.45947288006113</c:v>
                </c:pt>
                <c:pt idx="13">
                  <c:v>336.84050312221228</c:v>
                </c:pt>
                <c:pt idx="14">
                  <c:v>66.768830596138386</c:v>
                </c:pt>
                <c:pt idx="15">
                  <c:v>475.0198958935801</c:v>
                </c:pt>
                <c:pt idx="16">
                  <c:v>175.2573942777851</c:v>
                </c:pt>
                <c:pt idx="17">
                  <c:v>324.34737811484291</c:v>
                </c:pt>
                <c:pt idx="18">
                  <c:v>157.12648905109489</c:v>
                </c:pt>
                <c:pt idx="19">
                  <c:v>406.51509590792836</c:v>
                </c:pt>
                <c:pt idx="20">
                  <c:v>479.53928571428571</c:v>
                </c:pt>
                <c:pt idx="21">
                  <c:v>170.46625903496775</c:v>
                </c:pt>
                <c:pt idx="22">
                  <c:v>416.3237888198758</c:v>
                </c:pt>
                <c:pt idx="23">
                  <c:v>145.64803156146178</c:v>
                </c:pt>
                <c:pt idx="24">
                  <c:v>377.95736809732097</c:v>
                </c:pt>
                <c:pt idx="25">
                  <c:v>349.60320173326915</c:v>
                </c:pt>
                <c:pt idx="26">
                  <c:v>262.63887151597555</c:v>
                </c:pt>
                <c:pt idx="27">
                  <c:v>261.77221663874928</c:v>
                </c:pt>
                <c:pt idx="28">
                  <c:v>144.47334208798424</c:v>
                </c:pt>
                <c:pt idx="29">
                  <c:v>273.17110299488678</c:v>
                </c:pt>
                <c:pt idx="30">
                  <c:v>301.28231731402235</c:v>
                </c:pt>
                <c:pt idx="31">
                  <c:v>258.79074065138718</c:v>
                </c:pt>
                <c:pt idx="32">
                  <c:v>324.33846547314579</c:v>
                </c:pt>
                <c:pt idx="33">
                  <c:v>143.70113899496138</c:v>
                </c:pt>
                <c:pt idx="34">
                  <c:v>1406.4353032258064</c:v>
                </c:pt>
                <c:pt idx="35">
                  <c:v>300.99943228602382</c:v>
                </c:pt>
                <c:pt idx="36">
                  <c:v>149.46628922981074</c:v>
                </c:pt>
                <c:pt idx="37">
                  <c:v>434.33114634146341</c:v>
                </c:pt>
                <c:pt idx="38">
                  <c:v>336.37235504368545</c:v>
                </c:pt>
                <c:pt idx="39">
                  <c:v>251.30379514116876</c:v>
                </c:pt>
                <c:pt idx="40">
                  <c:v>293.94221020928256</c:v>
                </c:pt>
                <c:pt idx="41">
                  <c:v>112.09108058000429</c:v>
                </c:pt>
                <c:pt idx="42">
                  <c:v>168.85633558473617</c:v>
                </c:pt>
                <c:pt idx="43">
                  <c:v>288.63483445786909</c:v>
                </c:pt>
                <c:pt idx="44">
                  <c:v>198.14685932098217</c:v>
                </c:pt>
                <c:pt idx="45">
                  <c:v>190.12516363636362</c:v>
                </c:pt>
                <c:pt idx="46">
                  <c:v>675.8074251655629</c:v>
                </c:pt>
                <c:pt idx="47">
                  <c:v>301.81675406698565</c:v>
                </c:pt>
                <c:pt idx="48">
                  <c:v>150.39807601959774</c:v>
                </c:pt>
                <c:pt idx="49">
                  <c:v>520.43118176364726</c:v>
                </c:pt>
                <c:pt idx="50">
                  <c:v>549.10546552240294</c:v>
                </c:pt>
                <c:pt idx="51">
                  <c:v>539.55812261591097</c:v>
                </c:pt>
                <c:pt idx="52">
                  <c:v>233.72187692307691</c:v>
                </c:pt>
                <c:pt idx="53">
                  <c:v>543.19723365459754</c:v>
                </c:pt>
                <c:pt idx="54">
                  <c:v>345.30333220453775</c:v>
                </c:pt>
                <c:pt idx="55">
                  <c:v>379.72722793335697</c:v>
                </c:pt>
                <c:pt idx="56">
                  <c:v>1874.1891461616963</c:v>
                </c:pt>
                <c:pt idx="57">
                  <c:v>148.21555815703653</c:v>
                </c:pt>
                <c:pt idx="58">
                  <c:v>105.22422917808902</c:v>
                </c:pt>
                <c:pt idx="59">
                  <c:v>505.70585333154571</c:v>
                </c:pt>
                <c:pt idx="60">
                  <c:v>323.99361380798268</c:v>
                </c:pt>
                <c:pt idx="61">
                  <c:v>208.3990089152079</c:v>
                </c:pt>
                <c:pt idx="62">
                  <c:v>249.09550413223138</c:v>
                </c:pt>
                <c:pt idx="63">
                  <c:v>61.756853512347156</c:v>
                </c:pt>
                <c:pt idx="64">
                  <c:v>189.66712450155075</c:v>
                </c:pt>
                <c:pt idx="65">
                  <c:v>280.13196238466998</c:v>
                </c:pt>
                <c:pt idx="66">
                  <c:v>337.63342187175761</c:v>
                </c:pt>
                <c:pt idx="67">
                  <c:v>223.92740890688259</c:v>
                </c:pt>
                <c:pt idx="68">
                  <c:v>113.06435410290466</c:v>
                </c:pt>
                <c:pt idx="69">
                  <c:v>367.03500692201203</c:v>
                </c:pt>
                <c:pt idx="70">
                  <c:v>211.37251024310299</c:v>
                </c:pt>
                <c:pt idx="71">
                  <c:v>212.33315925852102</c:v>
                </c:pt>
                <c:pt idx="72">
                  <c:v>163.62760036917399</c:v>
                </c:pt>
                <c:pt idx="73">
                  <c:v>318.92351177730194</c:v>
                </c:pt>
                <c:pt idx="74">
                  <c:v>485.05978485726109</c:v>
                </c:pt>
                <c:pt idx="75">
                  <c:v>520.21185958773026</c:v>
                </c:pt>
                <c:pt idx="76">
                  <c:v>192.23833596810775</c:v>
                </c:pt>
                <c:pt idx="77">
                  <c:v>119.896021835551</c:v>
                </c:pt>
                <c:pt idx="78">
                  <c:v>350.74327914973429</c:v>
                </c:pt>
                <c:pt idx="79">
                  <c:v>135.74632779160007</c:v>
                </c:pt>
                <c:pt idx="80">
                  <c:v>449.96993642384103</c:v>
                </c:pt>
                <c:pt idx="81">
                  <c:v>287.46301289301061</c:v>
                </c:pt>
                <c:pt idx="82">
                  <c:v>195.63977323881443</c:v>
                </c:pt>
                <c:pt idx="83">
                  <c:v>382.80772261504137</c:v>
                </c:pt>
                <c:pt idx="84">
                  <c:v>369.69788395904436</c:v>
                </c:pt>
                <c:pt idx="85">
                  <c:v>156.17156312114571</c:v>
                </c:pt>
                <c:pt idx="86">
                  <c:v>271.70614285714288</c:v>
                </c:pt>
                <c:pt idx="87">
                  <c:v>156.10922733278801</c:v>
                </c:pt>
                <c:pt idx="88">
                  <c:v>85.164358791990367</c:v>
                </c:pt>
                <c:pt idx="89">
                  <c:v>1816.8404634366534</c:v>
                </c:pt>
                <c:pt idx="90">
                  <c:v>237.37076659528907</c:v>
                </c:pt>
                <c:pt idx="91">
                  <c:v>304.46317080207729</c:v>
                </c:pt>
                <c:pt idx="92">
                  <c:v>109.23571882336694</c:v>
                </c:pt>
                <c:pt idx="93">
                  <c:v>84.781024358416701</c:v>
                </c:pt>
                <c:pt idx="94">
                  <c:v>211.20209269913877</c:v>
                </c:pt>
                <c:pt idx="95">
                  <c:v>227.09986473240542</c:v>
                </c:pt>
                <c:pt idx="96">
                  <c:v>415.32732824427478</c:v>
                </c:pt>
                <c:pt idx="97">
                  <c:v>290.36849699398795</c:v>
                </c:pt>
                <c:pt idx="98">
                  <c:v>272.07434888409927</c:v>
                </c:pt>
                <c:pt idx="99">
                  <c:v>31.283079732197198</c:v>
                </c:pt>
                <c:pt idx="100">
                  <c:v>299.06995876889755</c:v>
                </c:pt>
                <c:pt idx="101">
                  <c:v>234.97814401814401</c:v>
                </c:pt>
                <c:pt idx="102">
                  <c:v>277.36968473623972</c:v>
                </c:pt>
                <c:pt idx="103">
                  <c:v>110.44820304769445</c:v>
                </c:pt>
                <c:pt idx="104">
                  <c:v>521.65310081600421</c:v>
                </c:pt>
                <c:pt idx="105">
                  <c:v>359.80892766621173</c:v>
                </c:pt>
                <c:pt idx="106">
                  <c:v>457.04733457729293</c:v>
                </c:pt>
                <c:pt idx="107">
                  <c:v>305.21320665829143</c:v>
                </c:pt>
                <c:pt idx="108">
                  <c:v>111.30437467362924</c:v>
                </c:pt>
                <c:pt idx="109">
                  <c:v>185.85096752406145</c:v>
                </c:pt>
                <c:pt idx="110">
                  <c:v>179.10220777082648</c:v>
                </c:pt>
                <c:pt idx="111">
                  <c:v>248.04942877459112</c:v>
                </c:pt>
                <c:pt idx="112">
                  <c:v>292.07547169811323</c:v>
                </c:pt>
                <c:pt idx="113">
                  <c:v>198.7726625973479</c:v>
                </c:pt>
                <c:pt idx="114">
                  <c:v>257.70187815126047</c:v>
                </c:pt>
                <c:pt idx="115">
                  <c:v>94.98078550481776</c:v>
                </c:pt>
                <c:pt idx="116">
                  <c:v>637.92213098729223</c:v>
                </c:pt>
                <c:pt idx="117">
                  <c:v>705.26941645523732</c:v>
                </c:pt>
                <c:pt idx="118">
                  <c:v>303.48114876158633</c:v>
                </c:pt>
                <c:pt idx="119">
                  <c:v>556.82612777053453</c:v>
                </c:pt>
                <c:pt idx="120">
                  <c:v>325.26358015815958</c:v>
                </c:pt>
                <c:pt idx="121">
                  <c:v>310.02596453519612</c:v>
                </c:pt>
                <c:pt idx="122">
                  <c:v>75.282127659574471</c:v>
                </c:pt>
                <c:pt idx="123">
                  <c:v>217.29633746598125</c:v>
                </c:pt>
                <c:pt idx="124">
                  <c:v>442.08799566630552</c:v>
                </c:pt>
                <c:pt idx="125">
                  <c:v>278.2589701544768</c:v>
                </c:pt>
                <c:pt idx="126">
                  <c:v>304.30833746898259</c:v>
                </c:pt>
                <c:pt idx="127">
                  <c:v>564.5991505235047</c:v>
                </c:pt>
                <c:pt idx="128">
                  <c:v>257.24080370402726</c:v>
                </c:pt>
                <c:pt idx="129">
                  <c:v>339.04677977946886</c:v>
                </c:pt>
                <c:pt idx="130">
                  <c:v>335.22963854208621</c:v>
                </c:pt>
                <c:pt idx="131">
                  <c:v>273.66871003511363</c:v>
                </c:pt>
                <c:pt idx="132">
                  <c:v>170.66266577361017</c:v>
                </c:pt>
                <c:pt idx="133">
                  <c:v>164.45914250103863</c:v>
                </c:pt>
                <c:pt idx="134">
                  <c:v>432.26346820436305</c:v>
                </c:pt>
                <c:pt idx="135">
                  <c:v>102.01084451460142</c:v>
                </c:pt>
                <c:pt idx="136">
                  <c:v>457.05550062071569</c:v>
                </c:pt>
                <c:pt idx="137">
                  <c:v>198.97428908577399</c:v>
                </c:pt>
                <c:pt idx="138">
                  <c:v>296.60745788570341</c:v>
                </c:pt>
                <c:pt idx="139">
                  <c:v>197.16688800919422</c:v>
                </c:pt>
                <c:pt idx="140">
                  <c:v>89.521970035065351</c:v>
                </c:pt>
                <c:pt idx="141">
                  <c:v>346.63594044201108</c:v>
                </c:pt>
                <c:pt idx="142">
                  <c:v>141.39925681484152</c:v>
                </c:pt>
                <c:pt idx="143">
                  <c:v>356.39979145402884</c:v>
                </c:pt>
                <c:pt idx="144">
                  <c:v>149.81187319884725</c:v>
                </c:pt>
                <c:pt idx="145">
                  <c:v>200.79356866239419</c:v>
                </c:pt>
                <c:pt idx="146">
                  <c:v>155.52345092024538</c:v>
                </c:pt>
                <c:pt idx="147">
                  <c:v>254.8938096293669</c:v>
                </c:pt>
                <c:pt idx="148">
                  <c:v>208.63806101694917</c:v>
                </c:pt>
                <c:pt idx="149">
                  <c:v>616.26032004491856</c:v>
                </c:pt>
                <c:pt idx="150">
                  <c:v>81.872865554465164</c:v>
                </c:pt>
                <c:pt idx="151">
                  <c:v>262.20862415419316</c:v>
                </c:pt>
                <c:pt idx="152">
                  <c:v>235.32884977888952</c:v>
                </c:pt>
                <c:pt idx="153">
                  <c:v>444.72879917903379</c:v>
                </c:pt>
                <c:pt idx="154">
                  <c:v>121.93959493396447</c:v>
                </c:pt>
                <c:pt idx="155">
                  <c:v>282.87707310026002</c:v>
                </c:pt>
                <c:pt idx="156">
                  <c:v>1062.074027872527</c:v>
                </c:pt>
                <c:pt idx="157">
                  <c:v>1209.9889812843214</c:v>
                </c:pt>
                <c:pt idx="158">
                  <c:v>278.80743587814965</c:v>
                </c:pt>
                <c:pt idx="159">
                  <c:v>216.31166500498503</c:v>
                </c:pt>
                <c:pt idx="160">
                  <c:v>883.55026753119375</c:v>
                </c:pt>
                <c:pt idx="161">
                  <c:v>150.38438206278025</c:v>
                </c:pt>
                <c:pt idx="162">
                  <c:v>78.210117321745997</c:v>
                </c:pt>
                <c:pt idx="163">
                  <c:v>228.04755463917525</c:v>
                </c:pt>
                <c:pt idx="164">
                  <c:v>178.6642710079004</c:v>
                </c:pt>
                <c:pt idx="165">
                  <c:v>222.46529841802493</c:v>
                </c:pt>
                <c:pt idx="166">
                  <c:v>886.97834984968267</c:v>
                </c:pt>
                <c:pt idx="167">
                  <c:v>365.58099899091826</c:v>
                </c:pt>
                <c:pt idx="168">
                  <c:v>205.80299546142206</c:v>
                </c:pt>
              </c:numCache>
            </c:numRef>
          </c:yVal>
          <c:smooth val="0"/>
        </c:ser>
        <c:dLbls>
          <c:showLegendKey val="0"/>
          <c:showVal val="0"/>
          <c:showCatName val="0"/>
          <c:showSerName val="0"/>
          <c:showPercent val="0"/>
          <c:showBubbleSize val="0"/>
        </c:dLbls>
        <c:axId val="232694768"/>
        <c:axId val="232695160"/>
      </c:scatterChart>
      <c:valAx>
        <c:axId val="232694768"/>
        <c:scaling>
          <c:orientation val="minMax"/>
          <c:max val="1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AGI Tax</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2695160"/>
        <c:crosses val="autoZero"/>
        <c:crossBetween val="midCat"/>
      </c:valAx>
      <c:valAx>
        <c:axId val="232695160"/>
        <c:scaling>
          <c:orientation val="minMax"/>
          <c:max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Income Surtax</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_);\(#,##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2694768"/>
        <c:crosses val="autoZero"/>
        <c:crossBetween val="midCat"/>
        <c:majorUnit val="2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DATA!$AL$5</c:f>
              <c:strCache>
                <c:ptCount val="1"/>
                <c:pt idx="0">
                  <c:v>earnings place of residence</c:v>
                </c:pt>
              </c:strCache>
            </c:strRef>
          </c:tx>
          <c:spPr>
            <a:ln w="25400" cap="rnd">
              <a:noFill/>
              <a:round/>
            </a:ln>
            <a:effectLst/>
          </c:spPr>
          <c:marker>
            <c:symbol val="circle"/>
            <c:size val="5"/>
            <c:spPr>
              <a:solidFill>
                <a:schemeClr val="accent1"/>
              </a:solidFill>
              <a:ln w="9525">
                <a:solidFill>
                  <a:schemeClr val="accent1"/>
                </a:solidFill>
              </a:ln>
              <a:effectLst/>
            </c:spPr>
          </c:marker>
          <c:xVal>
            <c:numRef>
              <c:f>DATA!$AJ$7:$AJ$175</c:f>
              <c:numCache>
                <c:formatCode>#,##0_);\(#,##0\)</c:formatCode>
                <c:ptCount val="169"/>
                <c:pt idx="0">
                  <c:v>50.348866828517806</c:v>
                </c:pt>
                <c:pt idx="1">
                  <c:v>71.200265442646412</c:v>
                </c:pt>
                <c:pt idx="2">
                  <c:v>52.482901492687034</c:v>
                </c:pt>
                <c:pt idx="3">
                  <c:v>223.14108870089885</c:v>
                </c:pt>
                <c:pt idx="4">
                  <c:v>69.274490774522036</c:v>
                </c:pt>
                <c:pt idx="5">
                  <c:v>79.312199295164362</c:v>
                </c:pt>
                <c:pt idx="6">
                  <c:v>347.90026144330318</c:v>
                </c:pt>
                <c:pt idx="7">
                  <c:v>115.11947716803809</c:v>
                </c:pt>
                <c:pt idx="8">
                  <c:v>212.58746530337859</c:v>
                </c:pt>
                <c:pt idx="9">
                  <c:v>75.205524862075023</c:v>
                </c:pt>
                <c:pt idx="10">
                  <c:v>793.15338404394697</c:v>
                </c:pt>
                <c:pt idx="11">
                  <c:v>116.54293849234347</c:v>
                </c:pt>
                <c:pt idx="12">
                  <c:v>193.84408897659327</c:v>
                </c:pt>
                <c:pt idx="13">
                  <c:v>226.16426897067396</c:v>
                </c:pt>
                <c:pt idx="14">
                  <c:v>165.75455011784041</c:v>
                </c:pt>
                <c:pt idx="15">
                  <c:v>77.778551812159066</c:v>
                </c:pt>
                <c:pt idx="16">
                  <c:v>252.44797838602003</c:v>
                </c:pt>
                <c:pt idx="17">
                  <c:v>207.98911814589269</c:v>
                </c:pt>
                <c:pt idx="18">
                  <c:v>75.705767188946126</c:v>
                </c:pt>
                <c:pt idx="19">
                  <c:v>47.057847887568229</c:v>
                </c:pt>
                <c:pt idx="20">
                  <c:v>384.6883791148403</c:v>
                </c:pt>
                <c:pt idx="21">
                  <c:v>34.621472046768901</c:v>
                </c:pt>
                <c:pt idx="22">
                  <c:v>137.14574766777585</c:v>
                </c:pt>
                <c:pt idx="23">
                  <c:v>46.696111284497839</c:v>
                </c:pt>
                <c:pt idx="24">
                  <c:v>351.458328241988</c:v>
                </c:pt>
                <c:pt idx="25">
                  <c:v>292.3555042995016</c:v>
                </c:pt>
                <c:pt idx="26">
                  <c:v>123.98677237320874</c:v>
                </c:pt>
                <c:pt idx="27">
                  <c:v>105.74961197750611</c:v>
                </c:pt>
                <c:pt idx="28">
                  <c:v>37.09683616756238</c:v>
                </c:pt>
                <c:pt idx="29">
                  <c:v>73.029888440375075</c:v>
                </c:pt>
                <c:pt idx="30">
                  <c:v>101.96291158320528</c:v>
                </c:pt>
                <c:pt idx="31">
                  <c:v>44.728500904312426</c:v>
                </c:pt>
                <c:pt idx="32">
                  <c:v>221.35087135181988</c:v>
                </c:pt>
                <c:pt idx="33">
                  <c:v>354.12226337800769</c:v>
                </c:pt>
                <c:pt idx="34">
                  <c:v>274.49938920410239</c:v>
                </c:pt>
                <c:pt idx="35">
                  <c:v>162.13451861615906</c:v>
                </c:pt>
                <c:pt idx="36">
                  <c:v>145.41016554938435</c:v>
                </c:pt>
                <c:pt idx="37">
                  <c:v>145.69081571942971</c:v>
                </c:pt>
                <c:pt idx="38">
                  <c:v>457.86184374837524</c:v>
                </c:pt>
                <c:pt idx="39">
                  <c:v>63.601852511127902</c:v>
                </c:pt>
                <c:pt idx="40">
                  <c:v>61.872864859490299</c:v>
                </c:pt>
                <c:pt idx="41">
                  <c:v>420.15444774497428</c:v>
                </c:pt>
                <c:pt idx="42">
                  <c:v>90.670519704923194</c:v>
                </c:pt>
                <c:pt idx="43">
                  <c:v>128.382928011871</c:v>
                </c:pt>
                <c:pt idx="44">
                  <c:v>271.16007787583055</c:v>
                </c:pt>
                <c:pt idx="45">
                  <c:v>187.78314353223766</c:v>
                </c:pt>
                <c:pt idx="46">
                  <c:v>68.294373192936291</c:v>
                </c:pt>
                <c:pt idx="47">
                  <c:v>95.444328689377087</c:v>
                </c:pt>
                <c:pt idx="48">
                  <c:v>236.21056461251874</c:v>
                </c:pt>
                <c:pt idx="49">
                  <c:v>349.24235245240192</c:v>
                </c:pt>
                <c:pt idx="50">
                  <c:v>288.13170413031094</c:v>
                </c:pt>
                <c:pt idx="51">
                  <c:v>871.65476486630041</c:v>
                </c:pt>
                <c:pt idx="52">
                  <c:v>297.84107098125645</c:v>
                </c:pt>
                <c:pt idx="53">
                  <c:v>297.49998007202095</c:v>
                </c:pt>
                <c:pt idx="54">
                  <c:v>47.387162327382825</c:v>
                </c:pt>
                <c:pt idx="55">
                  <c:v>80.922386773893791</c:v>
                </c:pt>
                <c:pt idx="56">
                  <c:v>810.08618157012847</c:v>
                </c:pt>
                <c:pt idx="57">
                  <c:v>40.614029546438069</c:v>
                </c:pt>
                <c:pt idx="58">
                  <c:v>520.93288143279801</c:v>
                </c:pt>
                <c:pt idx="59">
                  <c:v>182.82382552580268</c:v>
                </c:pt>
                <c:pt idx="60">
                  <c:v>71.269718238101817</c:v>
                </c:pt>
                <c:pt idx="61">
                  <c:v>158.12974799378316</c:v>
                </c:pt>
                <c:pt idx="62">
                  <c:v>29.898995119721118</c:v>
                </c:pt>
                <c:pt idx="63">
                  <c:v>767.10393365313269</c:v>
                </c:pt>
                <c:pt idx="64">
                  <c:v>22.413252065010155</c:v>
                </c:pt>
                <c:pt idx="65">
                  <c:v>63.69692195256102</c:v>
                </c:pt>
                <c:pt idx="66">
                  <c:v>71.286915840473455</c:v>
                </c:pt>
                <c:pt idx="67">
                  <c:v>202.65132318365789</c:v>
                </c:pt>
                <c:pt idx="68">
                  <c:v>240.92210956717295</c:v>
                </c:pt>
                <c:pt idx="69">
                  <c:v>57.891373609896213</c:v>
                </c:pt>
                <c:pt idx="70">
                  <c:v>68.989519114154788</c:v>
                </c:pt>
                <c:pt idx="71">
                  <c:v>275.39889708500056</c:v>
                </c:pt>
                <c:pt idx="72">
                  <c:v>104.16383873002437</c:v>
                </c:pt>
                <c:pt idx="73">
                  <c:v>189.00160861824088</c:v>
                </c:pt>
                <c:pt idx="74">
                  <c:v>53.569585495726827</c:v>
                </c:pt>
                <c:pt idx="75">
                  <c:v>137.3255716926968</c:v>
                </c:pt>
                <c:pt idx="76">
                  <c:v>215.50477463428348</c:v>
                </c:pt>
                <c:pt idx="77">
                  <c:v>249.24647468320023</c:v>
                </c:pt>
                <c:pt idx="78">
                  <c:v>86.511967237679031</c:v>
                </c:pt>
                <c:pt idx="79">
                  <c:v>181.77609619283484</c:v>
                </c:pt>
                <c:pt idx="80">
                  <c:v>304.82521997287756</c:v>
                </c:pt>
                <c:pt idx="81">
                  <c:v>243.99979159762827</c:v>
                </c:pt>
                <c:pt idx="82">
                  <c:v>368.27580478665686</c:v>
                </c:pt>
                <c:pt idx="83">
                  <c:v>275.10494891693446</c:v>
                </c:pt>
                <c:pt idx="84">
                  <c:v>147.72395224764526</c:v>
                </c:pt>
                <c:pt idx="85">
                  <c:v>263.07302556348304</c:v>
                </c:pt>
                <c:pt idx="86">
                  <c:v>76.571400838212909</c:v>
                </c:pt>
                <c:pt idx="87">
                  <c:v>113.04237983425256</c:v>
                </c:pt>
                <c:pt idx="88">
                  <c:v>195.75088216471295</c:v>
                </c:pt>
                <c:pt idx="89">
                  <c:v>237.57506743311319</c:v>
                </c:pt>
                <c:pt idx="90">
                  <c:v>57.67580975047634</c:v>
                </c:pt>
                <c:pt idx="91">
                  <c:v>91.126420958234661</c:v>
                </c:pt>
                <c:pt idx="92">
                  <c:v>421.88317845053245</c:v>
                </c:pt>
                <c:pt idx="93">
                  <c:v>282.59458223544459</c:v>
                </c:pt>
                <c:pt idx="94">
                  <c:v>135.02052085907664</c:v>
                </c:pt>
                <c:pt idx="95">
                  <c:v>318.05905375586377</c:v>
                </c:pt>
                <c:pt idx="96">
                  <c:v>189.94075854636486</c:v>
                </c:pt>
                <c:pt idx="97">
                  <c:v>91.09847426685819</c:v>
                </c:pt>
                <c:pt idx="98">
                  <c:v>153.04937479598465</c:v>
                </c:pt>
                <c:pt idx="99">
                  <c:v>303.14506187604161</c:v>
                </c:pt>
                <c:pt idx="100">
                  <c:v>400.85843144257302</c:v>
                </c:pt>
                <c:pt idx="101">
                  <c:v>127.47710324394664</c:v>
                </c:pt>
                <c:pt idx="102">
                  <c:v>530.79586285607218</c:v>
                </c:pt>
                <c:pt idx="103">
                  <c:v>199.10802424511709</c:v>
                </c:pt>
                <c:pt idx="104">
                  <c:v>165.00109127523211</c:v>
                </c:pt>
                <c:pt idx="105">
                  <c:v>263.699399534208</c:v>
                </c:pt>
                <c:pt idx="106">
                  <c:v>363.60280624890959</c:v>
                </c:pt>
                <c:pt idx="107">
                  <c:v>145.08367103729995</c:v>
                </c:pt>
                <c:pt idx="108">
                  <c:v>104.09274937306776</c:v>
                </c:pt>
                <c:pt idx="109">
                  <c:v>269.54770442233445</c:v>
                </c:pt>
                <c:pt idx="110">
                  <c:v>79.99519450510688</c:v>
                </c:pt>
                <c:pt idx="111">
                  <c:v>173.98195540037798</c:v>
                </c:pt>
                <c:pt idx="112">
                  <c:v>101.4351413176027</c:v>
                </c:pt>
                <c:pt idx="113">
                  <c:v>61.300708616873145</c:v>
                </c:pt>
                <c:pt idx="114">
                  <c:v>93.305916295604149</c:v>
                </c:pt>
                <c:pt idx="115">
                  <c:v>291.29936149102667</c:v>
                </c:pt>
                <c:pt idx="116">
                  <c:v>104.99262553071929</c:v>
                </c:pt>
                <c:pt idx="117">
                  <c:v>409.83807440334283</c:v>
                </c:pt>
                <c:pt idx="118">
                  <c:v>609.06080242994358</c:v>
                </c:pt>
                <c:pt idx="119">
                  <c:v>64.399825077740502</c:v>
                </c:pt>
                <c:pt idx="120">
                  <c:v>52.640836946314536</c:v>
                </c:pt>
                <c:pt idx="121">
                  <c:v>267.01995950378807</c:v>
                </c:pt>
                <c:pt idx="122">
                  <c:v>24.495405275781966</c:v>
                </c:pt>
                <c:pt idx="123">
                  <c:v>129.89899612530306</c:v>
                </c:pt>
                <c:pt idx="124">
                  <c:v>244.47388274882681</c:v>
                </c:pt>
                <c:pt idx="125">
                  <c:v>518.41275346454665</c:v>
                </c:pt>
                <c:pt idx="126">
                  <c:v>54.864673868890051</c:v>
                </c:pt>
                <c:pt idx="127">
                  <c:v>314.3851596958998</c:v>
                </c:pt>
                <c:pt idx="128">
                  <c:v>118.49386542417216</c:v>
                </c:pt>
                <c:pt idx="129">
                  <c:v>262.18777515883733</c:v>
                </c:pt>
                <c:pt idx="130">
                  <c:v>295.98558714805</c:v>
                </c:pt>
                <c:pt idx="131">
                  <c:v>155.56466491599488</c:v>
                </c:pt>
                <c:pt idx="132">
                  <c:v>91.042516449709609</c:v>
                </c:pt>
                <c:pt idx="133">
                  <c:v>125.16172981025613</c:v>
                </c:pt>
                <c:pt idx="134">
                  <c:v>758.70913348318982</c:v>
                </c:pt>
                <c:pt idx="135">
                  <c:v>39.816290578136389</c:v>
                </c:pt>
                <c:pt idx="136">
                  <c:v>174.27105836614768</c:v>
                </c:pt>
                <c:pt idx="137">
                  <c:v>337.78440969070459</c:v>
                </c:pt>
                <c:pt idx="138">
                  <c:v>139.93260202207759</c:v>
                </c:pt>
                <c:pt idx="139">
                  <c:v>193.89440336580688</c:v>
                </c:pt>
                <c:pt idx="140">
                  <c:v>69.918183453550057</c:v>
                </c:pt>
                <c:pt idx="141">
                  <c:v>135.97140214428029</c:v>
                </c:pt>
                <c:pt idx="142">
                  <c:v>207.17199847520192</c:v>
                </c:pt>
                <c:pt idx="143">
                  <c:v>239.13172359393531</c:v>
                </c:pt>
                <c:pt idx="144">
                  <c:v>52.588208276031345</c:v>
                </c:pt>
                <c:pt idx="145">
                  <c:v>124.50586073245071</c:v>
                </c:pt>
                <c:pt idx="146">
                  <c:v>38.456792620652955</c:v>
                </c:pt>
                <c:pt idx="147">
                  <c:v>395.56845693703696</c:v>
                </c:pt>
                <c:pt idx="148">
                  <c:v>47.46299773866486</c:v>
                </c:pt>
                <c:pt idx="149">
                  <c:v>233.00887580056826</c:v>
                </c:pt>
                <c:pt idx="150">
                  <c:v>160.98525670046152</c:v>
                </c:pt>
                <c:pt idx="151">
                  <c:v>286.14818311751372</c:v>
                </c:pt>
                <c:pt idx="152">
                  <c:v>182.28120855761958</c:v>
                </c:pt>
                <c:pt idx="153">
                  <c:v>227.70031955737542</c:v>
                </c:pt>
                <c:pt idx="154">
                  <c:v>148.20130046183587</c:v>
                </c:pt>
                <c:pt idx="155">
                  <c:v>276.48161058586123</c:v>
                </c:pt>
                <c:pt idx="156">
                  <c:v>83.830003884237286</c:v>
                </c:pt>
                <c:pt idx="157">
                  <c:v>646.88254206060481</c:v>
                </c:pt>
                <c:pt idx="158">
                  <c:v>183.42412081844572</c:v>
                </c:pt>
                <c:pt idx="159">
                  <c:v>78.935571567189413</c:v>
                </c:pt>
                <c:pt idx="160">
                  <c:v>758.04491351587365</c:v>
                </c:pt>
                <c:pt idx="161">
                  <c:v>140.38787973190475</c:v>
                </c:pt>
                <c:pt idx="162">
                  <c:v>178.35391331394274</c:v>
                </c:pt>
                <c:pt idx="163">
                  <c:v>643.74499004566496</c:v>
                </c:pt>
                <c:pt idx="164">
                  <c:v>740.3390883599285</c:v>
                </c:pt>
                <c:pt idx="165">
                  <c:v>72.473818622258193</c:v>
                </c:pt>
                <c:pt idx="166">
                  <c:v>201.85851888346687</c:v>
                </c:pt>
                <c:pt idx="167">
                  <c:v>96.769362792609058</c:v>
                </c:pt>
                <c:pt idx="168">
                  <c:v>114.08216244206844</c:v>
                </c:pt>
              </c:numCache>
            </c:numRef>
          </c:xVal>
          <c:yVal>
            <c:numRef>
              <c:f>DATA!$AN$7:$AN$175</c:f>
              <c:numCache>
                <c:formatCode>_(* #,##0_);_(* \(#,##0\);_(* "-"??_);_(@_)</c:formatCode>
                <c:ptCount val="169"/>
                <c:pt idx="0">
                  <c:v>197.15161515369647</c:v>
                </c:pt>
                <c:pt idx="1">
                  <c:v>141.36509223062805</c:v>
                </c:pt>
                <c:pt idx="2">
                  <c:v>162.86295347653333</c:v>
                </c:pt>
                <c:pt idx="3">
                  <c:v>433.89301110278456</c:v>
                </c:pt>
                <c:pt idx="4">
                  <c:v>191.96579396504944</c:v>
                </c:pt>
                <c:pt idx="5">
                  <c:v>193.11961542506305</c:v>
                </c:pt>
                <c:pt idx="6">
                  <c:v>351.47865113385171</c:v>
                </c:pt>
                <c:pt idx="7">
                  <c:v>254.79373688586313</c:v>
                </c:pt>
                <c:pt idx="8">
                  <c:v>263.38165826376536</c:v>
                </c:pt>
                <c:pt idx="9">
                  <c:v>174.74156206125929</c:v>
                </c:pt>
                <c:pt idx="10">
                  <c:v>562.078759395524</c:v>
                </c:pt>
                <c:pt idx="11">
                  <c:v>240.01760058804524</c:v>
                </c:pt>
                <c:pt idx="12">
                  <c:v>223.396644906029</c:v>
                </c:pt>
                <c:pt idx="13">
                  <c:v>283.36419267850175</c:v>
                </c:pt>
                <c:pt idx="14">
                  <c:v>151.9866688575249</c:v>
                </c:pt>
                <c:pt idx="15">
                  <c:v>191.22089580415712</c:v>
                </c:pt>
                <c:pt idx="16">
                  <c:v>255.96708684817406</c:v>
                </c:pt>
                <c:pt idx="17">
                  <c:v>282.39859820522827</c:v>
                </c:pt>
                <c:pt idx="18">
                  <c:v>138.45050159417815</c:v>
                </c:pt>
                <c:pt idx="19">
                  <c:v>250.70833967203262</c:v>
                </c:pt>
                <c:pt idx="20">
                  <c:v>505.46132002914857</c:v>
                </c:pt>
                <c:pt idx="21">
                  <c:v>139.45400862221874</c:v>
                </c:pt>
                <c:pt idx="22">
                  <c:v>279.17001255252296</c:v>
                </c:pt>
                <c:pt idx="23">
                  <c:v>126.66899998922375</c:v>
                </c:pt>
                <c:pt idx="24">
                  <c:v>373.07204671686389</c:v>
                </c:pt>
                <c:pt idx="25">
                  <c:v>306.14952763087524</c:v>
                </c:pt>
                <c:pt idx="26">
                  <c:v>213.23473451718289</c:v>
                </c:pt>
                <c:pt idx="27">
                  <c:v>217.58554983159047</c:v>
                </c:pt>
                <c:pt idx="28">
                  <c:v>128.53408628916333</c:v>
                </c:pt>
                <c:pt idx="29">
                  <c:v>193.99929518510706</c:v>
                </c:pt>
                <c:pt idx="30">
                  <c:v>139.08227445323209</c:v>
                </c:pt>
                <c:pt idx="31">
                  <c:v>180.45791835164258</c:v>
                </c:pt>
                <c:pt idx="32">
                  <c:v>298.93075873834198</c:v>
                </c:pt>
                <c:pt idx="33">
                  <c:v>290.42846467375932</c:v>
                </c:pt>
                <c:pt idx="34">
                  <c:v>415.67779162072759</c:v>
                </c:pt>
                <c:pt idx="35">
                  <c:v>251.14606434046723</c:v>
                </c:pt>
                <c:pt idx="36">
                  <c:v>187.78874266301744</c:v>
                </c:pt>
                <c:pt idx="37">
                  <c:v>271.55341714140292</c:v>
                </c:pt>
                <c:pt idx="38">
                  <c:v>429.53673902510388</c:v>
                </c:pt>
                <c:pt idx="39">
                  <c:v>181.33935511401725</c:v>
                </c:pt>
                <c:pt idx="40">
                  <c:v>202.50481932015401</c:v>
                </c:pt>
                <c:pt idx="41">
                  <c:v>313.80890810168171</c:v>
                </c:pt>
                <c:pt idx="42">
                  <c:v>155.51044443867403</c:v>
                </c:pt>
                <c:pt idx="43">
                  <c:v>221.44370574337134</c:v>
                </c:pt>
                <c:pt idx="44">
                  <c:v>278.03540043088361</c:v>
                </c:pt>
                <c:pt idx="45">
                  <c:v>215.79678867651072</c:v>
                </c:pt>
                <c:pt idx="46">
                  <c:v>286.83919646388983</c:v>
                </c:pt>
                <c:pt idx="47">
                  <c:v>238.26955953509864</c:v>
                </c:pt>
                <c:pt idx="48">
                  <c:v>236.99514755347809</c:v>
                </c:pt>
                <c:pt idx="49">
                  <c:v>373.18030636658779</c:v>
                </c:pt>
                <c:pt idx="50">
                  <c:v>370.12051859742127</c:v>
                </c:pt>
                <c:pt idx="51">
                  <c:v>728.36610920969633</c:v>
                </c:pt>
                <c:pt idx="52">
                  <c:v>298.69269293721607</c:v>
                </c:pt>
                <c:pt idx="53">
                  <c:v>404.19490535812866</c:v>
                </c:pt>
                <c:pt idx="54">
                  <c:v>192.88694402268089</c:v>
                </c:pt>
                <c:pt idx="55">
                  <c:v>240.51144534337288</c:v>
                </c:pt>
                <c:pt idx="56">
                  <c:v>706.15264784447322</c:v>
                </c:pt>
                <c:pt idx="57">
                  <c:v>129.95925317868372</c:v>
                </c:pt>
                <c:pt idx="58">
                  <c:v>385.32472290336574</c:v>
                </c:pt>
                <c:pt idx="59">
                  <c:v>289.93870826446624</c:v>
                </c:pt>
                <c:pt idx="60">
                  <c:v>209.67534576885018</c:v>
                </c:pt>
                <c:pt idx="61">
                  <c:v>207.09352737878564</c:v>
                </c:pt>
                <c:pt idx="62">
                  <c:v>154.95659388025143</c:v>
                </c:pt>
                <c:pt idx="63">
                  <c:v>455.51273343630015</c:v>
                </c:pt>
                <c:pt idx="64">
                  <c:v>139.2569828896211</c:v>
                </c:pt>
                <c:pt idx="65">
                  <c:v>201.98791210590633</c:v>
                </c:pt>
                <c:pt idx="66">
                  <c:v>227.84983336101854</c:v>
                </c:pt>
                <c:pt idx="67">
                  <c:v>211.85297592096092</c:v>
                </c:pt>
                <c:pt idx="68">
                  <c:v>212.8151650805161</c:v>
                </c:pt>
                <c:pt idx="69">
                  <c:v>212.95376026379324</c:v>
                </c:pt>
                <c:pt idx="70">
                  <c:v>173.8853217522605</c:v>
                </c:pt>
                <c:pt idx="71">
                  <c:v>277.72700688918457</c:v>
                </c:pt>
                <c:pt idx="72">
                  <c:v>177.77897190354341</c:v>
                </c:pt>
                <c:pt idx="73">
                  <c:v>245.94870677386885</c:v>
                </c:pt>
                <c:pt idx="74">
                  <c:v>174.99954263289968</c:v>
                </c:pt>
                <c:pt idx="75">
                  <c:v>284.80357061644838</c:v>
                </c:pt>
                <c:pt idx="76">
                  <c:v>245.60785670978356</c:v>
                </c:pt>
                <c:pt idx="77">
                  <c:v>199.85469270995219</c:v>
                </c:pt>
                <c:pt idx="78">
                  <c:v>239.77778799069472</c:v>
                </c:pt>
                <c:pt idx="79">
                  <c:v>196.67057995207486</c:v>
                </c:pt>
                <c:pt idx="80">
                  <c:v>366.56846817170612</c:v>
                </c:pt>
                <c:pt idx="81">
                  <c:v>293.35576829979419</c:v>
                </c:pt>
                <c:pt idx="82">
                  <c:v>319.2046724159955</c:v>
                </c:pt>
                <c:pt idx="83">
                  <c:v>310.05099457970954</c:v>
                </c:pt>
                <c:pt idx="84">
                  <c:v>280.34953269326263</c:v>
                </c:pt>
                <c:pt idx="85">
                  <c:v>243.19327550339287</c:v>
                </c:pt>
                <c:pt idx="86">
                  <c:v>173.0952960789279</c:v>
                </c:pt>
                <c:pt idx="87">
                  <c:v>174.89543344416307</c:v>
                </c:pt>
                <c:pt idx="88">
                  <c:v>177.23401717301439</c:v>
                </c:pt>
                <c:pt idx="89">
                  <c:v>461.66148002752101</c:v>
                </c:pt>
                <c:pt idx="90">
                  <c:v>152.5013768433075</c:v>
                </c:pt>
                <c:pt idx="91">
                  <c:v>216.40392758498606</c:v>
                </c:pt>
                <c:pt idx="92">
                  <c:v>292.7119924550733</c:v>
                </c:pt>
                <c:pt idx="93">
                  <c:v>221.67241091953221</c:v>
                </c:pt>
                <c:pt idx="94">
                  <c:v>210.06503622736628</c:v>
                </c:pt>
                <c:pt idx="95">
                  <c:v>306.80385924067622</c:v>
                </c:pt>
                <c:pt idx="96">
                  <c:v>305.15067113768316</c:v>
                </c:pt>
                <c:pt idx="97">
                  <c:v>166.69529909531943</c:v>
                </c:pt>
                <c:pt idx="98">
                  <c:v>226.90891187589281</c:v>
                </c:pt>
                <c:pt idx="99">
                  <c:v>203.36231726953019</c:v>
                </c:pt>
                <c:pt idx="100">
                  <c:v>369.44112679360427</c:v>
                </c:pt>
                <c:pt idx="101">
                  <c:v>198.17560343929028</c:v>
                </c:pt>
                <c:pt idx="102">
                  <c:v>438.6325367122293</c:v>
                </c:pt>
                <c:pt idx="103">
                  <c:v>190.91502968027064</c:v>
                </c:pt>
                <c:pt idx="104">
                  <c:v>280.80453554598654</c:v>
                </c:pt>
                <c:pt idx="105">
                  <c:v>310.17407177011285</c:v>
                </c:pt>
                <c:pt idx="106">
                  <c:v>385.53492665242163</c:v>
                </c:pt>
                <c:pt idx="107">
                  <c:v>256.24619977875147</c:v>
                </c:pt>
                <c:pt idx="108">
                  <c:v>145.58937353674003</c:v>
                </c:pt>
                <c:pt idx="109">
                  <c:v>274.09980302393171</c:v>
                </c:pt>
                <c:pt idx="110">
                  <c:v>171.70833554176653</c:v>
                </c:pt>
                <c:pt idx="111">
                  <c:v>228.27331671228268</c:v>
                </c:pt>
                <c:pt idx="112">
                  <c:v>218.46437580890364</c:v>
                </c:pt>
                <c:pt idx="113">
                  <c:v>155.91540498127713</c:v>
                </c:pt>
                <c:pt idx="114">
                  <c:v>209.36875957482286</c:v>
                </c:pt>
                <c:pt idx="115">
                  <c:v>224.49623038760666</c:v>
                </c:pt>
                <c:pt idx="116">
                  <c:v>286.01727101596373</c:v>
                </c:pt>
                <c:pt idx="117">
                  <c:v>488.98226758873955</c:v>
                </c:pt>
                <c:pt idx="118">
                  <c:v>489.64282181357311</c:v>
                </c:pt>
                <c:pt idx="119">
                  <c:v>197.21167332352351</c:v>
                </c:pt>
                <c:pt idx="120">
                  <c:v>203.30521912069761</c:v>
                </c:pt>
                <c:pt idx="121">
                  <c:v>251.65058989781653</c:v>
                </c:pt>
                <c:pt idx="122">
                  <c:v>103.68284547064891</c:v>
                </c:pt>
                <c:pt idx="123">
                  <c:v>218.3025708943089</c:v>
                </c:pt>
                <c:pt idx="124">
                  <c:v>227.55626101810299</c:v>
                </c:pt>
                <c:pt idx="125">
                  <c:v>446.18021511948422</c:v>
                </c:pt>
                <c:pt idx="126">
                  <c:v>148.20658010056897</c:v>
                </c:pt>
                <c:pt idx="127">
                  <c:v>434.11513075426814</c:v>
                </c:pt>
                <c:pt idx="128">
                  <c:v>184.42105613031976</c:v>
                </c:pt>
                <c:pt idx="129">
                  <c:v>330.65615694586279</c:v>
                </c:pt>
                <c:pt idx="130">
                  <c:v>328.65383684083571</c:v>
                </c:pt>
                <c:pt idx="131">
                  <c:v>244.7863514443406</c:v>
                </c:pt>
                <c:pt idx="132">
                  <c:v>165.47973008016038</c:v>
                </c:pt>
                <c:pt idx="133">
                  <c:v>186.86093509402002</c:v>
                </c:pt>
                <c:pt idx="134">
                  <c:v>585.1859097862249</c:v>
                </c:pt>
                <c:pt idx="135">
                  <c:v>100.93554249486129</c:v>
                </c:pt>
                <c:pt idx="136">
                  <c:v>205.82765111336465</c:v>
                </c:pt>
                <c:pt idx="137">
                  <c:v>313.6313883275206</c:v>
                </c:pt>
                <c:pt idx="138">
                  <c:v>221.61792479695728</c:v>
                </c:pt>
                <c:pt idx="139">
                  <c:v>234.56449866455301</c:v>
                </c:pt>
                <c:pt idx="140">
                  <c:v>95.971411918243888</c:v>
                </c:pt>
                <c:pt idx="141">
                  <c:v>264.95321876206907</c:v>
                </c:pt>
                <c:pt idx="142">
                  <c:v>214.31246546254985</c:v>
                </c:pt>
                <c:pt idx="143">
                  <c:v>316.82293073386074</c:v>
                </c:pt>
                <c:pt idx="144">
                  <c:v>117.18496337223722</c:v>
                </c:pt>
                <c:pt idx="145">
                  <c:v>204.01989570026461</c:v>
                </c:pt>
                <c:pt idx="146">
                  <c:v>124.75755455408978</c:v>
                </c:pt>
                <c:pt idx="147">
                  <c:v>354.43850319741762</c:v>
                </c:pt>
                <c:pt idx="148">
                  <c:v>118.07255580721561</c:v>
                </c:pt>
                <c:pt idx="149">
                  <c:v>267.2506090080899</c:v>
                </c:pt>
                <c:pt idx="150">
                  <c:v>155.04677996746395</c:v>
                </c:pt>
                <c:pt idx="151">
                  <c:v>294.23868075373116</c:v>
                </c:pt>
                <c:pt idx="152">
                  <c:v>239.83221244994337</c:v>
                </c:pt>
                <c:pt idx="153">
                  <c:v>328.59260327157148</c:v>
                </c:pt>
                <c:pt idx="154">
                  <c:v>168.43143947051453</c:v>
                </c:pt>
                <c:pt idx="155">
                  <c:v>291.29537997722645</c:v>
                </c:pt>
                <c:pt idx="156">
                  <c:v>353.98025718926897</c:v>
                </c:pt>
                <c:pt idx="157">
                  <c:v>678.19660707819889</c:v>
                </c:pt>
                <c:pt idx="158">
                  <c:v>267.41294452380066</c:v>
                </c:pt>
                <c:pt idx="159">
                  <c:v>173.36510792909925</c:v>
                </c:pt>
                <c:pt idx="160">
                  <c:v>710.24315962669505</c:v>
                </c:pt>
                <c:pt idx="161">
                  <c:v>179.88686249031184</c:v>
                </c:pt>
                <c:pt idx="162">
                  <c:v>160.54428767208091</c:v>
                </c:pt>
                <c:pt idx="163">
                  <c:v>489.52250575689118</c:v>
                </c:pt>
                <c:pt idx="164">
                  <c:v>529.32429829220337</c:v>
                </c:pt>
                <c:pt idx="165">
                  <c:v>181.53241042494869</c:v>
                </c:pt>
                <c:pt idx="166">
                  <c:v>367.7051095621876</c:v>
                </c:pt>
                <c:pt idx="167">
                  <c:v>213.56873744655715</c:v>
                </c:pt>
                <c:pt idx="168">
                  <c:v>173.16481575163598</c:v>
                </c:pt>
              </c:numCache>
            </c:numRef>
          </c:yVal>
          <c:smooth val="0"/>
        </c:ser>
        <c:ser>
          <c:idx val="1"/>
          <c:order val="1"/>
          <c:spPr>
            <a:ln w="25400" cap="rnd">
              <a:solidFill>
                <a:schemeClr val="accent1"/>
              </a:solidFill>
              <a:round/>
            </a:ln>
            <a:effectLst/>
          </c:spPr>
          <c:marker>
            <c:symbol val="none"/>
          </c:marker>
          <c:xVal>
            <c:numRef>
              <c:f>DATA!$AJ$7:$AJ$176</c:f>
              <c:numCache>
                <c:formatCode>#,##0_);\(#,##0\)</c:formatCode>
                <c:ptCount val="170"/>
                <c:pt idx="0">
                  <c:v>50.348866828517806</c:v>
                </c:pt>
                <c:pt idx="1">
                  <c:v>71.200265442646412</c:v>
                </c:pt>
                <c:pt idx="2">
                  <c:v>52.482901492687034</c:v>
                </c:pt>
                <c:pt idx="3">
                  <c:v>223.14108870089885</c:v>
                </c:pt>
                <c:pt idx="4">
                  <c:v>69.274490774522036</c:v>
                </c:pt>
                <c:pt idx="5">
                  <c:v>79.312199295164362</c:v>
                </c:pt>
                <c:pt idx="6">
                  <c:v>347.90026144330318</c:v>
                </c:pt>
                <c:pt idx="7">
                  <c:v>115.11947716803809</c:v>
                </c:pt>
                <c:pt idx="8">
                  <c:v>212.58746530337859</c:v>
                </c:pt>
                <c:pt idx="9">
                  <c:v>75.205524862075023</c:v>
                </c:pt>
                <c:pt idx="10">
                  <c:v>793.15338404394697</c:v>
                </c:pt>
                <c:pt idx="11">
                  <c:v>116.54293849234347</c:v>
                </c:pt>
                <c:pt idx="12">
                  <c:v>193.84408897659327</c:v>
                </c:pt>
                <c:pt idx="13">
                  <c:v>226.16426897067396</c:v>
                </c:pt>
                <c:pt idx="14">
                  <c:v>165.75455011784041</c:v>
                </c:pt>
                <c:pt idx="15">
                  <c:v>77.778551812159066</c:v>
                </c:pt>
                <c:pt idx="16">
                  <c:v>252.44797838602003</c:v>
                </c:pt>
                <c:pt idx="17">
                  <c:v>207.98911814589269</c:v>
                </c:pt>
                <c:pt idx="18">
                  <c:v>75.705767188946126</c:v>
                </c:pt>
                <c:pt idx="19">
                  <c:v>47.057847887568229</c:v>
                </c:pt>
                <c:pt idx="20">
                  <c:v>384.6883791148403</c:v>
                </c:pt>
                <c:pt idx="21">
                  <c:v>34.621472046768901</c:v>
                </c:pt>
                <c:pt idx="22">
                  <c:v>137.14574766777585</c:v>
                </c:pt>
                <c:pt idx="23">
                  <c:v>46.696111284497839</c:v>
                </c:pt>
                <c:pt idx="24">
                  <c:v>351.458328241988</c:v>
                </c:pt>
                <c:pt idx="25">
                  <c:v>292.3555042995016</c:v>
                </c:pt>
                <c:pt idx="26">
                  <c:v>123.98677237320874</c:v>
                </c:pt>
                <c:pt idx="27">
                  <c:v>105.74961197750611</c:v>
                </c:pt>
                <c:pt idx="28">
                  <c:v>37.09683616756238</c:v>
                </c:pt>
                <c:pt idx="29">
                  <c:v>73.029888440375075</c:v>
                </c:pt>
                <c:pt idx="30">
                  <c:v>101.96291158320528</c:v>
                </c:pt>
                <c:pt idx="31">
                  <c:v>44.728500904312426</c:v>
                </c:pt>
                <c:pt idx="32">
                  <c:v>221.35087135181988</c:v>
                </c:pt>
                <c:pt idx="33">
                  <c:v>354.12226337800769</c:v>
                </c:pt>
                <c:pt idx="34">
                  <c:v>274.49938920410239</c:v>
                </c:pt>
                <c:pt idx="35">
                  <c:v>162.13451861615906</c:v>
                </c:pt>
                <c:pt idx="36">
                  <c:v>145.41016554938435</c:v>
                </c:pt>
                <c:pt idx="37">
                  <c:v>145.69081571942971</c:v>
                </c:pt>
                <c:pt idx="38">
                  <c:v>457.86184374837524</c:v>
                </c:pt>
                <c:pt idx="39">
                  <c:v>63.601852511127902</c:v>
                </c:pt>
                <c:pt idx="40">
                  <c:v>61.872864859490299</c:v>
                </c:pt>
                <c:pt idx="41">
                  <c:v>420.15444774497428</c:v>
                </c:pt>
                <c:pt idx="42">
                  <c:v>90.670519704923194</c:v>
                </c:pt>
                <c:pt idx="43">
                  <c:v>128.382928011871</c:v>
                </c:pt>
                <c:pt idx="44">
                  <c:v>271.16007787583055</c:v>
                </c:pt>
                <c:pt idx="45">
                  <c:v>187.78314353223766</c:v>
                </c:pt>
                <c:pt idx="46">
                  <c:v>68.294373192936291</c:v>
                </c:pt>
                <c:pt idx="47">
                  <c:v>95.444328689377087</c:v>
                </c:pt>
                <c:pt idx="48">
                  <c:v>236.21056461251874</c:v>
                </c:pt>
                <c:pt idx="49">
                  <c:v>349.24235245240192</c:v>
                </c:pt>
                <c:pt idx="50">
                  <c:v>288.13170413031094</c:v>
                </c:pt>
                <c:pt idx="51">
                  <c:v>871.65476486630041</c:v>
                </c:pt>
                <c:pt idx="52">
                  <c:v>297.84107098125645</c:v>
                </c:pt>
                <c:pt idx="53">
                  <c:v>297.49998007202095</c:v>
                </c:pt>
                <c:pt idx="54">
                  <c:v>47.387162327382825</c:v>
                </c:pt>
                <c:pt idx="55">
                  <c:v>80.922386773893791</c:v>
                </c:pt>
                <c:pt idx="56">
                  <c:v>810.08618157012847</c:v>
                </c:pt>
                <c:pt idx="57">
                  <c:v>40.614029546438069</c:v>
                </c:pt>
                <c:pt idx="58">
                  <c:v>520.93288143279801</c:v>
                </c:pt>
                <c:pt idx="59">
                  <c:v>182.82382552580268</c:v>
                </c:pt>
                <c:pt idx="60">
                  <c:v>71.269718238101817</c:v>
                </c:pt>
                <c:pt idx="61">
                  <c:v>158.12974799378316</c:v>
                </c:pt>
                <c:pt idx="62">
                  <c:v>29.898995119721118</c:v>
                </c:pt>
                <c:pt idx="63">
                  <c:v>767.10393365313269</c:v>
                </c:pt>
                <c:pt idx="64">
                  <c:v>22.413252065010155</c:v>
                </c:pt>
                <c:pt idx="65">
                  <c:v>63.69692195256102</c:v>
                </c:pt>
                <c:pt idx="66">
                  <c:v>71.286915840473455</c:v>
                </c:pt>
                <c:pt idx="67">
                  <c:v>202.65132318365789</c:v>
                </c:pt>
                <c:pt idx="68">
                  <c:v>240.92210956717295</c:v>
                </c:pt>
                <c:pt idx="69">
                  <c:v>57.891373609896213</c:v>
                </c:pt>
                <c:pt idx="70">
                  <c:v>68.989519114154788</c:v>
                </c:pt>
                <c:pt idx="71">
                  <c:v>275.39889708500056</c:v>
                </c:pt>
                <c:pt idx="72">
                  <c:v>104.16383873002437</c:v>
                </c:pt>
                <c:pt idx="73">
                  <c:v>189.00160861824088</c:v>
                </c:pt>
                <c:pt idx="74">
                  <c:v>53.569585495726827</c:v>
                </c:pt>
                <c:pt idx="75">
                  <c:v>137.3255716926968</c:v>
                </c:pt>
                <c:pt idx="76">
                  <c:v>215.50477463428348</c:v>
                </c:pt>
                <c:pt idx="77">
                  <c:v>249.24647468320023</c:v>
                </c:pt>
                <c:pt idx="78">
                  <c:v>86.511967237679031</c:v>
                </c:pt>
                <c:pt idx="79">
                  <c:v>181.77609619283484</c:v>
                </c:pt>
                <c:pt idx="80">
                  <c:v>304.82521997287756</c:v>
                </c:pt>
                <c:pt idx="81">
                  <c:v>243.99979159762827</c:v>
                </c:pt>
                <c:pt idx="82">
                  <c:v>368.27580478665686</c:v>
                </c:pt>
                <c:pt idx="83">
                  <c:v>275.10494891693446</c:v>
                </c:pt>
                <c:pt idx="84">
                  <c:v>147.72395224764526</c:v>
                </c:pt>
                <c:pt idx="85">
                  <c:v>263.07302556348304</c:v>
                </c:pt>
                <c:pt idx="86">
                  <c:v>76.571400838212909</c:v>
                </c:pt>
                <c:pt idx="87">
                  <c:v>113.04237983425256</c:v>
                </c:pt>
                <c:pt idx="88">
                  <c:v>195.75088216471295</c:v>
                </c:pt>
                <c:pt idx="89">
                  <c:v>237.57506743311319</c:v>
                </c:pt>
                <c:pt idx="90">
                  <c:v>57.67580975047634</c:v>
                </c:pt>
                <c:pt idx="91">
                  <c:v>91.126420958234661</c:v>
                </c:pt>
                <c:pt idx="92">
                  <c:v>421.88317845053245</c:v>
                </c:pt>
                <c:pt idx="93">
                  <c:v>282.59458223544459</c:v>
                </c:pt>
                <c:pt idx="94">
                  <c:v>135.02052085907664</c:v>
                </c:pt>
                <c:pt idx="95">
                  <c:v>318.05905375586377</c:v>
                </c:pt>
                <c:pt idx="96">
                  <c:v>189.94075854636486</c:v>
                </c:pt>
                <c:pt idx="97">
                  <c:v>91.09847426685819</c:v>
                </c:pt>
                <c:pt idx="98">
                  <c:v>153.04937479598465</c:v>
                </c:pt>
                <c:pt idx="99">
                  <c:v>303.14506187604161</c:v>
                </c:pt>
                <c:pt idx="100">
                  <c:v>400.85843144257302</c:v>
                </c:pt>
                <c:pt idx="101">
                  <c:v>127.47710324394664</c:v>
                </c:pt>
                <c:pt idx="102">
                  <c:v>530.79586285607218</c:v>
                </c:pt>
                <c:pt idx="103">
                  <c:v>199.10802424511709</c:v>
                </c:pt>
                <c:pt idx="104">
                  <c:v>165.00109127523211</c:v>
                </c:pt>
                <c:pt idx="105">
                  <c:v>263.699399534208</c:v>
                </c:pt>
                <c:pt idx="106">
                  <c:v>363.60280624890959</c:v>
                </c:pt>
                <c:pt idx="107">
                  <c:v>145.08367103729995</c:v>
                </c:pt>
                <c:pt idx="108">
                  <c:v>104.09274937306776</c:v>
                </c:pt>
                <c:pt idx="109">
                  <c:v>269.54770442233445</c:v>
                </c:pt>
                <c:pt idx="110">
                  <c:v>79.99519450510688</c:v>
                </c:pt>
                <c:pt idx="111">
                  <c:v>173.98195540037798</c:v>
                </c:pt>
                <c:pt idx="112">
                  <c:v>101.4351413176027</c:v>
                </c:pt>
                <c:pt idx="113">
                  <c:v>61.300708616873145</c:v>
                </c:pt>
                <c:pt idx="114">
                  <c:v>93.305916295604149</c:v>
                </c:pt>
                <c:pt idx="115">
                  <c:v>291.29936149102667</c:v>
                </c:pt>
                <c:pt idx="116">
                  <c:v>104.99262553071929</c:v>
                </c:pt>
                <c:pt idx="117">
                  <c:v>409.83807440334283</c:v>
                </c:pt>
                <c:pt idx="118">
                  <c:v>609.06080242994358</c:v>
                </c:pt>
                <c:pt idx="119">
                  <c:v>64.399825077740502</c:v>
                </c:pt>
                <c:pt idx="120">
                  <c:v>52.640836946314536</c:v>
                </c:pt>
                <c:pt idx="121">
                  <c:v>267.01995950378807</c:v>
                </c:pt>
                <c:pt idx="122">
                  <c:v>24.495405275781966</c:v>
                </c:pt>
                <c:pt idx="123">
                  <c:v>129.89899612530306</c:v>
                </c:pt>
                <c:pt idx="124">
                  <c:v>244.47388274882681</c:v>
                </c:pt>
                <c:pt idx="125">
                  <c:v>518.41275346454665</c:v>
                </c:pt>
                <c:pt idx="126">
                  <c:v>54.864673868890051</c:v>
                </c:pt>
                <c:pt idx="127">
                  <c:v>314.3851596958998</c:v>
                </c:pt>
                <c:pt idx="128">
                  <c:v>118.49386542417216</c:v>
                </c:pt>
                <c:pt idx="129">
                  <c:v>262.18777515883733</c:v>
                </c:pt>
                <c:pt idx="130">
                  <c:v>295.98558714805</c:v>
                </c:pt>
                <c:pt idx="131">
                  <c:v>155.56466491599488</c:v>
                </c:pt>
                <c:pt idx="132">
                  <c:v>91.042516449709609</c:v>
                </c:pt>
                <c:pt idx="133">
                  <c:v>125.16172981025613</c:v>
                </c:pt>
                <c:pt idx="134">
                  <c:v>758.70913348318982</c:v>
                </c:pt>
                <c:pt idx="135">
                  <c:v>39.816290578136389</c:v>
                </c:pt>
                <c:pt idx="136">
                  <c:v>174.27105836614768</c:v>
                </c:pt>
                <c:pt idx="137">
                  <c:v>337.78440969070459</c:v>
                </c:pt>
                <c:pt idx="138">
                  <c:v>139.93260202207759</c:v>
                </c:pt>
                <c:pt idx="139">
                  <c:v>193.89440336580688</c:v>
                </c:pt>
                <c:pt idx="140">
                  <c:v>69.918183453550057</c:v>
                </c:pt>
                <c:pt idx="141">
                  <c:v>135.97140214428029</c:v>
                </c:pt>
                <c:pt idx="142">
                  <c:v>207.17199847520192</c:v>
                </c:pt>
                <c:pt idx="143">
                  <c:v>239.13172359393531</c:v>
                </c:pt>
                <c:pt idx="144">
                  <c:v>52.588208276031345</c:v>
                </c:pt>
                <c:pt idx="145">
                  <c:v>124.50586073245071</c:v>
                </c:pt>
                <c:pt idx="146">
                  <c:v>38.456792620652955</c:v>
                </c:pt>
                <c:pt idx="147">
                  <c:v>395.56845693703696</c:v>
                </c:pt>
                <c:pt idx="148">
                  <c:v>47.46299773866486</c:v>
                </c:pt>
                <c:pt idx="149">
                  <c:v>233.00887580056826</c:v>
                </c:pt>
                <c:pt idx="150">
                  <c:v>160.98525670046152</c:v>
                </c:pt>
                <c:pt idx="151">
                  <c:v>286.14818311751372</c:v>
                </c:pt>
                <c:pt idx="152">
                  <c:v>182.28120855761958</c:v>
                </c:pt>
                <c:pt idx="153">
                  <c:v>227.70031955737542</c:v>
                </c:pt>
                <c:pt idx="154">
                  <c:v>148.20130046183587</c:v>
                </c:pt>
                <c:pt idx="155">
                  <c:v>276.48161058586123</c:v>
                </c:pt>
                <c:pt idx="156">
                  <c:v>83.830003884237286</c:v>
                </c:pt>
                <c:pt idx="157">
                  <c:v>646.88254206060481</c:v>
                </c:pt>
                <c:pt idx="158">
                  <c:v>183.42412081844572</c:v>
                </c:pt>
                <c:pt idx="159">
                  <c:v>78.935571567189413</c:v>
                </c:pt>
                <c:pt idx="160">
                  <c:v>758.04491351587365</c:v>
                </c:pt>
                <c:pt idx="161">
                  <c:v>140.38787973190475</c:v>
                </c:pt>
                <c:pt idx="162">
                  <c:v>178.35391331394274</c:v>
                </c:pt>
                <c:pt idx="163">
                  <c:v>643.74499004566496</c:v>
                </c:pt>
                <c:pt idx="164">
                  <c:v>740.3390883599285</c:v>
                </c:pt>
                <c:pt idx="165">
                  <c:v>72.473818622258193</c:v>
                </c:pt>
                <c:pt idx="166">
                  <c:v>201.85851888346687</c:v>
                </c:pt>
                <c:pt idx="167">
                  <c:v>96.769362792609058</c:v>
                </c:pt>
                <c:pt idx="168">
                  <c:v>114.08216244206844</c:v>
                </c:pt>
                <c:pt idx="169" formatCode="General">
                  <c:v>1000</c:v>
                </c:pt>
              </c:numCache>
            </c:numRef>
          </c:xVal>
          <c:yVal>
            <c:numRef>
              <c:f>DATA!$BA$7:$BA$176</c:f>
              <c:numCache>
                <c:formatCode>General</c:formatCode>
                <c:ptCount val="170"/>
                <c:pt idx="0">
                  <c:v>50.348866828517806</c:v>
                </c:pt>
                <c:pt idx="1">
                  <c:v>71.200265442646412</c:v>
                </c:pt>
                <c:pt idx="2">
                  <c:v>52.482901492687034</c:v>
                </c:pt>
                <c:pt idx="3">
                  <c:v>223.14108870089885</c:v>
                </c:pt>
                <c:pt idx="4">
                  <c:v>69.274490774522036</c:v>
                </c:pt>
                <c:pt idx="5">
                  <c:v>79.312199295164362</c:v>
                </c:pt>
                <c:pt idx="6">
                  <c:v>347.90026144330318</c:v>
                </c:pt>
                <c:pt idx="7">
                  <c:v>115.11947716803809</c:v>
                </c:pt>
                <c:pt idx="8">
                  <c:v>212.58746530337859</c:v>
                </c:pt>
                <c:pt idx="9">
                  <c:v>75.205524862075023</c:v>
                </c:pt>
                <c:pt idx="10">
                  <c:v>793.15338404394697</c:v>
                </c:pt>
                <c:pt idx="11">
                  <c:v>116.54293849234347</c:v>
                </c:pt>
                <c:pt idx="12">
                  <c:v>193.84408897659327</c:v>
                </c:pt>
                <c:pt idx="13">
                  <c:v>226.16426897067396</c:v>
                </c:pt>
                <c:pt idx="14">
                  <c:v>165.75455011784041</c:v>
                </c:pt>
                <c:pt idx="15">
                  <c:v>77.778551812159066</c:v>
                </c:pt>
                <c:pt idx="16">
                  <c:v>252.44797838602003</c:v>
                </c:pt>
                <c:pt idx="17">
                  <c:v>207.98911814589269</c:v>
                </c:pt>
                <c:pt idx="18">
                  <c:v>75.705767188946126</c:v>
                </c:pt>
                <c:pt idx="19">
                  <c:v>47.057847887568229</c:v>
                </c:pt>
                <c:pt idx="20">
                  <c:v>384.6883791148403</c:v>
                </c:pt>
                <c:pt idx="21">
                  <c:v>34.621472046768901</c:v>
                </c:pt>
                <c:pt idx="22">
                  <c:v>137.14574766777585</c:v>
                </c:pt>
                <c:pt idx="23">
                  <c:v>46.696111284497839</c:v>
                </c:pt>
                <c:pt idx="24">
                  <c:v>351.458328241988</c:v>
                </c:pt>
                <c:pt idx="25">
                  <c:v>292.3555042995016</c:v>
                </c:pt>
                <c:pt idx="26">
                  <c:v>123.98677237320874</c:v>
                </c:pt>
                <c:pt idx="27">
                  <c:v>105.74961197750611</c:v>
                </c:pt>
                <c:pt idx="28">
                  <c:v>37.09683616756238</c:v>
                </c:pt>
                <c:pt idx="29">
                  <c:v>73.029888440375075</c:v>
                </c:pt>
                <c:pt idx="30">
                  <c:v>101.96291158320528</c:v>
                </c:pt>
                <c:pt idx="31">
                  <c:v>44.728500904312426</c:v>
                </c:pt>
                <c:pt idx="32">
                  <c:v>221.35087135181988</c:v>
                </c:pt>
                <c:pt idx="33">
                  <c:v>354.12226337800769</c:v>
                </c:pt>
                <c:pt idx="34">
                  <c:v>274.49938920410239</c:v>
                </c:pt>
                <c:pt idx="35">
                  <c:v>162.13451861615906</c:v>
                </c:pt>
                <c:pt idx="36">
                  <c:v>145.41016554938435</c:v>
                </c:pt>
                <c:pt idx="37">
                  <c:v>145.69081571942971</c:v>
                </c:pt>
                <c:pt idx="38">
                  <c:v>457.86184374837524</c:v>
                </c:pt>
                <c:pt idx="39">
                  <c:v>63.601852511127902</c:v>
                </c:pt>
                <c:pt idx="40">
                  <c:v>61.872864859490299</c:v>
                </c:pt>
                <c:pt idx="41">
                  <c:v>420.15444774497428</c:v>
                </c:pt>
                <c:pt idx="42">
                  <c:v>90.670519704923194</c:v>
                </c:pt>
                <c:pt idx="43">
                  <c:v>128.382928011871</c:v>
                </c:pt>
                <c:pt idx="44">
                  <c:v>271.16007787583055</c:v>
                </c:pt>
                <c:pt idx="45">
                  <c:v>187.78314353223766</c:v>
                </c:pt>
                <c:pt idx="46">
                  <c:v>68.294373192936291</c:v>
                </c:pt>
                <c:pt idx="47">
                  <c:v>95.444328689377087</c:v>
                </c:pt>
                <c:pt idx="48">
                  <c:v>236.21056461251874</c:v>
                </c:pt>
                <c:pt idx="49">
                  <c:v>349.24235245240192</c:v>
                </c:pt>
                <c:pt idx="50">
                  <c:v>288.13170413031094</c:v>
                </c:pt>
                <c:pt idx="51">
                  <c:v>871.65476486630041</c:v>
                </c:pt>
                <c:pt idx="52">
                  <c:v>297.84107098125645</c:v>
                </c:pt>
                <c:pt idx="53">
                  <c:v>297.49998007202095</c:v>
                </c:pt>
                <c:pt idx="54">
                  <c:v>47.387162327382825</c:v>
                </c:pt>
                <c:pt idx="55">
                  <c:v>80.922386773893791</c:v>
                </c:pt>
                <c:pt idx="56">
                  <c:v>810.08618157012847</c:v>
                </c:pt>
                <c:pt idx="57">
                  <c:v>40.614029546438069</c:v>
                </c:pt>
                <c:pt idx="58">
                  <c:v>520.93288143279801</c:v>
                </c:pt>
                <c:pt idx="59">
                  <c:v>182.82382552580268</c:v>
                </c:pt>
                <c:pt idx="60">
                  <c:v>71.269718238101817</c:v>
                </c:pt>
                <c:pt idx="61">
                  <c:v>158.12974799378316</c:v>
                </c:pt>
                <c:pt idx="62">
                  <c:v>29.898995119721118</c:v>
                </c:pt>
                <c:pt idx="63">
                  <c:v>767.10393365313269</c:v>
                </c:pt>
                <c:pt idx="64">
                  <c:v>22.413252065010155</c:v>
                </c:pt>
                <c:pt idx="65">
                  <c:v>63.69692195256102</c:v>
                </c:pt>
                <c:pt idx="66">
                  <c:v>71.286915840473455</c:v>
                </c:pt>
                <c:pt idx="67">
                  <c:v>202.65132318365789</c:v>
                </c:pt>
                <c:pt idx="68">
                  <c:v>240.92210956717295</c:v>
                </c:pt>
                <c:pt idx="69">
                  <c:v>57.891373609896213</c:v>
                </c:pt>
                <c:pt idx="70">
                  <c:v>68.989519114154788</c:v>
                </c:pt>
                <c:pt idx="71">
                  <c:v>275.39889708500056</c:v>
                </c:pt>
                <c:pt idx="72">
                  <c:v>104.16383873002437</c:v>
                </c:pt>
                <c:pt idx="73">
                  <c:v>189.00160861824088</c:v>
                </c:pt>
                <c:pt idx="74">
                  <c:v>53.569585495726827</c:v>
                </c:pt>
                <c:pt idx="75">
                  <c:v>137.3255716926968</c:v>
                </c:pt>
                <c:pt idx="76">
                  <c:v>215.50477463428348</c:v>
                </c:pt>
                <c:pt idx="77">
                  <c:v>249.24647468320023</c:v>
                </c:pt>
                <c:pt idx="78">
                  <c:v>86.511967237679031</c:v>
                </c:pt>
                <c:pt idx="79">
                  <c:v>181.77609619283484</c:v>
                </c:pt>
                <c:pt idx="80">
                  <c:v>304.82521997287756</c:v>
                </c:pt>
                <c:pt idx="81">
                  <c:v>243.99979159762827</c:v>
                </c:pt>
                <c:pt idx="82">
                  <c:v>368.27580478665686</c:v>
                </c:pt>
                <c:pt idx="83">
                  <c:v>275.10494891693446</c:v>
                </c:pt>
                <c:pt idx="84">
                  <c:v>147.72395224764526</c:v>
                </c:pt>
                <c:pt idx="85">
                  <c:v>263.07302556348304</c:v>
                </c:pt>
                <c:pt idx="86">
                  <c:v>76.571400838212909</c:v>
                </c:pt>
                <c:pt idx="87">
                  <c:v>113.04237983425256</c:v>
                </c:pt>
                <c:pt idx="88">
                  <c:v>195.75088216471295</c:v>
                </c:pt>
                <c:pt idx="89">
                  <c:v>237.57506743311319</c:v>
                </c:pt>
                <c:pt idx="90">
                  <c:v>57.67580975047634</c:v>
                </c:pt>
                <c:pt idx="91">
                  <c:v>91.126420958234661</c:v>
                </c:pt>
                <c:pt idx="92">
                  <c:v>421.88317845053245</c:v>
                </c:pt>
                <c:pt idx="93">
                  <c:v>282.59458223544459</c:v>
                </c:pt>
                <c:pt idx="94">
                  <c:v>135.02052085907664</c:v>
                </c:pt>
                <c:pt idx="95">
                  <c:v>318.05905375586377</c:v>
                </c:pt>
                <c:pt idx="96">
                  <c:v>189.94075854636486</c:v>
                </c:pt>
                <c:pt idx="97">
                  <c:v>91.09847426685819</c:v>
                </c:pt>
                <c:pt idx="98">
                  <c:v>153.04937479598465</c:v>
                </c:pt>
                <c:pt idx="99">
                  <c:v>303.14506187604161</c:v>
                </c:pt>
                <c:pt idx="100">
                  <c:v>400.85843144257302</c:v>
                </c:pt>
                <c:pt idx="101">
                  <c:v>127.47710324394664</c:v>
                </c:pt>
                <c:pt idx="102">
                  <c:v>530.79586285607218</c:v>
                </c:pt>
                <c:pt idx="103">
                  <c:v>199.10802424511709</c:v>
                </c:pt>
                <c:pt idx="104">
                  <c:v>165.00109127523211</c:v>
                </c:pt>
                <c:pt idx="105">
                  <c:v>263.699399534208</c:v>
                </c:pt>
                <c:pt idx="106">
                  <c:v>363.60280624890959</c:v>
                </c:pt>
                <c:pt idx="107">
                  <c:v>145.08367103729995</c:v>
                </c:pt>
                <c:pt idx="108">
                  <c:v>104.09274937306776</c:v>
                </c:pt>
                <c:pt idx="109">
                  <c:v>269.54770442233445</c:v>
                </c:pt>
                <c:pt idx="110">
                  <c:v>79.99519450510688</c:v>
                </c:pt>
                <c:pt idx="111">
                  <c:v>173.98195540037798</c:v>
                </c:pt>
                <c:pt idx="112">
                  <c:v>101.4351413176027</c:v>
                </c:pt>
                <c:pt idx="113">
                  <c:v>61.300708616873145</c:v>
                </c:pt>
                <c:pt idx="114">
                  <c:v>93.305916295604149</c:v>
                </c:pt>
                <c:pt idx="115">
                  <c:v>291.29936149102667</c:v>
                </c:pt>
                <c:pt idx="116">
                  <c:v>104.99262553071929</c:v>
                </c:pt>
                <c:pt idx="117">
                  <c:v>409.83807440334283</c:v>
                </c:pt>
                <c:pt idx="118">
                  <c:v>609.06080242994358</c:v>
                </c:pt>
                <c:pt idx="119">
                  <c:v>64.399825077740502</c:v>
                </c:pt>
                <c:pt idx="120">
                  <c:v>52.640836946314536</c:v>
                </c:pt>
                <c:pt idx="121">
                  <c:v>267.01995950378807</c:v>
                </c:pt>
                <c:pt idx="122">
                  <c:v>24.495405275781966</c:v>
                </c:pt>
                <c:pt idx="123">
                  <c:v>129.89899612530306</c:v>
                </c:pt>
                <c:pt idx="124">
                  <c:v>244.47388274882681</c:v>
                </c:pt>
                <c:pt idx="125">
                  <c:v>518.41275346454665</c:v>
                </c:pt>
                <c:pt idx="126">
                  <c:v>54.864673868890051</c:v>
                </c:pt>
                <c:pt idx="127">
                  <c:v>314.3851596958998</c:v>
                </c:pt>
                <c:pt idx="128">
                  <c:v>118.49386542417216</c:v>
                </c:pt>
                <c:pt idx="129">
                  <c:v>262.18777515883733</c:v>
                </c:pt>
                <c:pt idx="130">
                  <c:v>295.98558714805</c:v>
                </c:pt>
                <c:pt idx="131">
                  <c:v>155.56466491599488</c:v>
                </c:pt>
                <c:pt idx="132">
                  <c:v>91.042516449709609</c:v>
                </c:pt>
                <c:pt idx="133">
                  <c:v>125.16172981025613</c:v>
                </c:pt>
                <c:pt idx="134">
                  <c:v>758.70913348318982</c:v>
                </c:pt>
                <c:pt idx="135">
                  <c:v>39.816290578136389</c:v>
                </c:pt>
                <c:pt idx="136">
                  <c:v>174.27105836614768</c:v>
                </c:pt>
                <c:pt idx="137">
                  <c:v>337.78440969070459</c:v>
                </c:pt>
                <c:pt idx="138">
                  <c:v>139.93260202207759</c:v>
                </c:pt>
                <c:pt idx="139">
                  <c:v>193.89440336580688</c:v>
                </c:pt>
                <c:pt idx="140">
                  <c:v>69.918183453550057</c:v>
                </c:pt>
                <c:pt idx="141">
                  <c:v>135.97140214428029</c:v>
                </c:pt>
                <c:pt idx="142">
                  <c:v>207.17199847520192</c:v>
                </c:pt>
                <c:pt idx="143">
                  <c:v>239.13172359393531</c:v>
                </c:pt>
                <c:pt idx="144">
                  <c:v>52.588208276031345</c:v>
                </c:pt>
                <c:pt idx="145">
                  <c:v>124.50586073245071</c:v>
                </c:pt>
                <c:pt idx="146">
                  <c:v>38.456792620652955</c:v>
                </c:pt>
                <c:pt idx="147">
                  <c:v>395.56845693703696</c:v>
                </c:pt>
                <c:pt idx="148">
                  <c:v>47.46299773866486</c:v>
                </c:pt>
                <c:pt idx="149">
                  <c:v>233.00887580056826</c:v>
                </c:pt>
                <c:pt idx="150">
                  <c:v>160.98525670046152</c:v>
                </c:pt>
                <c:pt idx="151">
                  <c:v>286.14818311751372</c:v>
                </c:pt>
                <c:pt idx="152">
                  <c:v>182.28120855761958</c:v>
                </c:pt>
                <c:pt idx="153">
                  <c:v>227.70031955737542</c:v>
                </c:pt>
                <c:pt idx="154">
                  <c:v>148.20130046183587</c:v>
                </c:pt>
                <c:pt idx="155">
                  <c:v>276.48161058586123</c:v>
                </c:pt>
                <c:pt idx="156">
                  <c:v>83.830003884237286</c:v>
                </c:pt>
                <c:pt idx="157">
                  <c:v>646.88254206060481</c:v>
                </c:pt>
                <c:pt idx="158">
                  <c:v>183.42412081844572</c:v>
                </c:pt>
                <c:pt idx="159">
                  <c:v>78.935571567189413</c:v>
                </c:pt>
                <c:pt idx="160">
                  <c:v>758.04491351587365</c:v>
                </c:pt>
                <c:pt idx="161">
                  <c:v>140.38787973190475</c:v>
                </c:pt>
                <c:pt idx="162">
                  <c:v>178.35391331394274</c:v>
                </c:pt>
                <c:pt idx="163">
                  <c:v>643.74499004566496</c:v>
                </c:pt>
                <c:pt idx="164">
                  <c:v>740.3390883599285</c:v>
                </c:pt>
                <c:pt idx="165">
                  <c:v>72.473818622258193</c:v>
                </c:pt>
                <c:pt idx="166">
                  <c:v>201.85851888346687</c:v>
                </c:pt>
                <c:pt idx="167">
                  <c:v>96.769362792609058</c:v>
                </c:pt>
                <c:pt idx="168">
                  <c:v>114.08216244206844</c:v>
                </c:pt>
                <c:pt idx="169">
                  <c:v>1000</c:v>
                </c:pt>
              </c:numCache>
            </c:numRef>
          </c:yVal>
          <c:smooth val="0"/>
        </c:ser>
        <c:dLbls>
          <c:showLegendKey val="0"/>
          <c:showVal val="0"/>
          <c:showCatName val="0"/>
          <c:showSerName val="0"/>
          <c:showPercent val="0"/>
          <c:showBubbleSize val="0"/>
        </c:dLbls>
        <c:axId val="234955264"/>
        <c:axId val="234955656"/>
      </c:scatterChart>
      <c:valAx>
        <c:axId val="234955264"/>
        <c:scaling>
          <c:orientation val="minMax"/>
          <c:max val="1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Payroll</a:t>
                </a:r>
                <a:r>
                  <a:rPr lang="en-US" baseline="0"/>
                  <a:t> Tax</a:t>
                </a:r>
                <a:endParaRPr lang="en-US"/>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4955656"/>
        <c:crosses val="autoZero"/>
        <c:crossBetween val="midCat"/>
      </c:valAx>
      <c:valAx>
        <c:axId val="234955656"/>
        <c:scaling>
          <c:orientation val="minMax"/>
          <c:max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Split Earnings Tax</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_(* #,##0_);_(* \(#,##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4955264"/>
        <c:crosses val="autoZero"/>
        <c:crossBetween val="midCat"/>
        <c:majorUnit val="2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GRAPHS!$F$43</c:f>
              <c:strCache>
                <c:ptCount val="1"/>
                <c:pt idx="0">
                  <c:v>CT AGI</c:v>
                </c:pt>
              </c:strCache>
            </c:strRef>
          </c:tx>
          <c:spPr>
            <a:solidFill>
              <a:schemeClr val="accent1"/>
            </a:solidFill>
            <a:ln>
              <a:noFill/>
            </a:ln>
            <a:effectLst/>
          </c:spPr>
          <c:invertIfNegative val="0"/>
          <c:cat>
            <c:strRef>
              <c:f>GRAPHS!$E$44:$E$54</c:f>
              <c:strCache>
                <c:ptCount val="11"/>
                <c:pt idx="0">
                  <c:v>0-$50</c:v>
                </c:pt>
                <c:pt idx="1">
                  <c:v>$50-$100</c:v>
                </c:pt>
                <c:pt idx="2">
                  <c:v>$100-$150</c:v>
                </c:pt>
                <c:pt idx="3">
                  <c:v>$150-$200</c:v>
                </c:pt>
                <c:pt idx="4">
                  <c:v>$200-$250</c:v>
                </c:pt>
                <c:pt idx="5">
                  <c:v>$250-$300</c:v>
                </c:pt>
                <c:pt idx="6">
                  <c:v>$300-$350</c:v>
                </c:pt>
                <c:pt idx="7">
                  <c:v>$350-$400</c:v>
                </c:pt>
                <c:pt idx="8">
                  <c:v>$400-$450</c:v>
                </c:pt>
                <c:pt idx="9">
                  <c:v>$450-$1000</c:v>
                </c:pt>
                <c:pt idx="10">
                  <c:v>$1000+</c:v>
                </c:pt>
              </c:strCache>
            </c:strRef>
          </c:cat>
          <c:val>
            <c:numRef>
              <c:f>GRAPHS!$F$44:$F$54</c:f>
              <c:numCache>
                <c:formatCode>General</c:formatCode>
                <c:ptCount val="11"/>
                <c:pt idx="0">
                  <c:v>1</c:v>
                </c:pt>
                <c:pt idx="1">
                  <c:v>2</c:v>
                </c:pt>
                <c:pt idx="2">
                  <c:v>10</c:v>
                </c:pt>
                <c:pt idx="3">
                  <c:v>27</c:v>
                </c:pt>
                <c:pt idx="4">
                  <c:v>28</c:v>
                </c:pt>
                <c:pt idx="5">
                  <c:v>37</c:v>
                </c:pt>
                <c:pt idx="6">
                  <c:v>27</c:v>
                </c:pt>
                <c:pt idx="7">
                  <c:v>10</c:v>
                </c:pt>
                <c:pt idx="8">
                  <c:v>9</c:v>
                </c:pt>
                <c:pt idx="9">
                  <c:v>13</c:v>
                </c:pt>
                <c:pt idx="10">
                  <c:v>5</c:v>
                </c:pt>
              </c:numCache>
            </c:numRef>
          </c:val>
        </c:ser>
        <c:ser>
          <c:idx val="1"/>
          <c:order val="1"/>
          <c:tx>
            <c:strRef>
              <c:f>GRAPHS!$G$43</c:f>
              <c:strCache>
                <c:ptCount val="1"/>
                <c:pt idx="0">
                  <c:v>Payroll Tax</c:v>
                </c:pt>
              </c:strCache>
            </c:strRef>
          </c:tx>
          <c:spPr>
            <a:solidFill>
              <a:schemeClr val="accent2"/>
            </a:solidFill>
            <a:ln>
              <a:noFill/>
            </a:ln>
            <a:effectLst/>
          </c:spPr>
          <c:invertIfNegative val="0"/>
          <c:cat>
            <c:strRef>
              <c:f>GRAPHS!$E$44:$E$54</c:f>
              <c:strCache>
                <c:ptCount val="11"/>
                <c:pt idx="0">
                  <c:v>0-$50</c:v>
                </c:pt>
                <c:pt idx="1">
                  <c:v>$50-$100</c:v>
                </c:pt>
                <c:pt idx="2">
                  <c:v>$100-$150</c:v>
                </c:pt>
                <c:pt idx="3">
                  <c:v>$150-$200</c:v>
                </c:pt>
                <c:pt idx="4">
                  <c:v>$200-$250</c:v>
                </c:pt>
                <c:pt idx="5">
                  <c:v>$250-$300</c:v>
                </c:pt>
                <c:pt idx="6">
                  <c:v>$300-$350</c:v>
                </c:pt>
                <c:pt idx="7">
                  <c:v>$350-$400</c:v>
                </c:pt>
                <c:pt idx="8">
                  <c:v>$400-$450</c:v>
                </c:pt>
                <c:pt idx="9">
                  <c:v>$450-$1000</c:v>
                </c:pt>
                <c:pt idx="10">
                  <c:v>$1000+</c:v>
                </c:pt>
              </c:strCache>
            </c:strRef>
          </c:cat>
          <c:val>
            <c:numRef>
              <c:f>GRAPHS!$G$44:$G$54</c:f>
              <c:numCache>
                <c:formatCode>General</c:formatCode>
                <c:ptCount val="11"/>
                <c:pt idx="0">
                  <c:v>13</c:v>
                </c:pt>
                <c:pt idx="1">
                  <c:v>39</c:v>
                </c:pt>
                <c:pt idx="2">
                  <c:v>28</c:v>
                </c:pt>
                <c:pt idx="3">
                  <c:v>21</c:v>
                </c:pt>
                <c:pt idx="4">
                  <c:v>18</c:v>
                </c:pt>
                <c:pt idx="5">
                  <c:v>19</c:v>
                </c:pt>
                <c:pt idx="6">
                  <c:v>7</c:v>
                </c:pt>
                <c:pt idx="7">
                  <c:v>6</c:v>
                </c:pt>
                <c:pt idx="8">
                  <c:v>4</c:v>
                </c:pt>
                <c:pt idx="9">
                  <c:v>14</c:v>
                </c:pt>
              </c:numCache>
            </c:numRef>
          </c:val>
        </c:ser>
        <c:ser>
          <c:idx val="2"/>
          <c:order val="2"/>
          <c:tx>
            <c:strRef>
              <c:f>GRAPHS!$H$43</c:f>
              <c:strCache>
                <c:ptCount val="1"/>
                <c:pt idx="0">
                  <c:v>Split Earnings Tax</c:v>
                </c:pt>
              </c:strCache>
            </c:strRef>
          </c:tx>
          <c:spPr>
            <a:solidFill>
              <a:schemeClr val="accent3"/>
            </a:solidFill>
            <a:ln>
              <a:noFill/>
            </a:ln>
            <a:effectLst/>
          </c:spPr>
          <c:invertIfNegative val="0"/>
          <c:cat>
            <c:strRef>
              <c:f>GRAPHS!$E$44:$E$54</c:f>
              <c:strCache>
                <c:ptCount val="11"/>
                <c:pt idx="0">
                  <c:v>0-$50</c:v>
                </c:pt>
                <c:pt idx="1">
                  <c:v>$50-$100</c:v>
                </c:pt>
                <c:pt idx="2">
                  <c:v>$100-$150</c:v>
                </c:pt>
                <c:pt idx="3">
                  <c:v>$150-$200</c:v>
                </c:pt>
                <c:pt idx="4">
                  <c:v>$200-$250</c:v>
                </c:pt>
                <c:pt idx="5">
                  <c:v>$250-$300</c:v>
                </c:pt>
                <c:pt idx="6">
                  <c:v>$300-$350</c:v>
                </c:pt>
                <c:pt idx="7">
                  <c:v>$350-$400</c:v>
                </c:pt>
                <c:pt idx="8">
                  <c:v>$400-$450</c:v>
                </c:pt>
                <c:pt idx="9">
                  <c:v>$450-$1000</c:v>
                </c:pt>
                <c:pt idx="10">
                  <c:v>$1000+</c:v>
                </c:pt>
              </c:strCache>
            </c:strRef>
          </c:cat>
          <c:val>
            <c:numRef>
              <c:f>GRAPHS!$H$44:$H$54</c:f>
              <c:numCache>
                <c:formatCode>General</c:formatCode>
                <c:ptCount val="11"/>
                <c:pt idx="1">
                  <c:v>1</c:v>
                </c:pt>
                <c:pt idx="2">
                  <c:v>15</c:v>
                </c:pt>
                <c:pt idx="3">
                  <c:v>38</c:v>
                </c:pt>
                <c:pt idx="4">
                  <c:v>42</c:v>
                </c:pt>
                <c:pt idx="5">
                  <c:v>30</c:v>
                </c:pt>
                <c:pt idx="6">
                  <c:v>12</c:v>
                </c:pt>
                <c:pt idx="7">
                  <c:v>11</c:v>
                </c:pt>
                <c:pt idx="8">
                  <c:v>7</c:v>
                </c:pt>
                <c:pt idx="9">
                  <c:v>13</c:v>
                </c:pt>
              </c:numCache>
            </c:numRef>
          </c:val>
        </c:ser>
        <c:dLbls>
          <c:showLegendKey val="0"/>
          <c:showVal val="0"/>
          <c:showCatName val="0"/>
          <c:showSerName val="0"/>
          <c:showPercent val="0"/>
          <c:showBubbleSize val="0"/>
        </c:dLbls>
        <c:gapWidth val="219"/>
        <c:overlap val="-27"/>
        <c:axId val="234956440"/>
        <c:axId val="234956832"/>
      </c:barChart>
      <c:catAx>
        <c:axId val="23495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4956832"/>
        <c:crosses val="autoZero"/>
        <c:auto val="1"/>
        <c:lblAlgn val="ctr"/>
        <c:lblOffset val="100"/>
        <c:noMultiLvlLbl val="0"/>
      </c:catAx>
      <c:valAx>
        <c:axId val="234956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Number of Towns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4956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2825896762904"/>
          <c:y val="0.14259900038446752"/>
          <c:w val="0.86601618547681536"/>
          <c:h val="0.5541753280839895"/>
        </c:manualLayout>
      </c:layout>
      <c:barChart>
        <c:barDir val="col"/>
        <c:grouping val="clustered"/>
        <c:varyColors val="0"/>
        <c:ser>
          <c:idx val="0"/>
          <c:order val="0"/>
          <c:spPr>
            <a:solidFill>
              <a:schemeClr val="accent1"/>
            </a:solidFill>
            <a:ln>
              <a:noFill/>
            </a:ln>
            <a:effectLst/>
          </c:spPr>
          <c:invertIfNegative val="0"/>
          <c:cat>
            <c:strRef>
              <c:f>Sheet1!$D$25:$L$25</c:f>
              <c:strCache>
                <c:ptCount val="9"/>
                <c:pt idx="0">
                  <c:v>$1-$10K</c:v>
                </c:pt>
                <c:pt idx="1">
                  <c:v>$10K-$25K</c:v>
                </c:pt>
                <c:pt idx="2">
                  <c:v>$25K-$50K</c:v>
                </c:pt>
                <c:pt idx="3">
                  <c:v>$50K-$75K</c:v>
                </c:pt>
                <c:pt idx="4">
                  <c:v>$75K-$100K</c:v>
                </c:pt>
                <c:pt idx="5">
                  <c:v>$100K-$200K</c:v>
                </c:pt>
                <c:pt idx="6">
                  <c:v>$200K-$500K</c:v>
                </c:pt>
                <c:pt idx="7">
                  <c:v>$500K-$1000K</c:v>
                </c:pt>
                <c:pt idx="8">
                  <c:v>$1000K+</c:v>
                </c:pt>
              </c:strCache>
            </c:strRef>
          </c:cat>
          <c:val>
            <c:numRef>
              <c:f>Sheet1!$D$24:$L$24</c:f>
              <c:numCache>
                <c:formatCode>0.0%</c:formatCode>
                <c:ptCount val="9"/>
                <c:pt idx="0">
                  <c:v>0.83511135367444578</c:v>
                </c:pt>
                <c:pt idx="1">
                  <c:v>0.7856391816378987</c:v>
                </c:pt>
                <c:pt idx="2">
                  <c:v>0.82396857924921874</c:v>
                </c:pt>
                <c:pt idx="3">
                  <c:v>0.79427522756223468</c:v>
                </c:pt>
                <c:pt idx="4">
                  <c:v>0.78371827429581042</c:v>
                </c:pt>
                <c:pt idx="5">
                  <c:v>0.80829332601245663</c:v>
                </c:pt>
                <c:pt idx="6">
                  <c:v>0.77817823446941914</c:v>
                </c:pt>
                <c:pt idx="7">
                  <c:v>0.69300539404438388</c:v>
                </c:pt>
                <c:pt idx="8">
                  <c:v>0.39538986637904872</c:v>
                </c:pt>
              </c:numCache>
            </c:numRef>
          </c:val>
        </c:ser>
        <c:dLbls>
          <c:showLegendKey val="0"/>
          <c:showVal val="0"/>
          <c:showCatName val="0"/>
          <c:showSerName val="0"/>
          <c:showPercent val="0"/>
          <c:showBubbleSize val="0"/>
        </c:dLbls>
        <c:gapWidth val="219"/>
        <c:overlap val="-27"/>
        <c:axId val="303670256"/>
        <c:axId val="303670648"/>
      </c:barChart>
      <c:catAx>
        <c:axId val="303670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AGI Categories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670648"/>
        <c:crosses val="autoZero"/>
        <c:auto val="1"/>
        <c:lblAlgn val="ctr"/>
        <c:lblOffset val="100"/>
        <c:noMultiLvlLbl val="0"/>
      </c:catAx>
      <c:valAx>
        <c:axId val="3036706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67025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AA8E-920E-41B5-9E8A-FAC2322E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25042</Words>
  <Characters>142740</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Chapter 11</vt:lpstr>
    </vt:vector>
  </TitlesOfParts>
  <Company>gsu</Company>
  <LinksUpToDate>false</LinksUpToDate>
  <CharactersWithSpaces>167448</CharactersWithSpaces>
  <SharedDoc>false</SharedDoc>
  <HLinks>
    <vt:vector size="120" baseType="variant">
      <vt:variant>
        <vt:i4>8061025</vt:i4>
      </vt:variant>
      <vt:variant>
        <vt:i4>26</vt:i4>
      </vt:variant>
      <vt:variant>
        <vt:i4>0</vt:i4>
      </vt:variant>
      <vt:variant>
        <vt:i4>5</vt:i4>
      </vt:variant>
      <vt:variant>
        <vt:lpwstr>http://aysps.gsu.edu/frc/1415.html</vt:lpwstr>
      </vt:variant>
      <vt:variant>
        <vt:lpwstr/>
      </vt:variant>
      <vt:variant>
        <vt:i4>7536748</vt:i4>
      </vt:variant>
      <vt:variant>
        <vt:i4>23</vt:i4>
      </vt:variant>
      <vt:variant>
        <vt:i4>0</vt:i4>
      </vt:variant>
      <vt:variant>
        <vt:i4>5</vt:i4>
      </vt:variant>
      <vt:variant>
        <vt:lpwstr>http://aysps.gsu.edu/frc/1894.html</vt:lpwstr>
      </vt:variant>
      <vt:variant>
        <vt:lpwstr/>
      </vt:variant>
      <vt:variant>
        <vt:i4>393220</vt:i4>
      </vt:variant>
      <vt:variant>
        <vt:i4>20</vt:i4>
      </vt:variant>
      <vt:variant>
        <vt:i4>0</vt:i4>
      </vt:variant>
      <vt:variant>
        <vt:i4>5</vt:i4>
      </vt:variant>
      <vt:variant>
        <vt:lpwstr>http://www.census.gov/govs/estimate/</vt:lpwstr>
      </vt:variant>
      <vt:variant>
        <vt:lpwstr/>
      </vt:variant>
      <vt:variant>
        <vt:i4>5111880</vt:i4>
      </vt:variant>
      <vt:variant>
        <vt:i4>17</vt:i4>
      </vt:variant>
      <vt:variant>
        <vt:i4>0</vt:i4>
      </vt:variant>
      <vt:variant>
        <vt:i4>5</vt:i4>
      </vt:variant>
      <vt:variant>
        <vt:lpwstr>http://www.bepress.com/bejeap/vol7/iss1/art63</vt:lpwstr>
      </vt:variant>
      <vt:variant>
        <vt:lpwstr/>
      </vt:variant>
      <vt:variant>
        <vt:i4>2031627</vt:i4>
      </vt:variant>
      <vt:variant>
        <vt:i4>14</vt:i4>
      </vt:variant>
      <vt:variant>
        <vt:i4>0</vt:i4>
      </vt:variant>
      <vt:variant>
        <vt:i4>5</vt:i4>
      </vt:variant>
      <vt:variant>
        <vt:lpwstr>http://www.ci.ramsey.mn.us/Documents/CMS/finance/rates/2010_Rates,_Fees,_and_Charges%5B1%5D.pdf</vt:lpwstr>
      </vt:variant>
      <vt:variant>
        <vt:lpwstr/>
      </vt:variant>
      <vt:variant>
        <vt:i4>6291537</vt:i4>
      </vt:variant>
      <vt:variant>
        <vt:i4>11</vt:i4>
      </vt:variant>
      <vt:variant>
        <vt:i4>0</vt:i4>
      </vt:variant>
      <vt:variant>
        <vt:i4>5</vt:i4>
      </vt:variant>
      <vt:variant>
        <vt:lpwstr>http://icma.org/en/icma/knowledge_network/documents/kn/Document/100267/ICMA_2009_State_of_the_Profession_Survey</vt:lpwstr>
      </vt:variant>
      <vt:variant>
        <vt:lpwstr/>
      </vt:variant>
      <vt:variant>
        <vt:i4>3276923</vt:i4>
      </vt:variant>
      <vt:variant>
        <vt:i4>8</vt:i4>
      </vt:variant>
      <vt:variant>
        <vt:i4>0</vt:i4>
      </vt:variant>
      <vt:variant>
        <vt:i4>5</vt:i4>
      </vt:variant>
      <vt:variant>
        <vt:lpwstr>http://www.ci.garner.nc.us/Publications/Administration/FeeSchedule_2010_2011.pdf</vt:lpwstr>
      </vt:variant>
      <vt:variant>
        <vt:lpwstr/>
      </vt:variant>
      <vt:variant>
        <vt:i4>3342459</vt:i4>
      </vt:variant>
      <vt:variant>
        <vt:i4>5</vt:i4>
      </vt:variant>
      <vt:variant>
        <vt:i4>0</vt:i4>
      </vt:variant>
      <vt:variant>
        <vt:i4>5</vt:i4>
      </vt:variant>
      <vt:variant>
        <vt:lpwstr>http://www.smyrnacity.com/Modules/ShowDocument.aspx?documentid=1012</vt:lpwstr>
      </vt:variant>
      <vt:variant>
        <vt:lpwstr/>
      </vt:variant>
      <vt:variant>
        <vt:i4>6684729</vt:i4>
      </vt:variant>
      <vt:variant>
        <vt:i4>2</vt:i4>
      </vt:variant>
      <vt:variant>
        <vt:i4>0</vt:i4>
      </vt:variant>
      <vt:variant>
        <vt:i4>5</vt:i4>
      </vt:variant>
      <vt:variant>
        <vt:lpwstr>http://www.library.unt.edu/gpo/acir/Reports/staff/SR-12.pdf</vt:lpwstr>
      </vt:variant>
      <vt:variant>
        <vt:lpwstr/>
      </vt:variant>
      <vt:variant>
        <vt:i4>8061025</vt:i4>
      </vt:variant>
      <vt:variant>
        <vt:i4>30</vt:i4>
      </vt:variant>
      <vt:variant>
        <vt:i4>0</vt:i4>
      </vt:variant>
      <vt:variant>
        <vt:i4>5</vt:i4>
      </vt:variant>
      <vt:variant>
        <vt:lpwstr>http://aysps.gsu.edu/frc/1415.html</vt:lpwstr>
      </vt:variant>
      <vt:variant>
        <vt:lpwstr/>
      </vt:variant>
      <vt:variant>
        <vt:i4>7536748</vt:i4>
      </vt:variant>
      <vt:variant>
        <vt:i4>27</vt:i4>
      </vt:variant>
      <vt:variant>
        <vt:i4>0</vt:i4>
      </vt:variant>
      <vt:variant>
        <vt:i4>5</vt:i4>
      </vt:variant>
      <vt:variant>
        <vt:lpwstr>http://aysps.gsu.edu/frc/1894.html</vt:lpwstr>
      </vt:variant>
      <vt:variant>
        <vt:lpwstr/>
      </vt:variant>
      <vt:variant>
        <vt:i4>5111880</vt:i4>
      </vt:variant>
      <vt:variant>
        <vt:i4>24</vt:i4>
      </vt:variant>
      <vt:variant>
        <vt:i4>0</vt:i4>
      </vt:variant>
      <vt:variant>
        <vt:i4>5</vt:i4>
      </vt:variant>
      <vt:variant>
        <vt:lpwstr>http://www.bepress.com/bejeap/vol7/iss1/art63</vt:lpwstr>
      </vt:variant>
      <vt:variant>
        <vt:lpwstr/>
      </vt:variant>
      <vt:variant>
        <vt:i4>6357021</vt:i4>
      </vt:variant>
      <vt:variant>
        <vt:i4>21</vt:i4>
      </vt:variant>
      <vt:variant>
        <vt:i4>0</vt:i4>
      </vt:variant>
      <vt:variant>
        <vt:i4>5</vt:i4>
      </vt:variant>
      <vt:variant>
        <vt:lpwstr>http://www.nytimes.com/2010/09/10/education/10education.html?_r=1</vt:lpwstr>
      </vt:variant>
      <vt:variant>
        <vt:lpwstr/>
      </vt:variant>
      <vt:variant>
        <vt:i4>7340051</vt:i4>
      </vt:variant>
      <vt:variant>
        <vt:i4>18</vt:i4>
      </vt:variant>
      <vt:variant>
        <vt:i4>0</vt:i4>
      </vt:variant>
      <vt:variant>
        <vt:i4>5</vt:i4>
      </vt:variant>
      <vt:variant>
        <vt:lpwstr>http://www.usatoday.com/news/nation/2009-03-17-user-fees_N.htm</vt:lpwstr>
      </vt:variant>
      <vt:variant>
        <vt:lpwstr/>
      </vt:variant>
      <vt:variant>
        <vt:i4>6291537</vt:i4>
      </vt:variant>
      <vt:variant>
        <vt:i4>15</vt:i4>
      </vt:variant>
      <vt:variant>
        <vt:i4>0</vt:i4>
      </vt:variant>
      <vt:variant>
        <vt:i4>5</vt:i4>
      </vt:variant>
      <vt:variant>
        <vt:lpwstr>http://icma.org/en/icma/knowledge_network/documents/kn/Document/100267/ICMA_2009_State_of_the_Profession_Survey</vt:lpwstr>
      </vt:variant>
      <vt:variant>
        <vt:lpwstr/>
      </vt:variant>
      <vt:variant>
        <vt:i4>2031627</vt:i4>
      </vt:variant>
      <vt:variant>
        <vt:i4>12</vt:i4>
      </vt:variant>
      <vt:variant>
        <vt:i4>0</vt:i4>
      </vt:variant>
      <vt:variant>
        <vt:i4>5</vt:i4>
      </vt:variant>
      <vt:variant>
        <vt:lpwstr>http://www.ci.ramsey.mn.us/Documents/CMS/finance/rates/2010_Rates,_Fees,_and_Charges%5B1%5D.pdf</vt:lpwstr>
      </vt:variant>
      <vt:variant>
        <vt:lpwstr/>
      </vt:variant>
      <vt:variant>
        <vt:i4>3276923</vt:i4>
      </vt:variant>
      <vt:variant>
        <vt:i4>9</vt:i4>
      </vt:variant>
      <vt:variant>
        <vt:i4>0</vt:i4>
      </vt:variant>
      <vt:variant>
        <vt:i4>5</vt:i4>
      </vt:variant>
      <vt:variant>
        <vt:lpwstr>http://www.ci.garner.nc.us/Publications/Administration/FeeSchedule_2010_2011.pdf</vt:lpwstr>
      </vt:variant>
      <vt:variant>
        <vt:lpwstr/>
      </vt:variant>
      <vt:variant>
        <vt:i4>3342459</vt:i4>
      </vt:variant>
      <vt:variant>
        <vt:i4>6</vt:i4>
      </vt:variant>
      <vt:variant>
        <vt:i4>0</vt:i4>
      </vt:variant>
      <vt:variant>
        <vt:i4>5</vt:i4>
      </vt:variant>
      <vt:variant>
        <vt:lpwstr>http://www.smyrnacity.com/Modules/ShowDocument.aspx?documentid=1012</vt:lpwstr>
      </vt:variant>
      <vt:variant>
        <vt:lpwstr/>
      </vt:variant>
      <vt:variant>
        <vt:i4>6684729</vt:i4>
      </vt:variant>
      <vt:variant>
        <vt:i4>3</vt:i4>
      </vt:variant>
      <vt:variant>
        <vt:i4>0</vt:i4>
      </vt:variant>
      <vt:variant>
        <vt:i4>5</vt:i4>
      </vt:variant>
      <vt:variant>
        <vt:lpwstr>http://www.library.unt.edu/gpo/acir/Reports/staff/SR-12.pdf</vt:lpwstr>
      </vt:variant>
      <vt:variant>
        <vt:lpwstr/>
      </vt:variant>
      <vt:variant>
        <vt:i4>393220</vt:i4>
      </vt:variant>
      <vt:variant>
        <vt:i4>0</vt:i4>
      </vt:variant>
      <vt:variant>
        <vt:i4>0</vt:i4>
      </vt:variant>
      <vt:variant>
        <vt:i4>5</vt:i4>
      </vt:variant>
      <vt:variant>
        <vt:lpwstr>http://www.census.gov/govs/estimate/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subject/>
  <dc:creator>aysps</dc:creator>
  <cp:keywords/>
  <dc:description/>
  <cp:lastModifiedBy>Rebel</cp:lastModifiedBy>
  <cp:revision>2</cp:revision>
  <cp:lastPrinted>2015-10-20T21:32:00Z</cp:lastPrinted>
  <dcterms:created xsi:type="dcterms:W3CDTF">2015-11-07T16:50:00Z</dcterms:created>
  <dcterms:modified xsi:type="dcterms:W3CDTF">2015-11-07T16:50:00Z</dcterms:modified>
</cp:coreProperties>
</file>