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1C590" w14:textId="77777777" w:rsidR="00DA1A90" w:rsidRDefault="00DA1A90" w:rsidP="00A54047">
      <w:pPr>
        <w:pStyle w:val="Title"/>
        <w:jc w:val="center"/>
        <w:rPr>
          <w:rFonts w:ascii="Times New Roman" w:hAnsi="Times New Roman" w:cs="Times New Roman"/>
        </w:rPr>
      </w:pPr>
      <w:bookmarkStart w:id="0" w:name="_GoBack"/>
      <w:bookmarkEnd w:id="0"/>
    </w:p>
    <w:p w14:paraId="18152644" w14:textId="77777777" w:rsidR="00DA1A90" w:rsidRDefault="00DA1A90" w:rsidP="00A54047">
      <w:pPr>
        <w:pStyle w:val="Title"/>
        <w:jc w:val="center"/>
        <w:rPr>
          <w:rFonts w:ascii="Times New Roman" w:hAnsi="Times New Roman" w:cs="Times New Roman"/>
        </w:rPr>
      </w:pPr>
    </w:p>
    <w:p w14:paraId="3B60784B" w14:textId="77777777" w:rsidR="00DA1A90" w:rsidRDefault="00DA1A90" w:rsidP="00A54047">
      <w:pPr>
        <w:pStyle w:val="Title"/>
        <w:jc w:val="center"/>
        <w:rPr>
          <w:rFonts w:ascii="Times New Roman" w:hAnsi="Times New Roman" w:cs="Times New Roman"/>
        </w:rPr>
      </w:pPr>
    </w:p>
    <w:p w14:paraId="24E52A1B" w14:textId="58611F9E" w:rsidR="00A54047" w:rsidRPr="00E0240E" w:rsidRDefault="00A54047" w:rsidP="00A54047">
      <w:pPr>
        <w:pStyle w:val="Title"/>
        <w:jc w:val="center"/>
        <w:rPr>
          <w:rFonts w:ascii="Times New Roman" w:hAnsi="Times New Roman" w:cs="Times New Roman"/>
        </w:rPr>
      </w:pPr>
      <w:r>
        <w:rPr>
          <w:rFonts w:ascii="Times New Roman" w:hAnsi="Times New Roman" w:cs="Times New Roman"/>
        </w:rPr>
        <w:t>The business personal property tax in Connecticut</w:t>
      </w:r>
    </w:p>
    <w:p w14:paraId="068D143F" w14:textId="77777777" w:rsidR="00A54047" w:rsidRPr="00E0240E" w:rsidRDefault="00A54047" w:rsidP="00A54047">
      <w:pPr>
        <w:jc w:val="center"/>
        <w:rPr>
          <w:rFonts w:ascii="Times New Roman" w:hAnsi="Times New Roman" w:cs="Times New Roman"/>
        </w:rPr>
      </w:pPr>
    </w:p>
    <w:p w14:paraId="6D4E5E78" w14:textId="77777777" w:rsidR="00A54047" w:rsidRPr="00E0240E" w:rsidRDefault="00A54047" w:rsidP="00A54047">
      <w:pPr>
        <w:jc w:val="center"/>
        <w:rPr>
          <w:rFonts w:ascii="Times New Roman" w:hAnsi="Times New Roman" w:cs="Times New Roman"/>
        </w:rPr>
      </w:pPr>
    </w:p>
    <w:p w14:paraId="728B1A86" w14:textId="77777777" w:rsidR="00A54047" w:rsidRPr="00E0240E" w:rsidRDefault="00A54047" w:rsidP="00A54047">
      <w:pPr>
        <w:jc w:val="center"/>
        <w:rPr>
          <w:rFonts w:ascii="Times New Roman" w:hAnsi="Times New Roman" w:cs="Times New Roman"/>
        </w:rPr>
      </w:pPr>
    </w:p>
    <w:p w14:paraId="5D858D79" w14:textId="77777777" w:rsidR="00A54047" w:rsidRPr="00E0240E" w:rsidRDefault="00A54047" w:rsidP="00A54047">
      <w:pPr>
        <w:jc w:val="center"/>
        <w:rPr>
          <w:rFonts w:ascii="Times New Roman" w:hAnsi="Times New Roman" w:cs="Times New Roman"/>
        </w:rPr>
      </w:pPr>
      <w:r w:rsidRPr="00E0240E">
        <w:rPr>
          <w:rFonts w:ascii="Times New Roman" w:hAnsi="Times New Roman" w:cs="Times New Roman"/>
        </w:rPr>
        <w:t>Lawrence C. Walters</w:t>
      </w:r>
    </w:p>
    <w:p w14:paraId="67915277" w14:textId="77777777" w:rsidR="00A54047" w:rsidRPr="00E0240E" w:rsidRDefault="00A54047" w:rsidP="00A54047">
      <w:pPr>
        <w:pStyle w:val="NoSpacing"/>
        <w:jc w:val="center"/>
        <w:rPr>
          <w:rFonts w:ascii="Times New Roman" w:hAnsi="Times New Roman" w:cs="Times New Roman"/>
        </w:rPr>
      </w:pPr>
      <w:r w:rsidRPr="00E0240E">
        <w:rPr>
          <w:rFonts w:ascii="Times New Roman" w:hAnsi="Times New Roman" w:cs="Times New Roman"/>
        </w:rPr>
        <w:t>Romney Institute of Public Management</w:t>
      </w:r>
    </w:p>
    <w:p w14:paraId="4D159491" w14:textId="77777777" w:rsidR="00A54047" w:rsidRPr="00E0240E" w:rsidRDefault="00A54047" w:rsidP="00A54047">
      <w:pPr>
        <w:pStyle w:val="NoSpacing"/>
        <w:jc w:val="center"/>
        <w:rPr>
          <w:rFonts w:ascii="Times New Roman" w:hAnsi="Times New Roman" w:cs="Times New Roman"/>
        </w:rPr>
      </w:pPr>
      <w:r w:rsidRPr="00E0240E">
        <w:rPr>
          <w:rFonts w:ascii="Times New Roman" w:hAnsi="Times New Roman" w:cs="Times New Roman"/>
        </w:rPr>
        <w:t>Brigham Young University</w:t>
      </w:r>
    </w:p>
    <w:p w14:paraId="4FF169BF" w14:textId="77777777" w:rsidR="00A54047" w:rsidRDefault="00A54047" w:rsidP="00A54047">
      <w:pPr>
        <w:jc w:val="center"/>
        <w:rPr>
          <w:rFonts w:ascii="Times New Roman" w:hAnsi="Times New Roman" w:cs="Times New Roman"/>
        </w:rPr>
      </w:pPr>
    </w:p>
    <w:p w14:paraId="5951344E" w14:textId="1B50833B" w:rsidR="00D0357F" w:rsidRPr="00E0240E" w:rsidRDefault="00D0357F" w:rsidP="00A54047">
      <w:pPr>
        <w:jc w:val="center"/>
        <w:rPr>
          <w:rFonts w:ascii="Times New Roman" w:hAnsi="Times New Roman" w:cs="Times New Roman"/>
        </w:rPr>
      </w:pPr>
      <w:r>
        <w:rPr>
          <w:rFonts w:ascii="Times New Roman" w:hAnsi="Times New Roman" w:cs="Times New Roman"/>
        </w:rPr>
        <w:t>Draft November 6, 2015</w:t>
      </w:r>
    </w:p>
    <w:p w14:paraId="7B72B3E0" w14:textId="77777777" w:rsidR="00A54047" w:rsidRPr="00E0240E" w:rsidRDefault="00A54047" w:rsidP="00A54047">
      <w:pPr>
        <w:jc w:val="center"/>
        <w:rPr>
          <w:rFonts w:ascii="Times New Roman" w:hAnsi="Times New Roman" w:cs="Times New Roman"/>
        </w:rPr>
      </w:pPr>
    </w:p>
    <w:p w14:paraId="7A6BA35D" w14:textId="426D8B66" w:rsidR="00A54047" w:rsidRPr="00E0240E" w:rsidRDefault="002E188B" w:rsidP="00A54047">
      <w:pPr>
        <w:jc w:val="center"/>
        <w:rPr>
          <w:rFonts w:ascii="Times New Roman" w:hAnsi="Times New Roman" w:cs="Times New Roman"/>
        </w:rPr>
      </w:pPr>
      <w:r>
        <w:rPr>
          <w:rFonts w:ascii="Times New Roman" w:hAnsi="Times New Roman" w:cs="Times New Roman"/>
        </w:rPr>
        <w:t xml:space="preserve">Presentation </w:t>
      </w:r>
      <w:r w:rsidR="00A54047" w:rsidRPr="00E0240E">
        <w:rPr>
          <w:rFonts w:ascii="Times New Roman" w:hAnsi="Times New Roman" w:cs="Times New Roman"/>
        </w:rPr>
        <w:t>November 1</w:t>
      </w:r>
      <w:r w:rsidR="009938C3">
        <w:rPr>
          <w:rFonts w:ascii="Times New Roman" w:hAnsi="Times New Roman" w:cs="Times New Roman"/>
        </w:rPr>
        <w:t>7</w:t>
      </w:r>
      <w:r w:rsidR="00A54047" w:rsidRPr="00E0240E">
        <w:rPr>
          <w:rFonts w:ascii="Times New Roman" w:hAnsi="Times New Roman" w:cs="Times New Roman"/>
        </w:rPr>
        <w:t>, 2015</w:t>
      </w:r>
    </w:p>
    <w:p w14:paraId="0E6724E5" w14:textId="77777777" w:rsidR="00A54047" w:rsidRPr="00E0240E" w:rsidRDefault="00A54047" w:rsidP="00A54047">
      <w:pPr>
        <w:jc w:val="center"/>
        <w:rPr>
          <w:rFonts w:ascii="Times New Roman" w:hAnsi="Times New Roman" w:cs="Times New Roman"/>
        </w:rPr>
      </w:pPr>
    </w:p>
    <w:p w14:paraId="25FF0D48" w14:textId="77777777" w:rsidR="00A54047" w:rsidRPr="00E0240E" w:rsidRDefault="00A54047" w:rsidP="00A54047">
      <w:pPr>
        <w:jc w:val="center"/>
        <w:rPr>
          <w:rFonts w:ascii="Times New Roman" w:hAnsi="Times New Roman" w:cs="Times New Roman"/>
        </w:rPr>
      </w:pPr>
    </w:p>
    <w:p w14:paraId="44AD3D73" w14:textId="77777777" w:rsidR="00A54047" w:rsidRPr="00E0240E" w:rsidRDefault="00A54047" w:rsidP="00A54047">
      <w:pPr>
        <w:jc w:val="center"/>
        <w:rPr>
          <w:rFonts w:ascii="Times New Roman" w:hAnsi="Times New Roman" w:cs="Times New Roman"/>
        </w:rPr>
      </w:pPr>
    </w:p>
    <w:p w14:paraId="451B4AC1" w14:textId="77777777" w:rsidR="00A54047" w:rsidRPr="00E0240E" w:rsidRDefault="00A54047" w:rsidP="00A54047">
      <w:pPr>
        <w:jc w:val="center"/>
        <w:rPr>
          <w:rFonts w:ascii="Times New Roman" w:hAnsi="Times New Roman" w:cs="Times New Roman"/>
        </w:rPr>
      </w:pPr>
    </w:p>
    <w:p w14:paraId="430FB01F" w14:textId="77777777" w:rsidR="00A54047" w:rsidRPr="00E0240E" w:rsidRDefault="00A54047" w:rsidP="00A54047">
      <w:pPr>
        <w:jc w:val="center"/>
        <w:rPr>
          <w:rFonts w:ascii="Times New Roman" w:hAnsi="Times New Roman" w:cs="Times New Roman"/>
        </w:rPr>
      </w:pPr>
    </w:p>
    <w:p w14:paraId="4BE45F37" w14:textId="77777777" w:rsidR="00A54047" w:rsidRPr="00E0240E" w:rsidRDefault="00A54047" w:rsidP="00A54047">
      <w:pPr>
        <w:tabs>
          <w:tab w:val="left" w:pos="2527"/>
        </w:tabs>
        <w:rPr>
          <w:rFonts w:ascii="Times New Roman" w:hAnsi="Times New Roman" w:cs="Times New Roman"/>
        </w:rPr>
      </w:pPr>
      <w:r>
        <w:rPr>
          <w:rFonts w:ascii="Times New Roman" w:hAnsi="Times New Roman" w:cs="Times New Roman"/>
        </w:rPr>
        <w:tab/>
      </w:r>
    </w:p>
    <w:p w14:paraId="1325A58A" w14:textId="77777777" w:rsidR="00A54047" w:rsidRPr="00E0240E" w:rsidRDefault="00A54047" w:rsidP="00A54047">
      <w:pPr>
        <w:jc w:val="center"/>
        <w:rPr>
          <w:rFonts w:ascii="Times New Roman" w:hAnsi="Times New Roman" w:cs="Times New Roman"/>
        </w:rPr>
      </w:pPr>
    </w:p>
    <w:p w14:paraId="264C4978" w14:textId="77777777" w:rsidR="00A54047" w:rsidRPr="00E0240E" w:rsidRDefault="00A54047" w:rsidP="00A54047">
      <w:pPr>
        <w:jc w:val="center"/>
        <w:rPr>
          <w:rFonts w:ascii="Times New Roman" w:hAnsi="Times New Roman" w:cs="Times New Roman"/>
        </w:rPr>
      </w:pPr>
    </w:p>
    <w:p w14:paraId="57AB4C1F" w14:textId="77777777" w:rsidR="00A54047" w:rsidRDefault="00A54047" w:rsidP="00A54047">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1941EB2" wp14:editId="0A6A7FEA">
                <wp:simplePos x="0" y="0"/>
                <wp:positionH relativeFrom="column">
                  <wp:posOffset>5839818</wp:posOffset>
                </wp:positionH>
                <wp:positionV relativeFrom="paragraph">
                  <wp:posOffset>1403253</wp:posOffset>
                </wp:positionV>
                <wp:extent cx="207564" cy="252441"/>
                <wp:effectExtent l="0" t="0" r="21590" b="14605"/>
                <wp:wrapNone/>
                <wp:docPr id="4" name="Rectangle 4"/>
                <wp:cNvGraphicFramePr/>
                <a:graphic xmlns:a="http://schemas.openxmlformats.org/drawingml/2006/main">
                  <a:graphicData uri="http://schemas.microsoft.com/office/word/2010/wordprocessingShape">
                    <wps:wsp>
                      <wps:cNvSpPr/>
                      <wps:spPr>
                        <a:xfrm>
                          <a:off x="0" y="0"/>
                          <a:ext cx="207564" cy="25244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84EE7" id="Rectangle 4" o:spid="_x0000_s1026" style="position:absolute;margin-left:459.85pt;margin-top:110.5pt;width:16.35pt;height:19.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" fillcolor="white [3212]" strokecolor="white [3212]" strokeweight="1pt"/>
            </w:pict>
          </mc:Fallback>
        </mc:AlternateContent>
      </w:r>
      <w:r w:rsidRPr="00E0240E">
        <w:rPr>
          <w:rFonts w:ascii="Times New Roman" w:hAnsi="Times New Roman" w:cs="Times New Roman"/>
        </w:rPr>
        <w:t xml:space="preserve">The cooperation of the following local assessors is gratefully acknowledged in providing both data and insights into assessment practices in Connecticut: Lucy Beit (Montville), Michael Bekech (Waterford), Melissa Bonin (Killingly), Damon Braasch (Middeltown), Joseph Dakers Sr. (West Hartford), Lauren Elliott (Greenwich), Mary Gardner (Groton), Lawrence LaBarbera (Windsor), John Philip (Hartford), Donna Ralston (Norwich), Donald Ross Jr. (Fairfield), Greg Stackpole (Stamford), and Walter Topliff (Bloomfield).  All responsibility for errors, omissions and misunderstandings remain the responsibility of the author. </w:t>
      </w:r>
    </w:p>
    <w:p w14:paraId="072B79A7" w14:textId="65EDCF46" w:rsidR="00111673" w:rsidRDefault="00545C81" w:rsidP="00A54047">
      <w:pPr>
        <w:jc w:val="both"/>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60288" behindDoc="0" locked="0" layoutInCell="1" allowOverlap="1" wp14:anchorId="6F358ADE" wp14:editId="0ECE1A63">
                <wp:simplePos x="0" y="0"/>
                <wp:positionH relativeFrom="column">
                  <wp:posOffset>5841242</wp:posOffset>
                </wp:positionH>
                <wp:positionV relativeFrom="paragraph">
                  <wp:posOffset>1705591</wp:posOffset>
                </wp:positionV>
                <wp:extent cx="207010" cy="279779"/>
                <wp:effectExtent l="0" t="0" r="2540" b="6350"/>
                <wp:wrapNone/>
                <wp:docPr id="2" name="Rectangle 2"/>
                <wp:cNvGraphicFramePr/>
                <a:graphic xmlns:a="http://schemas.openxmlformats.org/drawingml/2006/main">
                  <a:graphicData uri="http://schemas.microsoft.com/office/word/2010/wordprocessingShape">
                    <wps:wsp>
                      <wps:cNvSpPr/>
                      <wps:spPr>
                        <a:xfrm>
                          <a:off x="0" y="0"/>
                          <a:ext cx="207010" cy="27977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EB2159" id="Rectangle 2" o:spid="_x0000_s1026" style="position:absolute;margin-left:459.95pt;margin-top:134.3pt;width:16.3pt;height:22.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" fillcolor="white [3212]" stroked="f" strokeweight="1pt"/>
            </w:pict>
          </mc:Fallback>
        </mc:AlternateContent>
      </w:r>
    </w:p>
    <w:sdt>
      <w:sdtPr>
        <w:rPr>
          <w:rFonts w:asciiTheme="minorHAnsi" w:eastAsiaTheme="minorHAnsi" w:hAnsiTheme="minorHAnsi" w:cstheme="minorBidi"/>
          <w:color w:val="auto"/>
          <w:sz w:val="22"/>
          <w:szCs w:val="22"/>
        </w:rPr>
        <w:id w:val="1520199016"/>
        <w:docPartObj>
          <w:docPartGallery w:val="Table of Contents"/>
          <w:docPartUnique/>
        </w:docPartObj>
      </w:sdtPr>
      <w:sdtEndPr>
        <w:rPr>
          <w:b/>
          <w:bCs/>
          <w:noProof/>
        </w:rPr>
      </w:sdtEndPr>
      <w:sdtContent>
        <w:p w14:paraId="6A9FF437" w14:textId="18DE9031" w:rsidR="00111673" w:rsidRDefault="00111673">
          <w:pPr>
            <w:pStyle w:val="TOCHeading"/>
          </w:pPr>
          <w:r>
            <w:t>Table of Contents</w:t>
          </w:r>
        </w:p>
        <w:p w14:paraId="641FF353" w14:textId="77777777" w:rsidR="00111673" w:rsidRDefault="00111673">
          <w:pPr>
            <w:pStyle w:val="TOC1"/>
            <w:tabs>
              <w:tab w:val="right" w:leader="dot" w:pos="9350"/>
            </w:tabs>
            <w:rPr>
              <w:rFonts w:eastAsiaTheme="minorEastAsia" w:hint="eastAsia"/>
              <w:noProof/>
            </w:rPr>
          </w:pPr>
          <w:r>
            <w:fldChar w:fldCharType="begin"/>
          </w:r>
          <w:r>
            <w:instrText xml:space="preserve"> TOC \u \t "Heading 2,1,Heading 3,2" </w:instrText>
          </w:r>
          <w:r>
            <w:fldChar w:fldCharType="separate"/>
          </w:r>
          <w:r w:rsidRPr="00033489">
            <w:rPr>
              <w:rFonts w:ascii="Times New Roman" w:hAnsi="Times New Roman" w:cs="Times New Roman"/>
              <w:noProof/>
            </w:rPr>
            <w:t>Introduction</w:t>
          </w:r>
          <w:r>
            <w:rPr>
              <w:noProof/>
            </w:rPr>
            <w:tab/>
          </w:r>
          <w:r>
            <w:rPr>
              <w:noProof/>
            </w:rPr>
            <w:fldChar w:fldCharType="begin"/>
          </w:r>
          <w:r>
            <w:rPr>
              <w:noProof/>
            </w:rPr>
            <w:instrText xml:space="preserve"> PAGEREF _Toc434358296 \h </w:instrText>
          </w:r>
          <w:r>
            <w:rPr>
              <w:noProof/>
            </w:rPr>
          </w:r>
          <w:r>
            <w:rPr>
              <w:noProof/>
            </w:rPr>
            <w:fldChar w:fldCharType="separate"/>
          </w:r>
          <w:r>
            <w:rPr>
              <w:noProof/>
            </w:rPr>
            <w:t>3</w:t>
          </w:r>
          <w:r>
            <w:rPr>
              <w:noProof/>
            </w:rPr>
            <w:fldChar w:fldCharType="end"/>
          </w:r>
        </w:p>
        <w:p w14:paraId="38C6A73F" w14:textId="77777777" w:rsidR="00111673" w:rsidRDefault="00111673">
          <w:pPr>
            <w:pStyle w:val="TOC1"/>
            <w:tabs>
              <w:tab w:val="right" w:leader="dot" w:pos="9350"/>
            </w:tabs>
            <w:rPr>
              <w:rFonts w:eastAsiaTheme="minorEastAsia" w:hint="eastAsia"/>
              <w:noProof/>
            </w:rPr>
          </w:pPr>
          <w:r w:rsidRPr="00033489">
            <w:rPr>
              <w:rFonts w:ascii="Times New Roman" w:hAnsi="Times New Roman" w:cs="Times New Roman"/>
              <w:noProof/>
            </w:rPr>
            <w:t>The taxation of personal property</w:t>
          </w:r>
          <w:r>
            <w:rPr>
              <w:noProof/>
            </w:rPr>
            <w:tab/>
          </w:r>
          <w:r>
            <w:rPr>
              <w:noProof/>
            </w:rPr>
            <w:fldChar w:fldCharType="begin"/>
          </w:r>
          <w:r>
            <w:rPr>
              <w:noProof/>
            </w:rPr>
            <w:instrText xml:space="preserve"> PAGEREF _Toc434358297 \h </w:instrText>
          </w:r>
          <w:r>
            <w:rPr>
              <w:noProof/>
            </w:rPr>
          </w:r>
          <w:r>
            <w:rPr>
              <w:noProof/>
            </w:rPr>
            <w:fldChar w:fldCharType="separate"/>
          </w:r>
          <w:r>
            <w:rPr>
              <w:noProof/>
            </w:rPr>
            <w:t>4</w:t>
          </w:r>
          <w:r>
            <w:rPr>
              <w:noProof/>
            </w:rPr>
            <w:fldChar w:fldCharType="end"/>
          </w:r>
        </w:p>
        <w:p w14:paraId="380AEB89" w14:textId="77777777" w:rsidR="00111673" w:rsidRDefault="00111673">
          <w:pPr>
            <w:pStyle w:val="TOC2"/>
            <w:tabs>
              <w:tab w:val="right" w:leader="dot" w:pos="9350"/>
            </w:tabs>
            <w:rPr>
              <w:rFonts w:eastAsiaTheme="minorEastAsia" w:hint="eastAsia"/>
              <w:noProof/>
            </w:rPr>
          </w:pPr>
          <w:r w:rsidRPr="00033489">
            <w:rPr>
              <w:rFonts w:ascii="Times New Roman" w:hAnsi="Times New Roman" w:cs="Times New Roman"/>
              <w:noProof/>
            </w:rPr>
            <w:t>Definition</w:t>
          </w:r>
          <w:r>
            <w:rPr>
              <w:noProof/>
            </w:rPr>
            <w:tab/>
          </w:r>
          <w:r>
            <w:rPr>
              <w:noProof/>
            </w:rPr>
            <w:fldChar w:fldCharType="begin"/>
          </w:r>
          <w:r>
            <w:rPr>
              <w:noProof/>
            </w:rPr>
            <w:instrText xml:space="preserve"> PAGEREF _Toc434358298 \h </w:instrText>
          </w:r>
          <w:r>
            <w:rPr>
              <w:noProof/>
            </w:rPr>
          </w:r>
          <w:r>
            <w:rPr>
              <w:noProof/>
            </w:rPr>
            <w:fldChar w:fldCharType="separate"/>
          </w:r>
          <w:r>
            <w:rPr>
              <w:noProof/>
            </w:rPr>
            <w:t>4</w:t>
          </w:r>
          <w:r>
            <w:rPr>
              <w:noProof/>
            </w:rPr>
            <w:fldChar w:fldCharType="end"/>
          </w:r>
        </w:p>
        <w:p w14:paraId="15FAC3D5" w14:textId="77777777" w:rsidR="00111673" w:rsidRDefault="00111673">
          <w:pPr>
            <w:pStyle w:val="TOC2"/>
            <w:tabs>
              <w:tab w:val="right" w:leader="dot" w:pos="9350"/>
            </w:tabs>
            <w:rPr>
              <w:rFonts w:eastAsiaTheme="minorEastAsia" w:hint="eastAsia"/>
              <w:noProof/>
            </w:rPr>
          </w:pPr>
          <w:r w:rsidRPr="00033489">
            <w:rPr>
              <w:rFonts w:ascii="Times New Roman" w:hAnsi="Times New Roman" w:cs="Times New Roman"/>
              <w:noProof/>
            </w:rPr>
            <w:t>Fiscal importance of personal property</w:t>
          </w:r>
          <w:r>
            <w:rPr>
              <w:noProof/>
            </w:rPr>
            <w:tab/>
          </w:r>
          <w:r>
            <w:rPr>
              <w:noProof/>
            </w:rPr>
            <w:fldChar w:fldCharType="begin"/>
          </w:r>
          <w:r>
            <w:rPr>
              <w:noProof/>
            </w:rPr>
            <w:instrText xml:space="preserve"> PAGEREF _Toc434358299 \h </w:instrText>
          </w:r>
          <w:r>
            <w:rPr>
              <w:noProof/>
            </w:rPr>
          </w:r>
          <w:r>
            <w:rPr>
              <w:noProof/>
            </w:rPr>
            <w:fldChar w:fldCharType="separate"/>
          </w:r>
          <w:r>
            <w:rPr>
              <w:noProof/>
            </w:rPr>
            <w:t>5</w:t>
          </w:r>
          <w:r>
            <w:rPr>
              <w:noProof/>
            </w:rPr>
            <w:fldChar w:fldCharType="end"/>
          </w:r>
        </w:p>
        <w:p w14:paraId="50378CC8" w14:textId="77777777" w:rsidR="00111673" w:rsidRDefault="00111673">
          <w:pPr>
            <w:pStyle w:val="TOC2"/>
            <w:tabs>
              <w:tab w:val="right" w:leader="dot" w:pos="9350"/>
            </w:tabs>
            <w:rPr>
              <w:rFonts w:eastAsiaTheme="minorEastAsia" w:hint="eastAsia"/>
              <w:noProof/>
            </w:rPr>
          </w:pPr>
          <w:r w:rsidRPr="00033489">
            <w:rPr>
              <w:rFonts w:ascii="Times New Roman" w:hAnsi="Times New Roman" w:cs="Times New Roman"/>
              <w:noProof/>
            </w:rPr>
            <w:t>Administration</w:t>
          </w:r>
          <w:r>
            <w:rPr>
              <w:noProof/>
            </w:rPr>
            <w:tab/>
          </w:r>
          <w:r>
            <w:rPr>
              <w:noProof/>
            </w:rPr>
            <w:fldChar w:fldCharType="begin"/>
          </w:r>
          <w:r>
            <w:rPr>
              <w:noProof/>
            </w:rPr>
            <w:instrText xml:space="preserve"> PAGEREF _Toc434358300 \h </w:instrText>
          </w:r>
          <w:r>
            <w:rPr>
              <w:noProof/>
            </w:rPr>
          </w:r>
          <w:r>
            <w:rPr>
              <w:noProof/>
            </w:rPr>
            <w:fldChar w:fldCharType="separate"/>
          </w:r>
          <w:r>
            <w:rPr>
              <w:noProof/>
            </w:rPr>
            <w:t>9</w:t>
          </w:r>
          <w:r>
            <w:rPr>
              <w:noProof/>
            </w:rPr>
            <w:fldChar w:fldCharType="end"/>
          </w:r>
        </w:p>
        <w:p w14:paraId="7E20BCA7" w14:textId="77777777" w:rsidR="00111673" w:rsidRDefault="00111673">
          <w:pPr>
            <w:pStyle w:val="TOC1"/>
            <w:tabs>
              <w:tab w:val="right" w:leader="dot" w:pos="9350"/>
            </w:tabs>
            <w:rPr>
              <w:rFonts w:eastAsiaTheme="minorEastAsia" w:hint="eastAsia"/>
              <w:noProof/>
            </w:rPr>
          </w:pPr>
          <w:r w:rsidRPr="00033489">
            <w:rPr>
              <w:rFonts w:ascii="Times New Roman" w:hAnsi="Times New Roman" w:cs="Times New Roman"/>
              <w:noProof/>
            </w:rPr>
            <w:t>Administration of the Personal Property Tax in Connecticut</w:t>
          </w:r>
          <w:r>
            <w:rPr>
              <w:noProof/>
            </w:rPr>
            <w:tab/>
          </w:r>
          <w:r>
            <w:rPr>
              <w:noProof/>
            </w:rPr>
            <w:fldChar w:fldCharType="begin"/>
          </w:r>
          <w:r>
            <w:rPr>
              <w:noProof/>
            </w:rPr>
            <w:instrText xml:space="preserve"> PAGEREF _Toc434358301 \h </w:instrText>
          </w:r>
          <w:r>
            <w:rPr>
              <w:noProof/>
            </w:rPr>
          </w:r>
          <w:r>
            <w:rPr>
              <w:noProof/>
            </w:rPr>
            <w:fldChar w:fldCharType="separate"/>
          </w:r>
          <w:r>
            <w:rPr>
              <w:noProof/>
            </w:rPr>
            <w:t>12</w:t>
          </w:r>
          <w:r>
            <w:rPr>
              <w:noProof/>
            </w:rPr>
            <w:fldChar w:fldCharType="end"/>
          </w:r>
        </w:p>
        <w:p w14:paraId="48F2575E" w14:textId="77777777" w:rsidR="00111673" w:rsidRDefault="00111673">
          <w:pPr>
            <w:pStyle w:val="TOC2"/>
            <w:tabs>
              <w:tab w:val="right" w:leader="dot" w:pos="9350"/>
            </w:tabs>
            <w:rPr>
              <w:rFonts w:eastAsiaTheme="minorEastAsia" w:hint="eastAsia"/>
              <w:noProof/>
            </w:rPr>
          </w:pPr>
          <w:r w:rsidRPr="00033489">
            <w:rPr>
              <w:rFonts w:ascii="Times New Roman" w:hAnsi="Times New Roman" w:cs="Times New Roman"/>
              <w:noProof/>
            </w:rPr>
            <w:t>Discovery of personal property</w:t>
          </w:r>
          <w:r>
            <w:rPr>
              <w:noProof/>
            </w:rPr>
            <w:tab/>
          </w:r>
          <w:r>
            <w:rPr>
              <w:noProof/>
            </w:rPr>
            <w:fldChar w:fldCharType="begin"/>
          </w:r>
          <w:r>
            <w:rPr>
              <w:noProof/>
            </w:rPr>
            <w:instrText xml:space="preserve"> PAGEREF _Toc434358302 \h </w:instrText>
          </w:r>
          <w:r>
            <w:rPr>
              <w:noProof/>
            </w:rPr>
          </w:r>
          <w:r>
            <w:rPr>
              <w:noProof/>
            </w:rPr>
            <w:fldChar w:fldCharType="separate"/>
          </w:r>
          <w:r>
            <w:rPr>
              <w:noProof/>
            </w:rPr>
            <w:t>12</w:t>
          </w:r>
          <w:r>
            <w:rPr>
              <w:noProof/>
            </w:rPr>
            <w:fldChar w:fldCharType="end"/>
          </w:r>
        </w:p>
        <w:p w14:paraId="140E7F00" w14:textId="77777777" w:rsidR="00111673" w:rsidRDefault="00111673">
          <w:pPr>
            <w:pStyle w:val="TOC2"/>
            <w:tabs>
              <w:tab w:val="right" w:leader="dot" w:pos="9350"/>
            </w:tabs>
            <w:rPr>
              <w:rFonts w:eastAsiaTheme="minorEastAsia" w:hint="eastAsia"/>
              <w:noProof/>
            </w:rPr>
          </w:pPr>
          <w:r w:rsidRPr="00033489">
            <w:rPr>
              <w:rFonts w:ascii="Times New Roman" w:hAnsi="Times New Roman" w:cs="Times New Roman"/>
              <w:noProof/>
            </w:rPr>
            <w:t>Valuation</w:t>
          </w:r>
          <w:r>
            <w:rPr>
              <w:noProof/>
            </w:rPr>
            <w:tab/>
          </w:r>
          <w:r>
            <w:rPr>
              <w:noProof/>
            </w:rPr>
            <w:fldChar w:fldCharType="begin"/>
          </w:r>
          <w:r>
            <w:rPr>
              <w:noProof/>
            </w:rPr>
            <w:instrText xml:space="preserve"> PAGEREF _Toc434358303 \h </w:instrText>
          </w:r>
          <w:r>
            <w:rPr>
              <w:noProof/>
            </w:rPr>
          </w:r>
          <w:r>
            <w:rPr>
              <w:noProof/>
            </w:rPr>
            <w:fldChar w:fldCharType="separate"/>
          </w:r>
          <w:r>
            <w:rPr>
              <w:noProof/>
            </w:rPr>
            <w:t>14</w:t>
          </w:r>
          <w:r>
            <w:rPr>
              <w:noProof/>
            </w:rPr>
            <w:fldChar w:fldCharType="end"/>
          </w:r>
        </w:p>
        <w:p w14:paraId="0B2AF247" w14:textId="77777777" w:rsidR="00111673" w:rsidRDefault="00111673">
          <w:pPr>
            <w:pStyle w:val="TOC2"/>
            <w:tabs>
              <w:tab w:val="right" w:leader="dot" w:pos="9350"/>
            </w:tabs>
            <w:rPr>
              <w:rFonts w:eastAsiaTheme="minorEastAsia" w:hint="eastAsia"/>
              <w:noProof/>
            </w:rPr>
          </w:pPr>
          <w:r w:rsidRPr="00033489">
            <w:rPr>
              <w:rFonts w:ascii="Times New Roman" w:hAnsi="Times New Roman" w:cs="Times New Roman"/>
              <w:noProof/>
            </w:rPr>
            <w:t>Billing and Collection</w:t>
          </w:r>
          <w:r>
            <w:rPr>
              <w:noProof/>
            </w:rPr>
            <w:tab/>
          </w:r>
          <w:r>
            <w:rPr>
              <w:noProof/>
            </w:rPr>
            <w:fldChar w:fldCharType="begin"/>
          </w:r>
          <w:r>
            <w:rPr>
              <w:noProof/>
            </w:rPr>
            <w:instrText xml:space="preserve"> PAGEREF _Toc434358304 \h </w:instrText>
          </w:r>
          <w:r>
            <w:rPr>
              <w:noProof/>
            </w:rPr>
          </w:r>
          <w:r>
            <w:rPr>
              <w:noProof/>
            </w:rPr>
            <w:fldChar w:fldCharType="separate"/>
          </w:r>
          <w:r>
            <w:rPr>
              <w:noProof/>
            </w:rPr>
            <w:t>15</w:t>
          </w:r>
          <w:r>
            <w:rPr>
              <w:noProof/>
            </w:rPr>
            <w:fldChar w:fldCharType="end"/>
          </w:r>
        </w:p>
        <w:p w14:paraId="099D4804" w14:textId="77777777" w:rsidR="00111673" w:rsidRDefault="00111673">
          <w:pPr>
            <w:pStyle w:val="TOC2"/>
            <w:tabs>
              <w:tab w:val="right" w:leader="dot" w:pos="9350"/>
            </w:tabs>
            <w:rPr>
              <w:rFonts w:eastAsiaTheme="minorEastAsia" w:hint="eastAsia"/>
              <w:noProof/>
            </w:rPr>
          </w:pPr>
          <w:r w:rsidRPr="00033489">
            <w:rPr>
              <w:rFonts w:ascii="Times New Roman" w:hAnsi="Times New Roman" w:cs="Times New Roman"/>
              <w:noProof/>
            </w:rPr>
            <w:t>Auditing</w:t>
          </w:r>
          <w:r>
            <w:rPr>
              <w:noProof/>
            </w:rPr>
            <w:tab/>
          </w:r>
          <w:r>
            <w:rPr>
              <w:noProof/>
            </w:rPr>
            <w:fldChar w:fldCharType="begin"/>
          </w:r>
          <w:r>
            <w:rPr>
              <w:noProof/>
            </w:rPr>
            <w:instrText xml:space="preserve"> PAGEREF _Toc434358305 \h </w:instrText>
          </w:r>
          <w:r>
            <w:rPr>
              <w:noProof/>
            </w:rPr>
          </w:r>
          <w:r>
            <w:rPr>
              <w:noProof/>
            </w:rPr>
            <w:fldChar w:fldCharType="separate"/>
          </w:r>
          <w:r>
            <w:rPr>
              <w:noProof/>
            </w:rPr>
            <w:t>16</w:t>
          </w:r>
          <w:r>
            <w:rPr>
              <w:noProof/>
            </w:rPr>
            <w:fldChar w:fldCharType="end"/>
          </w:r>
        </w:p>
        <w:p w14:paraId="71E07A19" w14:textId="77777777" w:rsidR="00111673" w:rsidRDefault="00111673">
          <w:pPr>
            <w:pStyle w:val="TOC1"/>
            <w:tabs>
              <w:tab w:val="right" w:leader="dot" w:pos="9350"/>
            </w:tabs>
            <w:rPr>
              <w:rFonts w:eastAsiaTheme="minorEastAsia" w:hint="eastAsia"/>
              <w:noProof/>
            </w:rPr>
          </w:pPr>
          <w:r w:rsidRPr="00033489">
            <w:rPr>
              <w:rFonts w:ascii="Times New Roman" w:hAnsi="Times New Roman" w:cs="Times New Roman"/>
              <w:noProof/>
            </w:rPr>
            <w:t>Trends and patterns in the Connecticut personal property tax</w:t>
          </w:r>
          <w:r>
            <w:rPr>
              <w:noProof/>
            </w:rPr>
            <w:tab/>
          </w:r>
          <w:r>
            <w:rPr>
              <w:noProof/>
            </w:rPr>
            <w:fldChar w:fldCharType="begin"/>
          </w:r>
          <w:r>
            <w:rPr>
              <w:noProof/>
            </w:rPr>
            <w:instrText xml:space="preserve"> PAGEREF _Toc434358306 \h </w:instrText>
          </w:r>
          <w:r>
            <w:rPr>
              <w:noProof/>
            </w:rPr>
          </w:r>
          <w:r>
            <w:rPr>
              <w:noProof/>
            </w:rPr>
            <w:fldChar w:fldCharType="separate"/>
          </w:r>
          <w:r>
            <w:rPr>
              <w:noProof/>
            </w:rPr>
            <w:t>17</w:t>
          </w:r>
          <w:r>
            <w:rPr>
              <w:noProof/>
            </w:rPr>
            <w:fldChar w:fldCharType="end"/>
          </w:r>
        </w:p>
        <w:p w14:paraId="4BB8F735" w14:textId="77777777" w:rsidR="00111673" w:rsidRDefault="00111673">
          <w:pPr>
            <w:pStyle w:val="TOC1"/>
            <w:tabs>
              <w:tab w:val="right" w:leader="dot" w:pos="9350"/>
            </w:tabs>
            <w:rPr>
              <w:rFonts w:eastAsiaTheme="minorEastAsia" w:hint="eastAsia"/>
              <w:noProof/>
            </w:rPr>
          </w:pPr>
          <w:r w:rsidRPr="00033489">
            <w:rPr>
              <w:rFonts w:ascii="Times New Roman" w:hAnsi="Times New Roman" w:cs="Times New Roman"/>
              <w:noProof/>
            </w:rPr>
            <w:t>Comparisons with other states and within Connecticut</w:t>
          </w:r>
          <w:r>
            <w:rPr>
              <w:noProof/>
            </w:rPr>
            <w:tab/>
          </w:r>
          <w:r>
            <w:rPr>
              <w:noProof/>
            </w:rPr>
            <w:fldChar w:fldCharType="begin"/>
          </w:r>
          <w:r>
            <w:rPr>
              <w:noProof/>
            </w:rPr>
            <w:instrText xml:space="preserve"> PAGEREF _Toc434358307 \h </w:instrText>
          </w:r>
          <w:r>
            <w:rPr>
              <w:noProof/>
            </w:rPr>
          </w:r>
          <w:r>
            <w:rPr>
              <w:noProof/>
            </w:rPr>
            <w:fldChar w:fldCharType="separate"/>
          </w:r>
          <w:r>
            <w:rPr>
              <w:noProof/>
            </w:rPr>
            <w:t>19</w:t>
          </w:r>
          <w:r>
            <w:rPr>
              <w:noProof/>
            </w:rPr>
            <w:fldChar w:fldCharType="end"/>
          </w:r>
        </w:p>
        <w:p w14:paraId="11F09C46" w14:textId="77777777" w:rsidR="00111673" w:rsidRDefault="00111673">
          <w:pPr>
            <w:pStyle w:val="TOC2"/>
            <w:tabs>
              <w:tab w:val="right" w:leader="dot" w:pos="9350"/>
            </w:tabs>
            <w:rPr>
              <w:rFonts w:eastAsiaTheme="minorEastAsia" w:hint="eastAsia"/>
              <w:noProof/>
            </w:rPr>
          </w:pPr>
          <w:r w:rsidRPr="00033489">
            <w:rPr>
              <w:rFonts w:ascii="Times New Roman" w:hAnsi="Times New Roman" w:cs="Times New Roman"/>
              <w:noProof/>
            </w:rPr>
            <w:t>Comparisons within the state</w:t>
          </w:r>
          <w:r>
            <w:rPr>
              <w:noProof/>
            </w:rPr>
            <w:tab/>
          </w:r>
          <w:r>
            <w:rPr>
              <w:noProof/>
            </w:rPr>
            <w:fldChar w:fldCharType="begin"/>
          </w:r>
          <w:r>
            <w:rPr>
              <w:noProof/>
            </w:rPr>
            <w:instrText xml:space="preserve"> PAGEREF _Toc434358308 \h </w:instrText>
          </w:r>
          <w:r>
            <w:rPr>
              <w:noProof/>
            </w:rPr>
          </w:r>
          <w:r>
            <w:rPr>
              <w:noProof/>
            </w:rPr>
            <w:fldChar w:fldCharType="separate"/>
          </w:r>
          <w:r>
            <w:rPr>
              <w:noProof/>
            </w:rPr>
            <w:t>23</w:t>
          </w:r>
          <w:r>
            <w:rPr>
              <w:noProof/>
            </w:rPr>
            <w:fldChar w:fldCharType="end"/>
          </w:r>
        </w:p>
        <w:p w14:paraId="56A7F21C" w14:textId="77777777" w:rsidR="00111673" w:rsidRDefault="00111673">
          <w:pPr>
            <w:pStyle w:val="TOC2"/>
            <w:tabs>
              <w:tab w:val="right" w:leader="dot" w:pos="9350"/>
            </w:tabs>
            <w:rPr>
              <w:rFonts w:eastAsiaTheme="minorEastAsia" w:hint="eastAsia"/>
              <w:noProof/>
            </w:rPr>
          </w:pPr>
          <w:r w:rsidRPr="00033489">
            <w:rPr>
              <w:rFonts w:ascii="Times New Roman" w:hAnsi="Times New Roman" w:cs="Times New Roman"/>
              <w:noProof/>
            </w:rPr>
            <w:t>Summary observations on the relative burden of the personal property tax on Connecticut businesses</w:t>
          </w:r>
          <w:r>
            <w:rPr>
              <w:noProof/>
            </w:rPr>
            <w:tab/>
          </w:r>
          <w:r>
            <w:rPr>
              <w:noProof/>
            </w:rPr>
            <w:fldChar w:fldCharType="begin"/>
          </w:r>
          <w:r>
            <w:rPr>
              <w:noProof/>
            </w:rPr>
            <w:instrText xml:space="preserve"> PAGEREF _Toc434358309 \h </w:instrText>
          </w:r>
          <w:r>
            <w:rPr>
              <w:noProof/>
            </w:rPr>
          </w:r>
          <w:r>
            <w:rPr>
              <w:noProof/>
            </w:rPr>
            <w:fldChar w:fldCharType="separate"/>
          </w:r>
          <w:r>
            <w:rPr>
              <w:noProof/>
            </w:rPr>
            <w:t>23</w:t>
          </w:r>
          <w:r>
            <w:rPr>
              <w:noProof/>
            </w:rPr>
            <w:fldChar w:fldCharType="end"/>
          </w:r>
        </w:p>
        <w:p w14:paraId="03FFFD5C" w14:textId="77777777" w:rsidR="00111673" w:rsidRDefault="00111673">
          <w:pPr>
            <w:pStyle w:val="TOC1"/>
            <w:tabs>
              <w:tab w:val="right" w:leader="dot" w:pos="9350"/>
            </w:tabs>
            <w:rPr>
              <w:rFonts w:eastAsiaTheme="minorEastAsia" w:hint="eastAsia"/>
              <w:noProof/>
            </w:rPr>
          </w:pPr>
          <w:r w:rsidRPr="00033489">
            <w:rPr>
              <w:rFonts w:ascii="Times New Roman" w:hAnsi="Times New Roman" w:cs="Times New Roman"/>
              <w:noProof/>
            </w:rPr>
            <w:t>Options and observations</w:t>
          </w:r>
          <w:r>
            <w:rPr>
              <w:noProof/>
            </w:rPr>
            <w:tab/>
          </w:r>
          <w:r>
            <w:rPr>
              <w:noProof/>
            </w:rPr>
            <w:fldChar w:fldCharType="begin"/>
          </w:r>
          <w:r>
            <w:rPr>
              <w:noProof/>
            </w:rPr>
            <w:instrText xml:space="preserve"> PAGEREF _Toc434358310 \h </w:instrText>
          </w:r>
          <w:r>
            <w:rPr>
              <w:noProof/>
            </w:rPr>
          </w:r>
          <w:r>
            <w:rPr>
              <w:noProof/>
            </w:rPr>
            <w:fldChar w:fldCharType="separate"/>
          </w:r>
          <w:r>
            <w:rPr>
              <w:noProof/>
            </w:rPr>
            <w:t>24</w:t>
          </w:r>
          <w:r>
            <w:rPr>
              <w:noProof/>
            </w:rPr>
            <w:fldChar w:fldCharType="end"/>
          </w:r>
        </w:p>
        <w:p w14:paraId="0EA75617" w14:textId="77777777" w:rsidR="00111673" w:rsidRDefault="00111673">
          <w:pPr>
            <w:pStyle w:val="TOC2"/>
            <w:tabs>
              <w:tab w:val="right" w:leader="dot" w:pos="9350"/>
            </w:tabs>
            <w:rPr>
              <w:rFonts w:eastAsiaTheme="minorEastAsia" w:hint="eastAsia"/>
              <w:noProof/>
            </w:rPr>
          </w:pPr>
          <w:r w:rsidRPr="00033489">
            <w:rPr>
              <w:rFonts w:ascii="Times New Roman" w:hAnsi="Times New Roman" w:cs="Times New Roman"/>
              <w:noProof/>
            </w:rPr>
            <w:t>Compliance relief options</w:t>
          </w:r>
          <w:r>
            <w:rPr>
              <w:noProof/>
            </w:rPr>
            <w:tab/>
          </w:r>
          <w:r>
            <w:rPr>
              <w:noProof/>
            </w:rPr>
            <w:fldChar w:fldCharType="begin"/>
          </w:r>
          <w:r>
            <w:rPr>
              <w:noProof/>
            </w:rPr>
            <w:instrText xml:space="preserve"> PAGEREF _Toc434358311 \h </w:instrText>
          </w:r>
          <w:r>
            <w:rPr>
              <w:noProof/>
            </w:rPr>
          </w:r>
          <w:r>
            <w:rPr>
              <w:noProof/>
            </w:rPr>
            <w:fldChar w:fldCharType="separate"/>
          </w:r>
          <w:r>
            <w:rPr>
              <w:noProof/>
            </w:rPr>
            <w:t>24</w:t>
          </w:r>
          <w:r>
            <w:rPr>
              <w:noProof/>
            </w:rPr>
            <w:fldChar w:fldCharType="end"/>
          </w:r>
        </w:p>
        <w:p w14:paraId="449E7584" w14:textId="77777777" w:rsidR="00111673" w:rsidRDefault="00111673">
          <w:pPr>
            <w:pStyle w:val="TOC2"/>
            <w:tabs>
              <w:tab w:val="right" w:leader="dot" w:pos="9350"/>
            </w:tabs>
            <w:rPr>
              <w:rFonts w:eastAsiaTheme="minorEastAsia" w:hint="eastAsia"/>
              <w:noProof/>
            </w:rPr>
          </w:pPr>
          <w:r w:rsidRPr="00033489">
            <w:rPr>
              <w:rFonts w:ascii="Times New Roman" w:hAnsi="Times New Roman" w:cs="Times New Roman"/>
              <w:noProof/>
            </w:rPr>
            <w:t>Administrative improvement options</w:t>
          </w:r>
          <w:r>
            <w:rPr>
              <w:noProof/>
            </w:rPr>
            <w:tab/>
          </w:r>
          <w:r>
            <w:rPr>
              <w:noProof/>
            </w:rPr>
            <w:fldChar w:fldCharType="begin"/>
          </w:r>
          <w:r>
            <w:rPr>
              <w:noProof/>
            </w:rPr>
            <w:instrText xml:space="preserve"> PAGEREF _Toc434358312 \h </w:instrText>
          </w:r>
          <w:r>
            <w:rPr>
              <w:noProof/>
            </w:rPr>
          </w:r>
          <w:r>
            <w:rPr>
              <w:noProof/>
            </w:rPr>
            <w:fldChar w:fldCharType="separate"/>
          </w:r>
          <w:r>
            <w:rPr>
              <w:noProof/>
            </w:rPr>
            <w:t>25</w:t>
          </w:r>
          <w:r>
            <w:rPr>
              <w:noProof/>
            </w:rPr>
            <w:fldChar w:fldCharType="end"/>
          </w:r>
        </w:p>
        <w:p w14:paraId="0E0F1589" w14:textId="77777777" w:rsidR="00111673" w:rsidRDefault="00111673">
          <w:pPr>
            <w:pStyle w:val="TOC1"/>
            <w:tabs>
              <w:tab w:val="right" w:leader="dot" w:pos="9350"/>
            </w:tabs>
            <w:rPr>
              <w:rFonts w:eastAsiaTheme="minorEastAsia" w:hint="eastAsia"/>
              <w:noProof/>
            </w:rPr>
          </w:pPr>
          <w:r w:rsidRPr="00033489">
            <w:rPr>
              <w:rFonts w:ascii="Times New Roman" w:hAnsi="Times New Roman" w:cs="Times New Roman"/>
              <w:noProof/>
            </w:rPr>
            <w:t>References</w:t>
          </w:r>
          <w:r>
            <w:rPr>
              <w:noProof/>
            </w:rPr>
            <w:tab/>
          </w:r>
          <w:r>
            <w:rPr>
              <w:noProof/>
            </w:rPr>
            <w:fldChar w:fldCharType="begin"/>
          </w:r>
          <w:r>
            <w:rPr>
              <w:noProof/>
            </w:rPr>
            <w:instrText xml:space="preserve"> PAGEREF _Toc434358313 \h </w:instrText>
          </w:r>
          <w:r>
            <w:rPr>
              <w:noProof/>
            </w:rPr>
          </w:r>
          <w:r>
            <w:rPr>
              <w:noProof/>
            </w:rPr>
            <w:fldChar w:fldCharType="separate"/>
          </w:r>
          <w:r>
            <w:rPr>
              <w:noProof/>
            </w:rPr>
            <w:t>26</w:t>
          </w:r>
          <w:r>
            <w:rPr>
              <w:noProof/>
            </w:rPr>
            <w:fldChar w:fldCharType="end"/>
          </w:r>
        </w:p>
        <w:p w14:paraId="1568E376" w14:textId="7DECD427" w:rsidR="00111673" w:rsidRDefault="00111673">
          <w:r>
            <w:fldChar w:fldCharType="end"/>
          </w:r>
        </w:p>
      </w:sdtContent>
    </w:sdt>
    <w:p w14:paraId="0B093A60" w14:textId="77777777" w:rsidR="00A54047" w:rsidRDefault="00A54047" w:rsidP="00A54047"/>
    <w:p w14:paraId="73B9CE4E" w14:textId="77777777" w:rsidR="00111673" w:rsidRDefault="00111673" w:rsidP="00A54047"/>
    <w:p w14:paraId="635A7B1D" w14:textId="77777777" w:rsidR="00111673" w:rsidRDefault="00111673" w:rsidP="00A54047"/>
    <w:p w14:paraId="2131FC80" w14:textId="77777777" w:rsidR="00111673" w:rsidRDefault="00111673" w:rsidP="00A54047"/>
    <w:p w14:paraId="60430BE0" w14:textId="77777777" w:rsidR="00111673" w:rsidRDefault="00111673" w:rsidP="00A54047">
      <w:pPr>
        <w:sectPr w:rsidR="00111673" w:rsidSect="00111673">
          <w:footerReference w:type="default" r:id="rId8"/>
          <w:pgSz w:w="12240" w:h="15840"/>
          <w:pgMar w:top="1440" w:right="1440" w:bottom="1440" w:left="1440" w:header="720" w:footer="720" w:gutter="0"/>
          <w:pgNumType w:fmt="lowerRoman" w:start="1"/>
          <w:cols w:space="720"/>
          <w:docGrid w:linePitch="360"/>
        </w:sectPr>
      </w:pPr>
    </w:p>
    <w:p w14:paraId="1983EA4E" w14:textId="77777777" w:rsidR="00111673" w:rsidRPr="00111673" w:rsidRDefault="00111673" w:rsidP="00111673">
      <w:pPr>
        <w:jc w:val="center"/>
        <w:rPr>
          <w:rFonts w:ascii="Times New Roman" w:hAnsi="Times New Roman" w:cs="Times New Roman"/>
          <w:b/>
        </w:rPr>
      </w:pPr>
      <w:r w:rsidRPr="00111673">
        <w:rPr>
          <w:rFonts w:ascii="Times New Roman" w:hAnsi="Times New Roman" w:cs="Times New Roman"/>
          <w:b/>
        </w:rPr>
        <w:lastRenderedPageBreak/>
        <w:t>List of Tables</w:t>
      </w:r>
    </w:p>
    <w:p w14:paraId="74C06D3A" w14:textId="76190004" w:rsidR="00111673" w:rsidRDefault="00111673" w:rsidP="00111673">
      <w:pPr>
        <w:pStyle w:val="ListParagraph"/>
        <w:numPr>
          <w:ilvl w:val="0"/>
          <w:numId w:val="19"/>
        </w:numPr>
        <w:rPr>
          <w:rFonts w:ascii="Times New Roman" w:hAnsi="Times New Roman" w:cs="Times New Roman"/>
        </w:rPr>
      </w:pPr>
      <w:r w:rsidRPr="008458C3">
        <w:rPr>
          <w:rFonts w:ascii="Times New Roman" w:hAnsi="Times New Roman" w:cs="Times New Roman"/>
        </w:rPr>
        <w:t>Personal property as a percent of total property tax base for selected states, 1986-2013</w:t>
      </w:r>
      <w:r w:rsidR="0008754F">
        <w:rPr>
          <w:rFonts w:ascii="Times New Roman" w:hAnsi="Times New Roman" w:cs="Times New Roman"/>
        </w:rPr>
        <w:t xml:space="preserve"> ………….. 3 </w:t>
      </w:r>
    </w:p>
    <w:p w14:paraId="152B416F" w14:textId="4B371DC1" w:rsidR="00111673" w:rsidRDefault="00111673" w:rsidP="00111673">
      <w:pPr>
        <w:pStyle w:val="ListParagraph"/>
        <w:numPr>
          <w:ilvl w:val="0"/>
          <w:numId w:val="19"/>
        </w:numPr>
        <w:rPr>
          <w:rFonts w:ascii="Times New Roman" w:hAnsi="Times New Roman" w:cs="Times New Roman"/>
        </w:rPr>
      </w:pPr>
      <w:r>
        <w:rPr>
          <w:rFonts w:ascii="Times New Roman" w:hAnsi="Times New Roman" w:cs="Times New Roman"/>
        </w:rPr>
        <w:t>Personal property annual declaration information</w:t>
      </w:r>
      <w:r w:rsidR="0008754F">
        <w:rPr>
          <w:rFonts w:ascii="Times New Roman" w:hAnsi="Times New Roman" w:cs="Times New Roman"/>
        </w:rPr>
        <w:t xml:space="preserve"> ………………………………………………….11</w:t>
      </w:r>
    </w:p>
    <w:p w14:paraId="377A0070" w14:textId="04C362DF" w:rsidR="00111673" w:rsidRDefault="00111673" w:rsidP="00111673">
      <w:pPr>
        <w:pStyle w:val="ListParagraph"/>
        <w:numPr>
          <w:ilvl w:val="0"/>
          <w:numId w:val="19"/>
        </w:numPr>
        <w:rPr>
          <w:rFonts w:ascii="Times New Roman" w:hAnsi="Times New Roman" w:cs="Times New Roman"/>
        </w:rPr>
      </w:pPr>
      <w:r>
        <w:rPr>
          <w:rFonts w:ascii="Times New Roman" w:hAnsi="Times New Roman" w:cs="Times New Roman"/>
        </w:rPr>
        <w:t>Example personal property declaration</w:t>
      </w:r>
      <w:r w:rsidR="0008754F">
        <w:rPr>
          <w:rFonts w:ascii="Times New Roman" w:hAnsi="Times New Roman" w:cs="Times New Roman"/>
        </w:rPr>
        <w:t xml:space="preserve"> ……………………………………………………………..12</w:t>
      </w:r>
    </w:p>
    <w:p w14:paraId="5E6F9C9B" w14:textId="1BADC260" w:rsidR="00111673" w:rsidRDefault="00111673" w:rsidP="00111673">
      <w:pPr>
        <w:pStyle w:val="ListParagraph"/>
        <w:numPr>
          <w:ilvl w:val="0"/>
          <w:numId w:val="19"/>
        </w:numPr>
        <w:rPr>
          <w:rFonts w:ascii="Times New Roman" w:hAnsi="Times New Roman" w:cs="Times New Roman"/>
        </w:rPr>
      </w:pPr>
      <w:r w:rsidRPr="004152B9">
        <w:rPr>
          <w:rFonts w:ascii="Times New Roman" w:hAnsi="Times New Roman" w:cs="Times New Roman"/>
        </w:rPr>
        <w:t>Distribution</w:t>
      </w:r>
      <w:r>
        <w:rPr>
          <w:rFonts w:ascii="Times New Roman" w:hAnsi="Times New Roman" w:cs="Times New Roman"/>
        </w:rPr>
        <w:t xml:space="preserve"> of personal property value by t</w:t>
      </w:r>
      <w:r w:rsidRPr="004152B9">
        <w:rPr>
          <w:rFonts w:ascii="Times New Roman" w:hAnsi="Times New Roman" w:cs="Times New Roman"/>
        </w:rPr>
        <w:t>ype: 2013</w:t>
      </w:r>
      <w:r w:rsidR="0008754F">
        <w:rPr>
          <w:rFonts w:ascii="Times New Roman" w:hAnsi="Times New Roman" w:cs="Times New Roman"/>
        </w:rPr>
        <w:t xml:space="preserve"> ………………………………………….......13</w:t>
      </w:r>
    </w:p>
    <w:p w14:paraId="7AD7D0EE" w14:textId="58F6C21F" w:rsidR="00111673" w:rsidRDefault="00111673" w:rsidP="00111673">
      <w:pPr>
        <w:pStyle w:val="ListParagraph"/>
        <w:numPr>
          <w:ilvl w:val="0"/>
          <w:numId w:val="19"/>
        </w:numPr>
        <w:rPr>
          <w:rFonts w:ascii="Times New Roman" w:hAnsi="Times New Roman" w:cs="Times New Roman"/>
        </w:rPr>
      </w:pPr>
      <w:r>
        <w:rPr>
          <w:rFonts w:ascii="Times New Roman" w:hAnsi="Times New Roman" w:cs="Times New Roman"/>
        </w:rPr>
        <w:t>Personal property per capita and personal property penalties a</w:t>
      </w:r>
      <w:r w:rsidRPr="003736C7">
        <w:rPr>
          <w:rFonts w:ascii="Times New Roman" w:hAnsi="Times New Roman" w:cs="Times New Roman"/>
        </w:rPr>
        <w:t>ssessed</w:t>
      </w:r>
      <w:r w:rsidR="0008754F">
        <w:rPr>
          <w:rFonts w:ascii="Times New Roman" w:hAnsi="Times New Roman" w:cs="Times New Roman"/>
        </w:rPr>
        <w:t xml:space="preserve"> ……………………………..14</w:t>
      </w:r>
    </w:p>
    <w:p w14:paraId="44772682" w14:textId="3A3625FA" w:rsidR="00111673" w:rsidRDefault="00111673" w:rsidP="00111673">
      <w:pPr>
        <w:pStyle w:val="ListParagraph"/>
        <w:numPr>
          <w:ilvl w:val="0"/>
          <w:numId w:val="19"/>
        </w:numPr>
        <w:rPr>
          <w:rFonts w:ascii="Times New Roman" w:hAnsi="Times New Roman" w:cs="Times New Roman"/>
        </w:rPr>
      </w:pPr>
      <w:r>
        <w:rPr>
          <w:rFonts w:ascii="Times New Roman" w:hAnsi="Times New Roman" w:cs="Times New Roman"/>
        </w:rPr>
        <w:t>Distribution of personal property taxable values: 2014</w:t>
      </w:r>
      <w:r w:rsidR="0008754F">
        <w:rPr>
          <w:rFonts w:ascii="Times New Roman" w:hAnsi="Times New Roman" w:cs="Times New Roman"/>
        </w:rPr>
        <w:t xml:space="preserve"> ……………………………………………..17</w:t>
      </w:r>
    </w:p>
    <w:p w14:paraId="2A0D205F" w14:textId="2254E5A8" w:rsidR="00111673" w:rsidRDefault="00111673" w:rsidP="00111673">
      <w:pPr>
        <w:pStyle w:val="ListParagraph"/>
        <w:numPr>
          <w:ilvl w:val="0"/>
          <w:numId w:val="19"/>
        </w:numPr>
        <w:rPr>
          <w:rFonts w:ascii="Times New Roman" w:hAnsi="Times New Roman" w:cs="Times New Roman"/>
        </w:rPr>
      </w:pPr>
      <w:r w:rsidRPr="004F12FF">
        <w:rPr>
          <w:rFonts w:ascii="Times New Roman" w:hAnsi="Times New Roman" w:cs="Times New Roman"/>
        </w:rPr>
        <w:t>Comparative property tax obligations for $1 million in commercial real property and $200,000 in fixtures, payable in 2014</w:t>
      </w:r>
      <w:r w:rsidR="0008754F">
        <w:rPr>
          <w:rFonts w:ascii="Times New Roman" w:hAnsi="Times New Roman" w:cs="Times New Roman"/>
        </w:rPr>
        <w:t xml:space="preserve"> …………………………………………………………………………….17</w:t>
      </w:r>
    </w:p>
    <w:p w14:paraId="549F9981" w14:textId="1A18683D" w:rsidR="00111673" w:rsidRDefault="00111673" w:rsidP="00111673">
      <w:pPr>
        <w:pStyle w:val="ListParagraph"/>
        <w:numPr>
          <w:ilvl w:val="0"/>
          <w:numId w:val="19"/>
        </w:numPr>
        <w:rPr>
          <w:rFonts w:ascii="Times New Roman" w:hAnsi="Times New Roman" w:cs="Times New Roman"/>
        </w:rPr>
      </w:pPr>
      <w:r w:rsidRPr="004F12FF">
        <w:rPr>
          <w:rFonts w:ascii="Times New Roman" w:hAnsi="Times New Roman" w:cs="Times New Roman"/>
        </w:rPr>
        <w:t xml:space="preserve">Comparative property tax obligations for an </w:t>
      </w:r>
      <w:r>
        <w:rPr>
          <w:rFonts w:ascii="Times New Roman" w:hAnsi="Times New Roman" w:cs="Times New Roman"/>
        </w:rPr>
        <w:t>i</w:t>
      </w:r>
      <w:r w:rsidRPr="004F12FF">
        <w:rPr>
          <w:rFonts w:ascii="Times New Roman" w:hAnsi="Times New Roman" w:cs="Times New Roman"/>
        </w:rPr>
        <w:t>ndustrial (manufacturing) property comparison</w:t>
      </w:r>
      <w:r w:rsidR="0008754F">
        <w:rPr>
          <w:rFonts w:ascii="Times New Roman" w:hAnsi="Times New Roman" w:cs="Times New Roman"/>
        </w:rPr>
        <w:t xml:space="preserve"> …….18</w:t>
      </w:r>
    </w:p>
    <w:p w14:paraId="09D0BE29" w14:textId="7525ADD9" w:rsidR="00111673" w:rsidRDefault="00111673" w:rsidP="00111673">
      <w:pPr>
        <w:pStyle w:val="ListParagraph"/>
        <w:numPr>
          <w:ilvl w:val="0"/>
          <w:numId w:val="19"/>
        </w:numPr>
        <w:rPr>
          <w:rFonts w:ascii="Times New Roman" w:hAnsi="Times New Roman" w:cs="Times New Roman"/>
        </w:rPr>
      </w:pPr>
      <w:r w:rsidRPr="0044388E">
        <w:rPr>
          <w:rFonts w:ascii="Times New Roman" w:hAnsi="Times New Roman" w:cs="Times New Roman"/>
        </w:rPr>
        <w:t xml:space="preserve">Effective property tax rates for urban commercial property by tax status of personal property and </w:t>
      </w:r>
      <w:r w:rsidR="0008754F">
        <w:rPr>
          <w:rFonts w:ascii="Times New Roman" w:hAnsi="Times New Roman" w:cs="Times New Roman"/>
        </w:rPr>
        <w:t xml:space="preserve">  </w:t>
      </w:r>
      <w:r w:rsidRPr="0044388E">
        <w:rPr>
          <w:rFonts w:ascii="Times New Roman" w:hAnsi="Times New Roman" w:cs="Times New Roman"/>
        </w:rPr>
        <w:t>size of firm</w:t>
      </w:r>
      <w:r w:rsidR="0008754F">
        <w:rPr>
          <w:rFonts w:ascii="Times New Roman" w:hAnsi="Times New Roman" w:cs="Times New Roman"/>
        </w:rPr>
        <w:t xml:space="preserve"> …………………………………………………………………………………………..20</w:t>
      </w:r>
    </w:p>
    <w:p w14:paraId="281BEBA2" w14:textId="33467438" w:rsidR="00111673" w:rsidRDefault="00111673" w:rsidP="00111673">
      <w:pPr>
        <w:pStyle w:val="ListParagraph"/>
        <w:numPr>
          <w:ilvl w:val="0"/>
          <w:numId w:val="19"/>
        </w:numPr>
        <w:rPr>
          <w:rFonts w:ascii="Times New Roman" w:hAnsi="Times New Roman" w:cs="Times New Roman"/>
        </w:rPr>
      </w:pPr>
      <w:r w:rsidRPr="00657437">
        <w:rPr>
          <w:rFonts w:ascii="Times New Roman" w:hAnsi="Times New Roman" w:cs="Times New Roman"/>
        </w:rPr>
        <w:t xml:space="preserve">Effective property tax rates for urban industrial (manufacturing) property by tax status of </w:t>
      </w:r>
      <w:r w:rsidR="0008754F">
        <w:rPr>
          <w:rFonts w:ascii="Times New Roman" w:hAnsi="Times New Roman" w:cs="Times New Roman"/>
        </w:rPr>
        <w:t xml:space="preserve">           </w:t>
      </w:r>
      <w:r w:rsidRPr="00657437">
        <w:rPr>
          <w:rFonts w:ascii="Times New Roman" w:hAnsi="Times New Roman" w:cs="Times New Roman"/>
        </w:rPr>
        <w:t>personal property</w:t>
      </w:r>
      <w:r>
        <w:rPr>
          <w:rFonts w:ascii="Times New Roman" w:hAnsi="Times New Roman" w:cs="Times New Roman"/>
        </w:rPr>
        <w:t xml:space="preserve"> and</w:t>
      </w:r>
      <w:r w:rsidRPr="00657437">
        <w:rPr>
          <w:rFonts w:ascii="Times New Roman" w:hAnsi="Times New Roman" w:cs="Times New Roman"/>
        </w:rPr>
        <w:t xml:space="preserve"> size of firm</w:t>
      </w:r>
      <w:r w:rsidR="0008754F">
        <w:rPr>
          <w:rFonts w:ascii="Times New Roman" w:hAnsi="Times New Roman" w:cs="Times New Roman"/>
        </w:rPr>
        <w:t xml:space="preserve"> …………………………………………………………………..20</w:t>
      </w:r>
    </w:p>
    <w:p w14:paraId="522B7D4B" w14:textId="4B08F17C" w:rsidR="00111673" w:rsidRPr="0044388E" w:rsidRDefault="00111673" w:rsidP="00111673">
      <w:pPr>
        <w:pStyle w:val="ListParagraph"/>
        <w:numPr>
          <w:ilvl w:val="0"/>
          <w:numId w:val="19"/>
        </w:numPr>
        <w:rPr>
          <w:rFonts w:ascii="Times New Roman" w:hAnsi="Times New Roman" w:cs="Times New Roman"/>
        </w:rPr>
      </w:pPr>
      <w:r w:rsidRPr="005E5BAF">
        <w:rPr>
          <w:rFonts w:ascii="Times New Roman" w:hAnsi="Times New Roman" w:cs="Times New Roman"/>
        </w:rPr>
        <w:t>Distribution of estimated tax obligations for a manufacturing plant in Connecticut</w:t>
      </w:r>
      <w:r w:rsidR="0008754F">
        <w:rPr>
          <w:rFonts w:ascii="Times New Roman" w:hAnsi="Times New Roman" w:cs="Times New Roman"/>
        </w:rPr>
        <w:t xml:space="preserve"> ………………..21</w:t>
      </w:r>
    </w:p>
    <w:p w14:paraId="69727F1C" w14:textId="77777777" w:rsidR="00111673" w:rsidRPr="008458C3" w:rsidRDefault="00111673" w:rsidP="00111673">
      <w:pPr>
        <w:rPr>
          <w:rFonts w:ascii="Times New Roman" w:hAnsi="Times New Roman" w:cs="Times New Roman"/>
        </w:rPr>
      </w:pPr>
    </w:p>
    <w:p w14:paraId="68833F58" w14:textId="77777777" w:rsidR="00111673" w:rsidRPr="00111673" w:rsidRDefault="00111673" w:rsidP="00111673">
      <w:pPr>
        <w:jc w:val="center"/>
        <w:rPr>
          <w:rFonts w:ascii="Times New Roman" w:hAnsi="Times New Roman" w:cs="Times New Roman"/>
          <w:b/>
        </w:rPr>
      </w:pPr>
      <w:r w:rsidRPr="00111673">
        <w:rPr>
          <w:rFonts w:ascii="Times New Roman" w:hAnsi="Times New Roman" w:cs="Times New Roman"/>
          <w:b/>
        </w:rPr>
        <w:t>List of Figures</w:t>
      </w:r>
    </w:p>
    <w:p w14:paraId="0E21FB92" w14:textId="5827FD03" w:rsidR="00111673" w:rsidRDefault="00111673" w:rsidP="00111673">
      <w:pPr>
        <w:pStyle w:val="ListParagraph"/>
        <w:numPr>
          <w:ilvl w:val="0"/>
          <w:numId w:val="18"/>
        </w:numPr>
        <w:rPr>
          <w:rFonts w:ascii="Times New Roman" w:hAnsi="Times New Roman" w:cs="Times New Roman"/>
        </w:rPr>
      </w:pPr>
      <w:r w:rsidRPr="008458C3">
        <w:rPr>
          <w:rFonts w:ascii="Times New Roman" w:hAnsi="Times New Roman" w:cs="Times New Roman"/>
        </w:rPr>
        <w:t>Net aggregate personal property as a percent of total net Grand List</w:t>
      </w:r>
      <w:r w:rsidR="0008754F">
        <w:rPr>
          <w:rFonts w:ascii="Times New Roman" w:hAnsi="Times New Roman" w:cs="Times New Roman"/>
        </w:rPr>
        <w:t xml:space="preserve"> …………………………… 1</w:t>
      </w:r>
    </w:p>
    <w:p w14:paraId="48BCD965" w14:textId="595833E2" w:rsidR="00111673" w:rsidRDefault="00111673" w:rsidP="00111673">
      <w:pPr>
        <w:pStyle w:val="ListParagraph"/>
        <w:numPr>
          <w:ilvl w:val="0"/>
          <w:numId w:val="18"/>
        </w:numPr>
        <w:rPr>
          <w:rFonts w:ascii="Times New Roman" w:hAnsi="Times New Roman" w:cs="Times New Roman"/>
        </w:rPr>
      </w:pPr>
      <w:r w:rsidRPr="005E4D9A">
        <w:rPr>
          <w:rFonts w:ascii="Times New Roman" w:hAnsi="Times New Roman" w:cs="Times New Roman"/>
        </w:rPr>
        <w:t>Connecticut Gross Personal Property Assessed Value as a Percent of Gross State Product</w:t>
      </w:r>
      <w:r w:rsidR="0008754F">
        <w:rPr>
          <w:rFonts w:ascii="Times New Roman" w:hAnsi="Times New Roman" w:cs="Times New Roman"/>
        </w:rPr>
        <w:t xml:space="preserve"> ……. 5</w:t>
      </w:r>
    </w:p>
    <w:p w14:paraId="0FECCADD" w14:textId="0E4A7D38" w:rsidR="00111673" w:rsidRDefault="00111673" w:rsidP="00111673">
      <w:pPr>
        <w:pStyle w:val="ListParagraph"/>
        <w:numPr>
          <w:ilvl w:val="0"/>
          <w:numId w:val="18"/>
        </w:numPr>
        <w:rPr>
          <w:rFonts w:ascii="Times New Roman" w:hAnsi="Times New Roman" w:cs="Times New Roman"/>
        </w:rPr>
      </w:pPr>
      <w:r w:rsidRPr="005E4D9A">
        <w:rPr>
          <w:rFonts w:ascii="Times New Roman" w:hAnsi="Times New Roman" w:cs="Times New Roman"/>
        </w:rPr>
        <w:t xml:space="preserve">Total Personal Property Assessed Value as a Percent of Total Commercial, Industrial and </w:t>
      </w:r>
      <w:r w:rsidR="0008754F">
        <w:rPr>
          <w:rFonts w:ascii="Times New Roman" w:hAnsi="Times New Roman" w:cs="Times New Roman"/>
        </w:rPr>
        <w:t xml:space="preserve">   </w:t>
      </w:r>
      <w:r w:rsidRPr="005E4D9A">
        <w:rPr>
          <w:rFonts w:ascii="Times New Roman" w:hAnsi="Times New Roman" w:cs="Times New Roman"/>
        </w:rPr>
        <w:t>Public Utility Real Property Assessed Value</w:t>
      </w:r>
      <w:r w:rsidR="0008754F">
        <w:rPr>
          <w:rFonts w:ascii="Times New Roman" w:hAnsi="Times New Roman" w:cs="Times New Roman"/>
        </w:rPr>
        <w:t xml:space="preserve"> ……………………………………………………. 6</w:t>
      </w:r>
    </w:p>
    <w:p w14:paraId="0A2F4B97" w14:textId="0E939627" w:rsidR="00111673" w:rsidRDefault="00111673" w:rsidP="00111673">
      <w:pPr>
        <w:pStyle w:val="ListParagraph"/>
        <w:numPr>
          <w:ilvl w:val="0"/>
          <w:numId w:val="18"/>
        </w:numPr>
        <w:rPr>
          <w:rFonts w:ascii="Times New Roman" w:hAnsi="Times New Roman" w:cs="Times New Roman"/>
        </w:rPr>
      </w:pPr>
      <w:r w:rsidRPr="008C4E24">
        <w:rPr>
          <w:rFonts w:ascii="Times New Roman" w:hAnsi="Times New Roman" w:cs="Times New Roman"/>
        </w:rPr>
        <w:t>Personal Property Exemptions as a Percent of Total Personal Property Base</w:t>
      </w:r>
      <w:r w:rsidR="0008754F">
        <w:rPr>
          <w:rFonts w:ascii="Times New Roman" w:hAnsi="Times New Roman" w:cs="Times New Roman"/>
        </w:rPr>
        <w:t xml:space="preserve"> …………………... 7</w:t>
      </w:r>
    </w:p>
    <w:p w14:paraId="5373A863" w14:textId="76CFFEDF" w:rsidR="00111673" w:rsidRDefault="00111673" w:rsidP="00111673">
      <w:pPr>
        <w:pStyle w:val="ListParagraph"/>
        <w:numPr>
          <w:ilvl w:val="0"/>
          <w:numId w:val="18"/>
        </w:numPr>
        <w:rPr>
          <w:rFonts w:ascii="Times New Roman" w:hAnsi="Times New Roman" w:cs="Times New Roman"/>
        </w:rPr>
      </w:pPr>
      <w:r>
        <w:rPr>
          <w:rFonts w:ascii="Times New Roman" w:hAnsi="Times New Roman" w:cs="Times New Roman"/>
        </w:rPr>
        <w:t>Changes in the Chemical Products Manufacturing Sector</w:t>
      </w:r>
      <w:r w:rsidR="0008754F">
        <w:rPr>
          <w:rFonts w:ascii="Times New Roman" w:hAnsi="Times New Roman" w:cs="Times New Roman"/>
        </w:rPr>
        <w:t xml:space="preserve"> ………………………………………. 9</w:t>
      </w:r>
    </w:p>
    <w:p w14:paraId="170FB137" w14:textId="01C8E1E6" w:rsidR="00111673" w:rsidRDefault="00111673" w:rsidP="00111673">
      <w:pPr>
        <w:pStyle w:val="ListParagraph"/>
        <w:numPr>
          <w:ilvl w:val="0"/>
          <w:numId w:val="18"/>
        </w:numPr>
        <w:rPr>
          <w:rFonts w:ascii="Times New Roman" w:hAnsi="Times New Roman" w:cs="Times New Roman"/>
        </w:rPr>
      </w:pPr>
      <w:r>
        <w:rPr>
          <w:rFonts w:ascii="Times New Roman" w:hAnsi="Times New Roman" w:cs="Times New Roman"/>
        </w:rPr>
        <w:t>Changes in the Funds, Trusts and Other Financial Vehicles Sector</w:t>
      </w:r>
      <w:r w:rsidR="0008754F">
        <w:rPr>
          <w:rFonts w:ascii="Times New Roman" w:hAnsi="Times New Roman" w:cs="Times New Roman"/>
        </w:rPr>
        <w:t xml:space="preserve"> ……………………………..10</w:t>
      </w:r>
    </w:p>
    <w:p w14:paraId="500E36E3" w14:textId="5080B95F" w:rsidR="00111673" w:rsidRDefault="00111673" w:rsidP="00111673">
      <w:pPr>
        <w:pStyle w:val="ListParagraph"/>
        <w:numPr>
          <w:ilvl w:val="0"/>
          <w:numId w:val="18"/>
        </w:numPr>
        <w:rPr>
          <w:rFonts w:ascii="Times New Roman" w:hAnsi="Times New Roman" w:cs="Times New Roman"/>
        </w:rPr>
      </w:pPr>
      <w:r>
        <w:rPr>
          <w:rFonts w:ascii="Times New Roman" w:hAnsi="Times New Roman" w:cs="Times New Roman"/>
        </w:rPr>
        <w:t>Net personal property base as a percent of net grand list: 2013</w:t>
      </w:r>
      <w:r w:rsidR="00F30639">
        <w:rPr>
          <w:rFonts w:ascii="Times New Roman" w:hAnsi="Times New Roman" w:cs="Times New Roman"/>
        </w:rPr>
        <w:t xml:space="preserve"> …………………………………15</w:t>
      </w:r>
    </w:p>
    <w:p w14:paraId="4C5C8D3D" w14:textId="41FFC153" w:rsidR="00111673" w:rsidRDefault="00111673" w:rsidP="00111673">
      <w:pPr>
        <w:pStyle w:val="ListParagraph"/>
        <w:numPr>
          <w:ilvl w:val="0"/>
          <w:numId w:val="18"/>
        </w:numPr>
        <w:rPr>
          <w:rFonts w:ascii="Times New Roman" w:hAnsi="Times New Roman" w:cs="Times New Roman"/>
        </w:rPr>
      </w:pPr>
      <w:r>
        <w:rPr>
          <w:rFonts w:ascii="Times New Roman" w:hAnsi="Times New Roman" w:cs="Times New Roman"/>
        </w:rPr>
        <w:t>Distribution of tax obligations for $1 million in business personal property, 2014 mill rates</w:t>
      </w:r>
      <w:r w:rsidR="00F30639">
        <w:rPr>
          <w:rFonts w:ascii="Times New Roman" w:hAnsi="Times New Roman" w:cs="Times New Roman"/>
        </w:rPr>
        <w:t xml:space="preserve"> …..16</w:t>
      </w:r>
    </w:p>
    <w:p w14:paraId="15A330C8" w14:textId="77777777" w:rsidR="00111673" w:rsidRDefault="00111673" w:rsidP="00111673">
      <w:pPr>
        <w:rPr>
          <w:rFonts w:ascii="Times New Roman" w:hAnsi="Times New Roman" w:cs="Times New Roman"/>
        </w:rPr>
      </w:pPr>
    </w:p>
    <w:p w14:paraId="15B082BC" w14:textId="30933768" w:rsidR="00111673" w:rsidRDefault="00111673">
      <w:r>
        <w:br w:type="page"/>
      </w:r>
    </w:p>
    <w:p w14:paraId="02FBF0CD" w14:textId="77777777" w:rsidR="00111673" w:rsidRPr="00677543" w:rsidRDefault="00111673" w:rsidP="00111673">
      <w:pPr>
        <w:pStyle w:val="Heading2"/>
        <w:jc w:val="center"/>
        <w:rPr>
          <w:rFonts w:ascii="Times New Roman" w:hAnsi="Times New Roman" w:cs="Times New Roman"/>
        </w:rPr>
      </w:pPr>
      <w:r w:rsidRPr="00677543">
        <w:rPr>
          <w:rFonts w:ascii="Times New Roman" w:hAnsi="Times New Roman" w:cs="Times New Roman"/>
        </w:rPr>
        <w:lastRenderedPageBreak/>
        <w:t>Executive summary</w:t>
      </w:r>
    </w:p>
    <w:p w14:paraId="16519BF4" w14:textId="77777777" w:rsidR="00111673" w:rsidRDefault="00111673" w:rsidP="00111673">
      <w:pPr>
        <w:jc w:val="both"/>
        <w:rPr>
          <w:rFonts w:ascii="Times New Roman" w:hAnsi="Times New Roman" w:cs="Times New Roman"/>
        </w:rPr>
      </w:pPr>
      <w:r>
        <w:rPr>
          <w:rFonts w:ascii="Times New Roman" w:hAnsi="Times New Roman" w:cs="Times New Roman"/>
        </w:rPr>
        <w:t>The personal property category in the Connecticut property tax system includes tangible personal property owned or leased by businesses. It does not include registered motor vehicles which are assessed separately. It also excludes business inventories and intangible personal property.</w:t>
      </w:r>
    </w:p>
    <w:p w14:paraId="53D88AF3" w14:textId="77777777" w:rsidR="00111673" w:rsidRDefault="00111673" w:rsidP="00111673">
      <w:pPr>
        <w:jc w:val="both"/>
        <w:rPr>
          <w:rFonts w:ascii="Times New Roman" w:hAnsi="Times New Roman" w:cs="Times New Roman"/>
        </w:rPr>
      </w:pPr>
      <w:r>
        <w:rPr>
          <w:rFonts w:ascii="Times New Roman" w:hAnsi="Times New Roman" w:cs="Times New Roman"/>
        </w:rPr>
        <w:t xml:space="preserve">The personal property category accounts for just over 5% of total taxable property in the state and generates over $590 million in tax revenue each year. </w:t>
      </w:r>
    </w:p>
    <w:p w14:paraId="35577CAC" w14:textId="02E31FED" w:rsidR="00111673" w:rsidRDefault="00677543" w:rsidP="00111673">
      <w:pPr>
        <w:jc w:val="both"/>
        <w:rPr>
          <w:rFonts w:ascii="Times New Roman" w:hAnsi="Times New Roman" w:cs="Times New Roman"/>
        </w:rPr>
      </w:pPr>
      <w:r>
        <w:rPr>
          <w:rFonts w:ascii="Times New Roman" w:hAnsi="Times New Roman" w:cs="Times New Roman"/>
        </w:rPr>
        <w:t>Comparing the relative importance of personal property and business real property, t</w:t>
      </w:r>
      <w:r w:rsidR="00111673">
        <w:rPr>
          <w:rFonts w:ascii="Times New Roman" w:hAnsi="Times New Roman" w:cs="Times New Roman"/>
        </w:rPr>
        <w:t xml:space="preserve">he value of taxable personal property in Connecticut is currently over 40% of the value of all commercial, industrial and public utility real property in the state. </w:t>
      </w:r>
    </w:p>
    <w:p w14:paraId="785697A4" w14:textId="77777777" w:rsidR="00111673" w:rsidRDefault="00111673" w:rsidP="00111673">
      <w:pPr>
        <w:jc w:val="both"/>
        <w:rPr>
          <w:rFonts w:ascii="Times New Roman" w:hAnsi="Times New Roman" w:cs="Times New Roman"/>
        </w:rPr>
      </w:pPr>
      <w:r>
        <w:rPr>
          <w:rFonts w:ascii="Times New Roman" w:hAnsi="Times New Roman" w:cs="Times New Roman"/>
        </w:rPr>
        <w:t xml:space="preserve">There is a national downward drift in taxing personal property. States have expanded exemptions and several have or are attempting to replace the tax on personal property with other tax revenues. </w:t>
      </w:r>
    </w:p>
    <w:p w14:paraId="2D046185" w14:textId="77777777" w:rsidR="00111673" w:rsidRDefault="00111673" w:rsidP="00111673">
      <w:pPr>
        <w:jc w:val="both"/>
        <w:rPr>
          <w:rFonts w:ascii="Times New Roman" w:hAnsi="Times New Roman" w:cs="Times New Roman"/>
        </w:rPr>
      </w:pPr>
      <w:r>
        <w:rPr>
          <w:rFonts w:ascii="Times New Roman" w:hAnsi="Times New Roman" w:cs="Times New Roman"/>
        </w:rPr>
        <w:t xml:space="preserve">Personal property exemptions in Connecticut currently represent 20.4% of total personal property taxable value. </w:t>
      </w:r>
    </w:p>
    <w:p w14:paraId="1C1DF75F" w14:textId="77777777" w:rsidR="00111673" w:rsidRDefault="00111673" w:rsidP="00111673">
      <w:pPr>
        <w:jc w:val="both"/>
        <w:rPr>
          <w:rFonts w:ascii="Times New Roman" w:hAnsi="Times New Roman" w:cs="Times New Roman"/>
        </w:rPr>
      </w:pPr>
      <w:r>
        <w:rPr>
          <w:rFonts w:ascii="Times New Roman" w:hAnsi="Times New Roman" w:cs="Times New Roman"/>
        </w:rPr>
        <w:t xml:space="preserve">The personal property tax is challenging to administer because of the difficulty in identifying personal property, valuing it for tax purposes and auditing to insure compliance. </w:t>
      </w:r>
    </w:p>
    <w:p w14:paraId="44A7B900" w14:textId="77777777" w:rsidR="00111673" w:rsidRDefault="00111673" w:rsidP="00111673">
      <w:pPr>
        <w:jc w:val="both"/>
        <w:rPr>
          <w:rFonts w:ascii="Times New Roman" w:hAnsi="Times New Roman" w:cs="Times New Roman"/>
        </w:rPr>
      </w:pPr>
      <w:r>
        <w:rPr>
          <w:rFonts w:ascii="Times New Roman" w:hAnsi="Times New Roman" w:cs="Times New Roman"/>
        </w:rPr>
        <w:t xml:space="preserve">Personal property is valued using the historical purchase price less depreciation for age. The use of standardized depreciation schedules provides only a very rough estimate of current market value and does not reflect the practices employed by private fee appraisers. </w:t>
      </w:r>
    </w:p>
    <w:p w14:paraId="71710565" w14:textId="77777777" w:rsidR="00111673" w:rsidRDefault="00111673" w:rsidP="00111673">
      <w:pPr>
        <w:jc w:val="both"/>
        <w:rPr>
          <w:rFonts w:ascii="Times New Roman" w:hAnsi="Times New Roman" w:cs="Times New Roman"/>
        </w:rPr>
      </w:pPr>
      <w:r>
        <w:rPr>
          <w:rFonts w:ascii="Times New Roman" w:hAnsi="Times New Roman" w:cs="Times New Roman"/>
        </w:rPr>
        <w:t xml:space="preserve">In particular, the historical cost less depreciation approach does not consider the possibility of economic obsolescence. The chemical products manufacturing sector is one industry in Connecticut that may have experienced economic obsolescence since 2008. </w:t>
      </w:r>
    </w:p>
    <w:p w14:paraId="17E8F013" w14:textId="77777777" w:rsidR="00111673" w:rsidRPr="00677543" w:rsidRDefault="00111673" w:rsidP="00111673">
      <w:pPr>
        <w:pStyle w:val="Heading3"/>
        <w:rPr>
          <w:rFonts w:ascii="Times New Roman" w:hAnsi="Times New Roman" w:cs="Times New Roman"/>
        </w:rPr>
      </w:pPr>
      <w:r w:rsidRPr="00677543">
        <w:rPr>
          <w:rFonts w:ascii="Times New Roman" w:hAnsi="Times New Roman" w:cs="Times New Roman"/>
        </w:rPr>
        <w:t>Administration of the personal property tax in Connecticut</w:t>
      </w:r>
    </w:p>
    <w:p w14:paraId="5E4ED075" w14:textId="46FF9FBC" w:rsidR="00111673" w:rsidRDefault="00677543" w:rsidP="00111673">
      <w:pPr>
        <w:jc w:val="both"/>
        <w:rPr>
          <w:rFonts w:ascii="Times New Roman" w:hAnsi="Times New Roman" w:cs="Times New Roman"/>
        </w:rPr>
      </w:pPr>
      <w:r>
        <w:rPr>
          <w:rFonts w:ascii="Times New Roman" w:hAnsi="Times New Roman" w:cs="Times New Roman"/>
        </w:rPr>
        <w:t>Identifying personal property</w:t>
      </w:r>
      <w:r w:rsidR="00111673">
        <w:rPr>
          <w:rFonts w:ascii="Times New Roman" w:hAnsi="Times New Roman" w:cs="Times New Roman"/>
        </w:rPr>
        <w:t xml:space="preserve"> relies on self-reporting by businesses who are required to file an annual declaration detailing their owned or leased personal property grouped into 17 different categories. Reporting involves stating the aggregate original cost and acquisition date for all property in each category. </w:t>
      </w:r>
    </w:p>
    <w:p w14:paraId="10A00441" w14:textId="579FD739" w:rsidR="00111673" w:rsidRDefault="00111673" w:rsidP="00111673">
      <w:pPr>
        <w:jc w:val="both"/>
        <w:rPr>
          <w:rFonts w:ascii="Times New Roman" w:hAnsi="Times New Roman" w:cs="Times New Roman"/>
        </w:rPr>
      </w:pPr>
      <w:r>
        <w:rPr>
          <w:rFonts w:ascii="Times New Roman" w:hAnsi="Times New Roman" w:cs="Times New Roman"/>
        </w:rPr>
        <w:t>Valuation follows standardized depreciation schedules for each category. Most categories have a 30% residual value</w:t>
      </w:r>
      <w:r w:rsidR="00677543">
        <w:rPr>
          <w:rFonts w:ascii="Times New Roman" w:hAnsi="Times New Roman" w:cs="Times New Roman"/>
        </w:rPr>
        <w:t xml:space="preserve"> regardless of age</w:t>
      </w:r>
      <w:r>
        <w:rPr>
          <w:rFonts w:ascii="Times New Roman" w:hAnsi="Times New Roman" w:cs="Times New Roman"/>
        </w:rPr>
        <w:t>.</w:t>
      </w:r>
    </w:p>
    <w:p w14:paraId="65CFECBB" w14:textId="77777777" w:rsidR="00111673" w:rsidRDefault="00111673" w:rsidP="00111673">
      <w:pPr>
        <w:jc w:val="both"/>
        <w:rPr>
          <w:rFonts w:ascii="Times New Roman" w:hAnsi="Times New Roman" w:cs="Times New Roman"/>
        </w:rPr>
      </w:pPr>
      <w:r>
        <w:rPr>
          <w:rFonts w:ascii="Times New Roman" w:hAnsi="Times New Roman" w:cs="Times New Roman"/>
        </w:rPr>
        <w:t>Of the 17 reporting categories, the largest in terms of the percent of the aggregate of total personal property value are:</w:t>
      </w:r>
    </w:p>
    <w:p w14:paraId="74B9A7D5" w14:textId="77777777" w:rsidR="00111673" w:rsidRDefault="00111673" w:rsidP="00111673">
      <w:pPr>
        <w:pStyle w:val="ListParagraph"/>
        <w:numPr>
          <w:ilvl w:val="0"/>
          <w:numId w:val="20"/>
        </w:numPr>
        <w:jc w:val="both"/>
        <w:rPr>
          <w:rFonts w:ascii="Times New Roman" w:hAnsi="Times New Roman" w:cs="Times New Roman"/>
        </w:rPr>
      </w:pPr>
      <w:r>
        <w:rPr>
          <w:rFonts w:ascii="Times New Roman" w:hAnsi="Times New Roman" w:cs="Times New Roman"/>
        </w:rPr>
        <w:t xml:space="preserve">Cable, conduits, pipes, poles, towers, etc.: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26.5% </w:t>
      </w:r>
    </w:p>
    <w:p w14:paraId="116897C9" w14:textId="77777777" w:rsidR="00111673" w:rsidRDefault="00111673" w:rsidP="00111673">
      <w:pPr>
        <w:pStyle w:val="ListParagraph"/>
        <w:numPr>
          <w:ilvl w:val="0"/>
          <w:numId w:val="20"/>
        </w:numPr>
        <w:jc w:val="both"/>
        <w:rPr>
          <w:rFonts w:ascii="Times New Roman" w:hAnsi="Times New Roman" w:cs="Times New Roman"/>
        </w:rPr>
      </w:pPr>
      <w:r>
        <w:rPr>
          <w:rFonts w:ascii="Times New Roman" w:hAnsi="Times New Roman" w:cs="Times New Roman"/>
        </w:rPr>
        <w:t xml:space="preserve">Commercial furniture &amp; fixtures: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21.2% </w:t>
      </w:r>
    </w:p>
    <w:p w14:paraId="7493A1CE" w14:textId="544639B3" w:rsidR="00111673" w:rsidRDefault="00677543" w:rsidP="00111673">
      <w:pPr>
        <w:pStyle w:val="ListParagraph"/>
        <w:numPr>
          <w:ilvl w:val="0"/>
          <w:numId w:val="20"/>
        </w:numPr>
        <w:jc w:val="both"/>
        <w:rPr>
          <w:rFonts w:ascii="Times New Roman" w:hAnsi="Times New Roman" w:cs="Times New Roman"/>
        </w:rPr>
      </w:pPr>
      <w:r>
        <w:rPr>
          <w:rFonts w:ascii="Times New Roman" w:hAnsi="Times New Roman" w:cs="Times New Roman"/>
        </w:rPr>
        <w:t>Manufacturing &amp; biotechnology machinery &amp; e</w:t>
      </w:r>
      <w:r w:rsidR="00111673" w:rsidRPr="00064492">
        <w:rPr>
          <w:rFonts w:ascii="Times New Roman" w:hAnsi="Times New Roman" w:cs="Times New Roman"/>
        </w:rPr>
        <w:t>quipment</w:t>
      </w:r>
      <w:r w:rsidR="00111673">
        <w:rPr>
          <w:rFonts w:ascii="Times New Roman" w:hAnsi="Times New Roman" w:cs="Times New Roman"/>
        </w:rPr>
        <w:t>:</w:t>
      </w:r>
      <w:r w:rsidR="00111673">
        <w:rPr>
          <w:rFonts w:ascii="Times New Roman" w:hAnsi="Times New Roman" w:cs="Times New Roman"/>
        </w:rPr>
        <w:tab/>
        <w:t xml:space="preserve">17.6% </w:t>
      </w:r>
    </w:p>
    <w:p w14:paraId="5EB346FB" w14:textId="75BB7C24" w:rsidR="00111673" w:rsidRDefault="00111673" w:rsidP="00111673">
      <w:pPr>
        <w:jc w:val="both"/>
        <w:rPr>
          <w:rFonts w:ascii="Times New Roman" w:hAnsi="Times New Roman" w:cs="Times New Roman"/>
        </w:rPr>
      </w:pPr>
      <w:r>
        <w:rPr>
          <w:rFonts w:ascii="Times New Roman" w:hAnsi="Times New Roman" w:cs="Times New Roman"/>
        </w:rPr>
        <w:t xml:space="preserve">Compliance appears to be variable across the state. The tax is reported to be difficult to collect in some jurisdictions because of the rate of business turnover. Auditing practices appear to be highly variable. There is evidence </w:t>
      </w:r>
      <w:r w:rsidR="00677543">
        <w:rPr>
          <w:rFonts w:ascii="Times New Roman" w:hAnsi="Times New Roman" w:cs="Times New Roman"/>
        </w:rPr>
        <w:t>suggesting</w:t>
      </w:r>
      <w:r>
        <w:rPr>
          <w:rFonts w:ascii="Times New Roman" w:hAnsi="Times New Roman" w:cs="Times New Roman"/>
        </w:rPr>
        <w:t xml:space="preserve"> enforcement efforts are more lax in jurisdictions with high levels of personal property per capita.</w:t>
      </w:r>
    </w:p>
    <w:p w14:paraId="1EB701CC" w14:textId="77777777" w:rsidR="00111673" w:rsidRPr="00677543" w:rsidRDefault="00111673" w:rsidP="00111673">
      <w:pPr>
        <w:pStyle w:val="Heading3"/>
        <w:rPr>
          <w:rFonts w:ascii="Times New Roman" w:hAnsi="Times New Roman" w:cs="Times New Roman"/>
        </w:rPr>
      </w:pPr>
      <w:r w:rsidRPr="00677543">
        <w:rPr>
          <w:rFonts w:ascii="Times New Roman" w:hAnsi="Times New Roman" w:cs="Times New Roman"/>
        </w:rPr>
        <w:t xml:space="preserve">Trends and patterns </w:t>
      </w:r>
    </w:p>
    <w:p w14:paraId="6DCCB730" w14:textId="77777777" w:rsidR="00111673" w:rsidRDefault="00111673" w:rsidP="00111673">
      <w:pPr>
        <w:jc w:val="both"/>
        <w:rPr>
          <w:rFonts w:ascii="Times New Roman" w:hAnsi="Times New Roman" w:cs="Times New Roman"/>
        </w:rPr>
      </w:pPr>
      <w:r>
        <w:rPr>
          <w:rFonts w:ascii="Times New Roman" w:hAnsi="Times New Roman" w:cs="Times New Roman"/>
        </w:rPr>
        <w:t xml:space="preserve">Personal property as a percent of total taxable property varies across cities and towns in the state from 0.88% to 24.3%. </w:t>
      </w:r>
    </w:p>
    <w:p w14:paraId="619CA299" w14:textId="77777777" w:rsidR="00111673" w:rsidRDefault="00111673" w:rsidP="00111673">
      <w:pPr>
        <w:jc w:val="both"/>
        <w:rPr>
          <w:rFonts w:ascii="Times New Roman" w:hAnsi="Times New Roman" w:cs="Times New Roman"/>
        </w:rPr>
      </w:pPr>
      <w:r>
        <w:rPr>
          <w:rFonts w:ascii="Times New Roman" w:hAnsi="Times New Roman" w:cs="Times New Roman"/>
        </w:rPr>
        <w:lastRenderedPageBreak/>
        <w:t>Mill rates also vary markedly, from 10.7 to 74.29, with an average of 29.47. Consequently the tax burden placed on personal property varies markedly as well.</w:t>
      </w:r>
    </w:p>
    <w:p w14:paraId="5116B2A7" w14:textId="00D023D6" w:rsidR="00111673" w:rsidRDefault="00677543" w:rsidP="00111673">
      <w:pPr>
        <w:jc w:val="both"/>
        <w:rPr>
          <w:rFonts w:ascii="Times New Roman" w:hAnsi="Times New Roman" w:cs="Times New Roman"/>
        </w:rPr>
      </w:pPr>
      <w:r>
        <w:rPr>
          <w:rFonts w:ascii="Times New Roman" w:hAnsi="Times New Roman" w:cs="Times New Roman"/>
        </w:rPr>
        <w:t>The analysis of over 30</w:t>
      </w:r>
      <w:r w:rsidR="00111673">
        <w:rPr>
          <w:rFonts w:ascii="Times New Roman" w:hAnsi="Times New Roman" w:cs="Times New Roman"/>
        </w:rPr>
        <w:t xml:space="preserve">,000 individual </w:t>
      </w:r>
      <w:r>
        <w:rPr>
          <w:rFonts w:ascii="Times New Roman" w:hAnsi="Times New Roman" w:cs="Times New Roman"/>
        </w:rPr>
        <w:t>personal property accounts in 13</w:t>
      </w:r>
      <w:r w:rsidR="00111673">
        <w:rPr>
          <w:rFonts w:ascii="Times New Roman" w:hAnsi="Times New Roman" w:cs="Times New Roman"/>
        </w:rPr>
        <w:t xml:space="preserve"> different jurisdictions </w:t>
      </w:r>
      <w:r w:rsidR="00111673" w:rsidRPr="009F5B16">
        <w:rPr>
          <w:rFonts w:ascii="Times New Roman" w:hAnsi="Times New Roman" w:cs="Times New Roman"/>
        </w:rPr>
        <w:t xml:space="preserve">shows that </w:t>
      </w:r>
    </w:p>
    <w:p w14:paraId="6ED0A029" w14:textId="08A5AFDC" w:rsidR="00111673" w:rsidRDefault="00111673" w:rsidP="00111673">
      <w:pPr>
        <w:pStyle w:val="ListParagraph"/>
        <w:numPr>
          <w:ilvl w:val="0"/>
          <w:numId w:val="20"/>
        </w:numPr>
        <w:jc w:val="both"/>
        <w:rPr>
          <w:rFonts w:ascii="Times New Roman" w:hAnsi="Times New Roman" w:cs="Times New Roman"/>
        </w:rPr>
      </w:pPr>
      <w:r>
        <w:rPr>
          <w:rFonts w:ascii="Times New Roman" w:hAnsi="Times New Roman" w:cs="Times New Roman"/>
        </w:rPr>
        <w:t>N</w:t>
      </w:r>
      <w:r w:rsidRPr="00671D38">
        <w:rPr>
          <w:rFonts w:ascii="Times New Roman" w:hAnsi="Times New Roman" w:cs="Times New Roman"/>
        </w:rPr>
        <w:t>early 89% of the taxable personal property value is</w:t>
      </w:r>
      <w:r w:rsidR="00677543">
        <w:rPr>
          <w:rFonts w:ascii="Times New Roman" w:hAnsi="Times New Roman" w:cs="Times New Roman"/>
        </w:rPr>
        <w:t xml:space="preserve"> found in only 7.2</w:t>
      </w:r>
      <w:r w:rsidRPr="00671D38">
        <w:rPr>
          <w:rFonts w:ascii="Times New Roman" w:hAnsi="Times New Roman" w:cs="Times New Roman"/>
        </w:rPr>
        <w:t>% of personal property accounts</w:t>
      </w:r>
    </w:p>
    <w:p w14:paraId="549D2986" w14:textId="6E1CAF35" w:rsidR="00111673" w:rsidRDefault="00111673" w:rsidP="00111673">
      <w:pPr>
        <w:pStyle w:val="ListParagraph"/>
        <w:numPr>
          <w:ilvl w:val="0"/>
          <w:numId w:val="20"/>
        </w:numPr>
        <w:jc w:val="both"/>
        <w:rPr>
          <w:rFonts w:ascii="Times New Roman" w:hAnsi="Times New Roman" w:cs="Times New Roman"/>
        </w:rPr>
      </w:pPr>
      <w:r>
        <w:rPr>
          <w:rFonts w:ascii="Times New Roman" w:hAnsi="Times New Roman" w:cs="Times New Roman"/>
        </w:rPr>
        <w:t>O</w:t>
      </w:r>
      <w:r w:rsidRPr="009F5B16">
        <w:rPr>
          <w:rFonts w:ascii="Times New Roman" w:hAnsi="Times New Roman" w:cs="Times New Roman"/>
        </w:rPr>
        <w:t>ver 52% of</w:t>
      </w:r>
      <w:r w:rsidR="00677543">
        <w:rPr>
          <w:rFonts w:ascii="Times New Roman" w:hAnsi="Times New Roman" w:cs="Times New Roman"/>
        </w:rPr>
        <w:t xml:space="preserve"> the value is found in only 0.22</w:t>
      </w:r>
      <w:r w:rsidRPr="009F5B16">
        <w:rPr>
          <w:rFonts w:ascii="Times New Roman" w:hAnsi="Times New Roman" w:cs="Times New Roman"/>
        </w:rPr>
        <w:t>% of the accounts</w:t>
      </w:r>
    </w:p>
    <w:p w14:paraId="2C4ED16C" w14:textId="77777777" w:rsidR="00111673" w:rsidRDefault="00111673" w:rsidP="00111673">
      <w:pPr>
        <w:pStyle w:val="ListParagraph"/>
        <w:numPr>
          <w:ilvl w:val="0"/>
          <w:numId w:val="20"/>
        </w:numPr>
        <w:jc w:val="both"/>
        <w:rPr>
          <w:rFonts w:ascii="Times New Roman" w:hAnsi="Times New Roman" w:cs="Times New Roman"/>
        </w:rPr>
      </w:pPr>
      <w:r>
        <w:rPr>
          <w:rFonts w:ascii="Times New Roman" w:hAnsi="Times New Roman" w:cs="Times New Roman"/>
        </w:rPr>
        <w:t xml:space="preserve">At the other extreme, </w:t>
      </w:r>
      <w:r w:rsidRPr="009F5B16">
        <w:rPr>
          <w:rFonts w:ascii="Times New Roman" w:hAnsi="Times New Roman" w:cs="Times New Roman"/>
        </w:rPr>
        <w:t>93% of all tax accounts total only 11.5% of taxable value</w:t>
      </w:r>
    </w:p>
    <w:p w14:paraId="66C4EA9B" w14:textId="77777777" w:rsidR="00111673" w:rsidRDefault="00111673" w:rsidP="00111673">
      <w:pPr>
        <w:pStyle w:val="ListParagraph"/>
        <w:numPr>
          <w:ilvl w:val="0"/>
          <w:numId w:val="20"/>
        </w:numPr>
        <w:jc w:val="both"/>
        <w:rPr>
          <w:rFonts w:ascii="Times New Roman" w:hAnsi="Times New Roman" w:cs="Times New Roman"/>
        </w:rPr>
      </w:pPr>
      <w:r>
        <w:rPr>
          <w:rFonts w:ascii="Times New Roman" w:hAnsi="Times New Roman" w:cs="Times New Roman"/>
        </w:rPr>
        <w:t>The median tax obligation for all accounts valued at less than $1 million is $251</w:t>
      </w:r>
    </w:p>
    <w:p w14:paraId="2B693C5D" w14:textId="77777777" w:rsidR="00111673" w:rsidRDefault="00111673" w:rsidP="00111673">
      <w:pPr>
        <w:jc w:val="both"/>
        <w:rPr>
          <w:rFonts w:ascii="Times New Roman" w:hAnsi="Times New Roman" w:cs="Times New Roman"/>
        </w:rPr>
      </w:pPr>
      <w:r w:rsidRPr="009F5B16">
        <w:rPr>
          <w:rFonts w:ascii="Times New Roman" w:hAnsi="Times New Roman" w:cs="Times New Roman"/>
        </w:rPr>
        <w:t xml:space="preserve">For the majority of businesses, </w:t>
      </w:r>
      <w:r>
        <w:rPr>
          <w:rFonts w:ascii="Times New Roman" w:hAnsi="Times New Roman" w:cs="Times New Roman"/>
        </w:rPr>
        <w:t>the personal property tax</w:t>
      </w:r>
      <w:r w:rsidRPr="009F5B16">
        <w:rPr>
          <w:rFonts w:ascii="Times New Roman" w:hAnsi="Times New Roman" w:cs="Times New Roman"/>
        </w:rPr>
        <w:t xml:space="preserve"> is more nuisance than financial burden. It is likely that it costs firms more to comply and cities more to administer the tax than can be justified by the amount of revenue collected from the large majority of taxpayers.</w:t>
      </w:r>
    </w:p>
    <w:p w14:paraId="7F3D7F84" w14:textId="77777777" w:rsidR="00111673" w:rsidRPr="00677543" w:rsidRDefault="00111673" w:rsidP="00111673">
      <w:pPr>
        <w:pStyle w:val="Heading3"/>
        <w:rPr>
          <w:rFonts w:ascii="Times New Roman" w:hAnsi="Times New Roman" w:cs="Times New Roman"/>
        </w:rPr>
      </w:pPr>
      <w:r w:rsidRPr="00677543">
        <w:rPr>
          <w:rFonts w:ascii="Times New Roman" w:hAnsi="Times New Roman" w:cs="Times New Roman"/>
        </w:rPr>
        <w:t>Comparisons of business tax burdens</w:t>
      </w:r>
    </w:p>
    <w:p w14:paraId="7551F2F2" w14:textId="435A3F1C" w:rsidR="00111673" w:rsidRDefault="00111673" w:rsidP="00111673">
      <w:pPr>
        <w:jc w:val="both"/>
        <w:rPr>
          <w:rFonts w:ascii="Times New Roman" w:hAnsi="Times New Roman" w:cs="Times New Roman"/>
        </w:rPr>
      </w:pPr>
      <w:r>
        <w:rPr>
          <w:rFonts w:ascii="Times New Roman" w:hAnsi="Times New Roman" w:cs="Times New Roman"/>
        </w:rPr>
        <w:t>T</w:t>
      </w:r>
      <w:r w:rsidRPr="00C43423">
        <w:rPr>
          <w:rFonts w:ascii="Times New Roman" w:hAnsi="Times New Roman" w:cs="Times New Roman"/>
        </w:rPr>
        <w:t xml:space="preserve">he Connecticut property tax </w:t>
      </w:r>
      <w:r>
        <w:rPr>
          <w:rFonts w:ascii="Times New Roman" w:hAnsi="Times New Roman" w:cs="Times New Roman"/>
        </w:rPr>
        <w:t xml:space="preserve">on combined </w:t>
      </w:r>
      <w:r w:rsidRPr="00C43423">
        <w:rPr>
          <w:rFonts w:ascii="Times New Roman" w:hAnsi="Times New Roman" w:cs="Times New Roman"/>
        </w:rPr>
        <w:t xml:space="preserve">real estate and business personal property is above the national average for urban areas and below the national average for rural areas. </w:t>
      </w:r>
    </w:p>
    <w:p w14:paraId="63E221D4" w14:textId="77777777" w:rsidR="00111673" w:rsidRDefault="00111673" w:rsidP="00111673">
      <w:pPr>
        <w:jc w:val="both"/>
        <w:rPr>
          <w:rFonts w:ascii="Times New Roman" w:hAnsi="Times New Roman" w:cs="Times New Roman"/>
        </w:rPr>
      </w:pPr>
      <w:r>
        <w:rPr>
          <w:rFonts w:ascii="Times New Roman" w:hAnsi="Times New Roman" w:cs="Times New Roman"/>
        </w:rPr>
        <w:t>E</w:t>
      </w:r>
      <w:r w:rsidRPr="00C43423">
        <w:rPr>
          <w:rFonts w:ascii="Times New Roman" w:hAnsi="Times New Roman" w:cs="Times New Roman"/>
        </w:rPr>
        <w:t>ven for urban areas, there are a number of states that appear to have higher combined property tax burdens for commercial and industrial property.</w:t>
      </w:r>
    </w:p>
    <w:p w14:paraId="75389BDA" w14:textId="77777777" w:rsidR="00111673" w:rsidRDefault="00111673" w:rsidP="00111673">
      <w:pPr>
        <w:jc w:val="both"/>
        <w:rPr>
          <w:rFonts w:ascii="Times New Roman" w:hAnsi="Times New Roman" w:cs="Times New Roman"/>
        </w:rPr>
      </w:pPr>
      <w:r w:rsidRPr="00C43423">
        <w:rPr>
          <w:rFonts w:ascii="Times New Roman" w:hAnsi="Times New Roman" w:cs="Times New Roman"/>
        </w:rPr>
        <w:t>The treatment of business personal property in Connecticut does not appear to set Connecticut apart from other states.</w:t>
      </w:r>
      <w:r>
        <w:rPr>
          <w:rFonts w:ascii="Times New Roman" w:hAnsi="Times New Roman" w:cs="Times New Roman"/>
        </w:rPr>
        <w:t xml:space="preserve"> </w:t>
      </w:r>
    </w:p>
    <w:p w14:paraId="17BFF23C" w14:textId="7833F5C0" w:rsidR="00111673" w:rsidRDefault="00111673" w:rsidP="00111673">
      <w:pPr>
        <w:jc w:val="both"/>
        <w:rPr>
          <w:rFonts w:ascii="Times New Roman" w:hAnsi="Times New Roman" w:cs="Times New Roman"/>
        </w:rPr>
      </w:pPr>
      <w:r>
        <w:rPr>
          <w:rFonts w:ascii="Times New Roman" w:hAnsi="Times New Roman" w:cs="Times New Roman"/>
        </w:rPr>
        <w:t>Effective overall (real and personal) property tax rates do not differ nationally between states which tax personal property and those which do not. T</w:t>
      </w:r>
      <w:r w:rsidRPr="00C43423">
        <w:rPr>
          <w:rFonts w:ascii="Times New Roman" w:hAnsi="Times New Roman" w:cs="Times New Roman"/>
        </w:rPr>
        <w:t xml:space="preserve">here is no evidence that tax burdens are higher for firms in states that tax any of the types of </w:t>
      </w:r>
      <w:r>
        <w:rPr>
          <w:rFonts w:ascii="Times New Roman" w:hAnsi="Times New Roman" w:cs="Times New Roman"/>
        </w:rPr>
        <w:t xml:space="preserve">tangible </w:t>
      </w:r>
      <w:r w:rsidRPr="00C43423">
        <w:rPr>
          <w:rFonts w:ascii="Times New Roman" w:hAnsi="Times New Roman" w:cs="Times New Roman"/>
        </w:rPr>
        <w:t>personal property</w:t>
      </w:r>
      <w:r>
        <w:rPr>
          <w:rFonts w:ascii="Times New Roman" w:hAnsi="Times New Roman" w:cs="Times New Roman"/>
        </w:rPr>
        <w:t>.</w:t>
      </w:r>
    </w:p>
    <w:p w14:paraId="39BC9AF9" w14:textId="7E2253F3" w:rsidR="00111673" w:rsidRDefault="00111673" w:rsidP="00111673">
      <w:pPr>
        <w:jc w:val="both"/>
        <w:rPr>
          <w:rFonts w:ascii="Times New Roman" w:hAnsi="Times New Roman" w:cs="Times New Roman"/>
        </w:rPr>
      </w:pPr>
      <w:r>
        <w:rPr>
          <w:rFonts w:ascii="Times New Roman" w:hAnsi="Times New Roman" w:cs="Times New Roman"/>
        </w:rPr>
        <w:t xml:space="preserve">While there is substantial variation in tax burdens within the state, </w:t>
      </w:r>
      <w:r w:rsidR="00677543">
        <w:rPr>
          <w:rFonts w:ascii="Times New Roman" w:hAnsi="Times New Roman" w:cs="Times New Roman"/>
        </w:rPr>
        <w:t>Connecticut</w:t>
      </w:r>
      <w:r w:rsidRPr="00FB33D9">
        <w:rPr>
          <w:rFonts w:ascii="Times New Roman" w:hAnsi="Times New Roman" w:cs="Times New Roman"/>
        </w:rPr>
        <w:t xml:space="preserve"> tax </w:t>
      </w:r>
      <w:r>
        <w:rPr>
          <w:rFonts w:ascii="Times New Roman" w:hAnsi="Times New Roman" w:cs="Times New Roman"/>
        </w:rPr>
        <w:t>rates are</w:t>
      </w:r>
      <w:r w:rsidRPr="00FB33D9">
        <w:rPr>
          <w:rFonts w:ascii="Times New Roman" w:hAnsi="Times New Roman" w:cs="Times New Roman"/>
        </w:rPr>
        <w:t xml:space="preserve"> similar to other jurisdictions around the country. The overall median in Connecticut </w:t>
      </w:r>
      <w:r>
        <w:rPr>
          <w:rFonts w:ascii="Times New Roman" w:hAnsi="Times New Roman" w:cs="Times New Roman"/>
        </w:rPr>
        <w:t>is</w:t>
      </w:r>
      <w:r w:rsidRPr="00FB33D9">
        <w:rPr>
          <w:rFonts w:ascii="Times New Roman" w:hAnsi="Times New Roman" w:cs="Times New Roman"/>
        </w:rPr>
        <w:t xml:space="preserve"> slightly higher than the national average for urban areas</w:t>
      </w:r>
      <w:r>
        <w:rPr>
          <w:rFonts w:ascii="Times New Roman" w:hAnsi="Times New Roman" w:cs="Times New Roman"/>
        </w:rPr>
        <w:t xml:space="preserve">. </w:t>
      </w:r>
    </w:p>
    <w:p w14:paraId="13921E9F" w14:textId="77777777" w:rsidR="00111673" w:rsidRDefault="00111673" w:rsidP="00111673">
      <w:pPr>
        <w:jc w:val="both"/>
        <w:rPr>
          <w:rFonts w:ascii="Times New Roman" w:hAnsi="Times New Roman" w:cs="Times New Roman"/>
        </w:rPr>
      </w:pPr>
      <w:r>
        <w:rPr>
          <w:rFonts w:ascii="Times New Roman" w:hAnsi="Times New Roman" w:cs="Times New Roman"/>
        </w:rPr>
        <w:t xml:space="preserve">These findings relate to relatively large businesses. </w:t>
      </w:r>
      <w:r w:rsidRPr="00FB33D9">
        <w:rPr>
          <w:rFonts w:ascii="Times New Roman" w:hAnsi="Times New Roman" w:cs="Times New Roman"/>
        </w:rPr>
        <w:t>For the large majority of Connecticut businesses, the property tax on business personal property appears to be an administrative nuisance but not a significant cost in terms of the amount of tax paid.</w:t>
      </w:r>
    </w:p>
    <w:p w14:paraId="67AD7D45" w14:textId="77777777" w:rsidR="00111673" w:rsidRDefault="00111673" w:rsidP="00111673">
      <w:pPr>
        <w:pStyle w:val="Heading3"/>
        <w:rPr>
          <w:rFonts w:ascii="Times New Roman" w:hAnsi="Times New Roman" w:cs="Times New Roman"/>
        </w:rPr>
      </w:pPr>
      <w:r w:rsidRPr="00677543">
        <w:rPr>
          <w:rFonts w:ascii="Times New Roman" w:hAnsi="Times New Roman" w:cs="Times New Roman"/>
        </w:rPr>
        <w:t>Options</w:t>
      </w:r>
    </w:p>
    <w:p w14:paraId="4C7D7378" w14:textId="18EA0536" w:rsidR="00677543" w:rsidRPr="00677543" w:rsidRDefault="00677543" w:rsidP="00677543">
      <w:pPr>
        <w:rPr>
          <w:rFonts w:ascii="Times New Roman" w:hAnsi="Times New Roman" w:cs="Times New Roman"/>
        </w:rPr>
      </w:pPr>
      <w:r w:rsidRPr="00677543">
        <w:rPr>
          <w:rFonts w:ascii="Times New Roman" w:hAnsi="Times New Roman" w:cs="Times New Roman"/>
        </w:rPr>
        <w:t xml:space="preserve">The options for </w:t>
      </w:r>
      <w:r>
        <w:rPr>
          <w:rFonts w:ascii="Times New Roman" w:hAnsi="Times New Roman" w:cs="Times New Roman"/>
        </w:rPr>
        <w:t>modifying the personal property tax all present the same challenges. Granting “relief” to large taxpayers will inevitably im</w:t>
      </w:r>
      <w:r w:rsidR="00B64C25">
        <w:rPr>
          <w:rFonts w:ascii="Times New Roman" w:hAnsi="Times New Roman" w:cs="Times New Roman"/>
        </w:rPr>
        <w:t>pact local government revenues. The lost revenue will either need to be replaced from some other tax or expenditures will need to be reduced. Replacing the revenue will require some combination of transfers from the state, increases in local tax property rates or the development of new sources of local revenue.</w:t>
      </w:r>
    </w:p>
    <w:p w14:paraId="05ABB329" w14:textId="1947624E" w:rsidR="00111673" w:rsidRDefault="00111673" w:rsidP="00111673">
      <w:pPr>
        <w:jc w:val="both"/>
        <w:rPr>
          <w:rFonts w:ascii="Times New Roman" w:hAnsi="Times New Roman" w:cs="Times New Roman"/>
        </w:rPr>
      </w:pPr>
      <w:r>
        <w:rPr>
          <w:rFonts w:ascii="Times New Roman" w:hAnsi="Times New Roman" w:cs="Times New Roman"/>
        </w:rPr>
        <w:t>Option 1: T</w:t>
      </w:r>
      <w:r w:rsidRPr="00CB0C3D">
        <w:rPr>
          <w:rFonts w:ascii="Times New Roman" w:hAnsi="Times New Roman" w:cs="Times New Roman"/>
        </w:rPr>
        <w:t xml:space="preserve">he state could adopt an </w:t>
      </w:r>
      <w:r w:rsidR="00B64C25">
        <w:rPr>
          <w:rFonts w:ascii="Times New Roman" w:hAnsi="Times New Roman" w:cs="Times New Roman"/>
        </w:rPr>
        <w:t>alternative tax to replace any relief</w:t>
      </w:r>
      <w:r w:rsidRPr="00CB0C3D">
        <w:rPr>
          <w:rFonts w:ascii="Times New Roman" w:hAnsi="Times New Roman" w:cs="Times New Roman"/>
        </w:rPr>
        <w:t xml:space="preserve"> granted for the personal property tax.</w:t>
      </w:r>
      <w:r>
        <w:rPr>
          <w:rFonts w:ascii="Times New Roman" w:hAnsi="Times New Roman" w:cs="Times New Roman"/>
        </w:rPr>
        <w:t xml:space="preserve"> Similar efforts in other states demonstrate that this is difficult to implement and sustain especially in recessionary times. The experience of other states suggest</w:t>
      </w:r>
      <w:r w:rsidR="00B64C25">
        <w:rPr>
          <w:rFonts w:ascii="Times New Roman" w:hAnsi="Times New Roman" w:cs="Times New Roman"/>
        </w:rPr>
        <w:t>s</w:t>
      </w:r>
      <w:r>
        <w:rPr>
          <w:rFonts w:ascii="Times New Roman" w:hAnsi="Times New Roman" w:cs="Times New Roman"/>
        </w:rPr>
        <w:t xml:space="preserve"> that local governments often must cope with reduced revenues or must increase other taxes, or both. </w:t>
      </w:r>
    </w:p>
    <w:p w14:paraId="2704DF5F" w14:textId="2C6D0CB2" w:rsidR="00111673" w:rsidRDefault="00111673" w:rsidP="00111673">
      <w:pPr>
        <w:jc w:val="both"/>
        <w:rPr>
          <w:rFonts w:ascii="Times New Roman" w:hAnsi="Times New Roman" w:cs="Times New Roman"/>
        </w:rPr>
      </w:pPr>
      <w:r>
        <w:rPr>
          <w:rFonts w:ascii="Times New Roman" w:hAnsi="Times New Roman" w:cs="Times New Roman"/>
        </w:rPr>
        <w:t xml:space="preserve">Option 2: Over time, </w:t>
      </w:r>
      <w:r w:rsidR="00B64C25">
        <w:rPr>
          <w:rFonts w:ascii="Times New Roman" w:hAnsi="Times New Roman" w:cs="Times New Roman"/>
        </w:rPr>
        <w:t xml:space="preserve">the state could </w:t>
      </w:r>
      <w:r>
        <w:rPr>
          <w:rFonts w:ascii="Times New Roman" w:hAnsi="Times New Roman" w:cs="Times New Roman"/>
        </w:rPr>
        <w:t xml:space="preserve">phase out the tax on personal property and do nothing to compensate local governments. The impact on local governments will vary dramatically depending on the relative </w:t>
      </w:r>
      <w:r>
        <w:rPr>
          <w:rFonts w:ascii="Times New Roman" w:hAnsi="Times New Roman" w:cs="Times New Roman"/>
        </w:rPr>
        <w:lastRenderedPageBreak/>
        <w:t>importance of personal property in the overall tax base. The experience in other st</w:t>
      </w:r>
      <w:r w:rsidR="00B64C25">
        <w:rPr>
          <w:rFonts w:ascii="Times New Roman" w:hAnsi="Times New Roman" w:cs="Times New Roman"/>
        </w:rPr>
        <w:t>ates indicates that this option</w:t>
      </w:r>
      <w:r>
        <w:rPr>
          <w:rFonts w:ascii="Times New Roman" w:hAnsi="Times New Roman" w:cs="Times New Roman"/>
        </w:rPr>
        <w:t xml:space="preserve"> would have consequences for decades into the future. </w:t>
      </w:r>
    </w:p>
    <w:p w14:paraId="00FA1130" w14:textId="34894727" w:rsidR="00111673" w:rsidRDefault="00111673" w:rsidP="00111673">
      <w:pPr>
        <w:jc w:val="both"/>
        <w:rPr>
          <w:rFonts w:ascii="Times New Roman" w:hAnsi="Times New Roman" w:cs="Times New Roman"/>
        </w:rPr>
      </w:pPr>
      <w:r>
        <w:rPr>
          <w:rFonts w:ascii="Times New Roman" w:hAnsi="Times New Roman" w:cs="Times New Roman"/>
        </w:rPr>
        <w:t xml:space="preserve">Option 3: Pool the base from the relatively small number of very large personal property taxpayers. This type of proposal has been studied for at least 40 years. </w:t>
      </w:r>
      <w:r w:rsidRPr="00CB0C3D">
        <w:rPr>
          <w:rFonts w:ascii="Times New Roman" w:hAnsi="Times New Roman" w:cs="Times New Roman"/>
        </w:rPr>
        <w:t xml:space="preserve">There seems </w:t>
      </w:r>
      <w:r>
        <w:rPr>
          <w:rFonts w:ascii="Times New Roman" w:hAnsi="Times New Roman" w:cs="Times New Roman"/>
        </w:rPr>
        <w:t xml:space="preserve">to be </w:t>
      </w:r>
      <w:r w:rsidRPr="00CB0C3D">
        <w:rPr>
          <w:rFonts w:ascii="Times New Roman" w:hAnsi="Times New Roman" w:cs="Times New Roman"/>
        </w:rPr>
        <w:t xml:space="preserve">little evidence to suggest that such a radical change would </w:t>
      </w:r>
      <w:r w:rsidR="00B64C25">
        <w:rPr>
          <w:rFonts w:ascii="Times New Roman" w:hAnsi="Times New Roman" w:cs="Times New Roman"/>
        </w:rPr>
        <w:t>improve overall equity or reduce the burden on large taxpayers</w:t>
      </w:r>
      <w:r w:rsidRPr="00CB0C3D">
        <w:rPr>
          <w:rFonts w:ascii="Times New Roman" w:hAnsi="Times New Roman" w:cs="Times New Roman"/>
        </w:rPr>
        <w:t>.</w:t>
      </w:r>
    </w:p>
    <w:p w14:paraId="14721177" w14:textId="77777777" w:rsidR="00111673" w:rsidRDefault="00111673" w:rsidP="00111673">
      <w:pPr>
        <w:jc w:val="both"/>
        <w:rPr>
          <w:rFonts w:ascii="Times New Roman" w:hAnsi="Times New Roman" w:cs="Times New Roman"/>
        </w:rPr>
      </w:pPr>
      <w:r w:rsidRPr="00CB0C3D">
        <w:rPr>
          <w:rFonts w:ascii="Times New Roman" w:hAnsi="Times New Roman" w:cs="Times New Roman"/>
        </w:rPr>
        <w:t xml:space="preserve">There are </w:t>
      </w:r>
      <w:r>
        <w:rPr>
          <w:rFonts w:ascii="Times New Roman" w:hAnsi="Times New Roman" w:cs="Times New Roman"/>
        </w:rPr>
        <w:t>also</w:t>
      </w:r>
      <w:r w:rsidRPr="00CB0C3D">
        <w:rPr>
          <w:rFonts w:ascii="Times New Roman" w:hAnsi="Times New Roman" w:cs="Times New Roman"/>
        </w:rPr>
        <w:t xml:space="preserve"> several options</w:t>
      </w:r>
      <w:r>
        <w:rPr>
          <w:rFonts w:ascii="Times New Roman" w:hAnsi="Times New Roman" w:cs="Times New Roman"/>
        </w:rPr>
        <w:t xml:space="preserve"> for</w:t>
      </w:r>
      <w:r w:rsidRPr="00CB0C3D">
        <w:rPr>
          <w:rFonts w:ascii="Times New Roman" w:hAnsi="Times New Roman" w:cs="Times New Roman"/>
        </w:rPr>
        <w:t xml:space="preserve"> compliance relief and administrative improvements that should be considered for improving the existing tax on personal property. </w:t>
      </w:r>
    </w:p>
    <w:p w14:paraId="7714D074" w14:textId="77777777" w:rsidR="00111673" w:rsidRDefault="00111673" w:rsidP="00111673">
      <w:pPr>
        <w:jc w:val="both"/>
        <w:rPr>
          <w:rFonts w:ascii="Times New Roman" w:hAnsi="Times New Roman" w:cs="Times New Roman"/>
        </w:rPr>
      </w:pPr>
      <w:r>
        <w:rPr>
          <w:rFonts w:ascii="Times New Roman" w:hAnsi="Times New Roman" w:cs="Times New Roman"/>
        </w:rPr>
        <w:t>Compliance relief: Recognizing that very little revenue is generated from thousands of businesses required to complete the annual declaration, exempt all taxpayers with personal property below a designated threshold.</w:t>
      </w:r>
    </w:p>
    <w:p w14:paraId="748DEFC1" w14:textId="77777777" w:rsidR="00111673" w:rsidRDefault="00111673" w:rsidP="00111673">
      <w:pPr>
        <w:pStyle w:val="ListParagraph"/>
        <w:numPr>
          <w:ilvl w:val="0"/>
          <w:numId w:val="20"/>
        </w:numPr>
        <w:jc w:val="both"/>
        <w:rPr>
          <w:rFonts w:ascii="Times New Roman" w:hAnsi="Times New Roman" w:cs="Times New Roman"/>
        </w:rPr>
      </w:pPr>
      <w:r>
        <w:rPr>
          <w:rFonts w:ascii="Times New Roman" w:hAnsi="Times New Roman" w:cs="Times New Roman"/>
        </w:rPr>
        <w:t>A threshold of $5,000 would reduce property tax revenue by 0.006%, but would affect 35% of all personal property accounts.</w:t>
      </w:r>
    </w:p>
    <w:p w14:paraId="0433C038" w14:textId="77777777" w:rsidR="00111673" w:rsidRDefault="00111673" w:rsidP="00111673">
      <w:pPr>
        <w:pStyle w:val="ListParagraph"/>
        <w:numPr>
          <w:ilvl w:val="0"/>
          <w:numId w:val="20"/>
        </w:numPr>
        <w:jc w:val="both"/>
        <w:rPr>
          <w:rFonts w:ascii="Times New Roman" w:hAnsi="Times New Roman" w:cs="Times New Roman"/>
        </w:rPr>
      </w:pPr>
      <w:r>
        <w:rPr>
          <w:rFonts w:ascii="Times New Roman" w:hAnsi="Times New Roman" w:cs="Times New Roman"/>
        </w:rPr>
        <w:t>A threshold of $7,500 would reduce property tax revenue by 0.01%, but would exempt about 42% of all personal property accounts.</w:t>
      </w:r>
    </w:p>
    <w:p w14:paraId="5061D69F" w14:textId="77777777" w:rsidR="00111673" w:rsidRDefault="00111673" w:rsidP="00111673">
      <w:pPr>
        <w:pStyle w:val="ListParagraph"/>
        <w:numPr>
          <w:ilvl w:val="0"/>
          <w:numId w:val="20"/>
        </w:numPr>
        <w:jc w:val="both"/>
        <w:rPr>
          <w:rFonts w:ascii="Times New Roman" w:hAnsi="Times New Roman" w:cs="Times New Roman"/>
        </w:rPr>
      </w:pPr>
      <w:r>
        <w:rPr>
          <w:rFonts w:ascii="Times New Roman" w:hAnsi="Times New Roman" w:cs="Times New Roman"/>
        </w:rPr>
        <w:t xml:space="preserve">A threshold of $10,000 would reduce property tax revenue by 0.014%, but would exempt about 46% of all personal property accounts. </w:t>
      </w:r>
    </w:p>
    <w:p w14:paraId="54736707" w14:textId="77777777" w:rsidR="00111673" w:rsidRDefault="00111673" w:rsidP="00111673">
      <w:pPr>
        <w:jc w:val="both"/>
        <w:rPr>
          <w:rFonts w:ascii="Times New Roman" w:hAnsi="Times New Roman" w:cs="Times New Roman"/>
        </w:rPr>
      </w:pPr>
      <w:r>
        <w:rPr>
          <w:rFonts w:ascii="Times New Roman" w:hAnsi="Times New Roman" w:cs="Times New Roman"/>
        </w:rPr>
        <w:t xml:space="preserve">Administrative improvements: </w:t>
      </w:r>
    </w:p>
    <w:p w14:paraId="6A446C81" w14:textId="117B851A" w:rsidR="00111673" w:rsidRDefault="00111673" w:rsidP="00111673">
      <w:pPr>
        <w:pStyle w:val="ListParagraph"/>
        <w:numPr>
          <w:ilvl w:val="0"/>
          <w:numId w:val="20"/>
        </w:numPr>
        <w:jc w:val="both"/>
        <w:rPr>
          <w:rFonts w:ascii="Times New Roman" w:hAnsi="Times New Roman" w:cs="Times New Roman"/>
        </w:rPr>
      </w:pPr>
      <w:r w:rsidRPr="00A326FB">
        <w:rPr>
          <w:rFonts w:ascii="Times New Roman" w:hAnsi="Times New Roman" w:cs="Times New Roman"/>
        </w:rPr>
        <w:t xml:space="preserve">The approach to depreciation should be revisited including the specific categories employed, </w:t>
      </w:r>
      <w:r w:rsidR="00B64C25">
        <w:rPr>
          <w:rFonts w:ascii="Times New Roman" w:hAnsi="Times New Roman" w:cs="Times New Roman"/>
        </w:rPr>
        <w:t xml:space="preserve">and </w:t>
      </w:r>
      <w:r w:rsidRPr="00A326FB">
        <w:rPr>
          <w:rFonts w:ascii="Times New Roman" w:hAnsi="Times New Roman" w:cs="Times New Roman"/>
        </w:rPr>
        <w:t xml:space="preserve">the appropriate residual value for each category. </w:t>
      </w:r>
    </w:p>
    <w:p w14:paraId="5E037F75" w14:textId="2C18128A" w:rsidR="00111673" w:rsidRDefault="00111673" w:rsidP="00111673">
      <w:pPr>
        <w:pStyle w:val="ListParagraph"/>
        <w:numPr>
          <w:ilvl w:val="0"/>
          <w:numId w:val="20"/>
        </w:numPr>
        <w:jc w:val="both"/>
        <w:rPr>
          <w:rFonts w:ascii="Times New Roman" w:hAnsi="Times New Roman" w:cs="Times New Roman"/>
        </w:rPr>
      </w:pPr>
      <w:r w:rsidRPr="009A7B10">
        <w:rPr>
          <w:rFonts w:ascii="Times New Roman" w:hAnsi="Times New Roman" w:cs="Times New Roman"/>
        </w:rPr>
        <w:t xml:space="preserve">The assessment process needs to allow for the possibility of economic obsolescence in an industry. </w:t>
      </w:r>
      <w:r>
        <w:rPr>
          <w:rFonts w:ascii="Times New Roman" w:hAnsi="Times New Roman" w:cs="Times New Roman"/>
        </w:rPr>
        <w:t>OPM might be given</w:t>
      </w:r>
      <w:r w:rsidRPr="009A7B10">
        <w:rPr>
          <w:rFonts w:ascii="Times New Roman" w:hAnsi="Times New Roman" w:cs="Times New Roman"/>
        </w:rPr>
        <w:t xml:space="preserve"> the assignment to evaluate the possibility of obsolescence </w:t>
      </w:r>
      <w:r>
        <w:rPr>
          <w:rFonts w:ascii="Times New Roman" w:hAnsi="Times New Roman" w:cs="Times New Roman"/>
        </w:rPr>
        <w:t>and</w:t>
      </w:r>
      <w:r w:rsidRPr="009A7B10">
        <w:rPr>
          <w:rFonts w:ascii="Times New Roman" w:hAnsi="Times New Roman" w:cs="Times New Roman"/>
        </w:rPr>
        <w:t xml:space="preserve"> then provide guidance to </w:t>
      </w:r>
      <w:r w:rsidR="00B64C25">
        <w:rPr>
          <w:rFonts w:ascii="Times New Roman" w:hAnsi="Times New Roman" w:cs="Times New Roman"/>
        </w:rPr>
        <w:t>local assessing offices</w:t>
      </w:r>
      <w:r w:rsidRPr="009A7B10">
        <w:rPr>
          <w:rFonts w:ascii="Times New Roman" w:hAnsi="Times New Roman" w:cs="Times New Roman"/>
        </w:rPr>
        <w:t>.</w:t>
      </w:r>
    </w:p>
    <w:p w14:paraId="473D893D" w14:textId="77777777" w:rsidR="00111673" w:rsidRPr="00A326FB" w:rsidRDefault="00111673" w:rsidP="00111673">
      <w:pPr>
        <w:pStyle w:val="ListParagraph"/>
        <w:numPr>
          <w:ilvl w:val="0"/>
          <w:numId w:val="20"/>
        </w:numPr>
        <w:jc w:val="both"/>
        <w:rPr>
          <w:rFonts w:ascii="Times New Roman" w:hAnsi="Times New Roman" w:cs="Times New Roman"/>
        </w:rPr>
      </w:pPr>
      <w:r w:rsidRPr="00A326FB">
        <w:rPr>
          <w:rFonts w:ascii="Times New Roman" w:hAnsi="Times New Roman" w:cs="Times New Roman"/>
        </w:rPr>
        <w:t>Audit procedures and frequency need to be improved. Contingency audits should be carefully evaluated for their effectiveness and fairness, and audit standards for such audits should be very clear.</w:t>
      </w:r>
    </w:p>
    <w:p w14:paraId="1EC6CBEB" w14:textId="77777777" w:rsidR="00111673" w:rsidRDefault="00111673" w:rsidP="00111673">
      <w:pPr>
        <w:pStyle w:val="ListParagraph"/>
        <w:numPr>
          <w:ilvl w:val="0"/>
          <w:numId w:val="20"/>
        </w:numPr>
        <w:jc w:val="both"/>
        <w:rPr>
          <w:rFonts w:ascii="Times New Roman" w:hAnsi="Times New Roman" w:cs="Times New Roman"/>
        </w:rPr>
      </w:pPr>
      <w:r w:rsidRPr="009A7B10">
        <w:rPr>
          <w:rFonts w:ascii="Times New Roman" w:hAnsi="Times New Roman" w:cs="Times New Roman"/>
        </w:rPr>
        <w:t>The role of OPM in overseeing uniformity in assessment administration should be strengthened. There needs to be an active state agency that provides training, oversight and standards enforcement to assure that the state property tax system is operating efficiently and fairly.</w:t>
      </w:r>
    </w:p>
    <w:p w14:paraId="4B89B948" w14:textId="77777777" w:rsidR="00111673" w:rsidRPr="00A326FB" w:rsidRDefault="00111673" w:rsidP="00111673">
      <w:pPr>
        <w:rPr>
          <w:rFonts w:ascii="Times New Roman" w:hAnsi="Times New Roman" w:cs="Times New Roman"/>
        </w:rPr>
      </w:pPr>
    </w:p>
    <w:p w14:paraId="7D95E0DC" w14:textId="77777777" w:rsidR="00111673" w:rsidRDefault="00111673" w:rsidP="00111673">
      <w:pPr>
        <w:rPr>
          <w:rFonts w:ascii="Times New Roman" w:hAnsi="Times New Roman" w:cs="Times New Roman"/>
        </w:rPr>
      </w:pPr>
    </w:p>
    <w:p w14:paraId="79E052BA" w14:textId="77777777" w:rsidR="00111673" w:rsidRPr="00671D38" w:rsidRDefault="00111673" w:rsidP="00111673">
      <w:pPr>
        <w:rPr>
          <w:rFonts w:ascii="Times New Roman" w:hAnsi="Times New Roman" w:cs="Times New Roman"/>
        </w:rPr>
      </w:pPr>
    </w:p>
    <w:p w14:paraId="1AC166F4" w14:textId="77777777" w:rsidR="00111673" w:rsidRDefault="00111673" w:rsidP="00A54047"/>
    <w:p w14:paraId="33F76CDE" w14:textId="77777777" w:rsidR="00111673" w:rsidRDefault="00A54047">
      <w:pPr>
        <w:sectPr w:rsidR="00111673" w:rsidSect="00111673">
          <w:pgSz w:w="12240" w:h="15840"/>
          <w:pgMar w:top="1440" w:right="1440" w:bottom="1440" w:left="1440" w:header="720" w:footer="720" w:gutter="0"/>
          <w:pgNumType w:fmt="lowerRoman"/>
          <w:cols w:space="720"/>
          <w:docGrid w:linePitch="360"/>
        </w:sectPr>
      </w:pPr>
      <w:r>
        <w:br w:type="page"/>
      </w:r>
    </w:p>
    <w:p w14:paraId="2A03FE94" w14:textId="1524F135" w:rsidR="003B3616" w:rsidRPr="005D042B" w:rsidRDefault="003B3616" w:rsidP="005D042B">
      <w:pPr>
        <w:pStyle w:val="Heading1"/>
        <w:jc w:val="center"/>
        <w:rPr>
          <w:rFonts w:ascii="Times New Roman" w:hAnsi="Times New Roman" w:cs="Times New Roman"/>
        </w:rPr>
      </w:pPr>
      <w:r w:rsidRPr="005D042B">
        <w:rPr>
          <w:rFonts w:ascii="Times New Roman" w:hAnsi="Times New Roman" w:cs="Times New Roman"/>
        </w:rPr>
        <w:lastRenderedPageBreak/>
        <w:t xml:space="preserve">The </w:t>
      </w:r>
      <w:r w:rsidR="0037627D">
        <w:rPr>
          <w:rFonts w:ascii="Times New Roman" w:hAnsi="Times New Roman" w:cs="Times New Roman"/>
        </w:rPr>
        <w:t xml:space="preserve">Business </w:t>
      </w:r>
      <w:r w:rsidRPr="005D042B">
        <w:rPr>
          <w:rFonts w:ascii="Times New Roman" w:hAnsi="Times New Roman" w:cs="Times New Roman"/>
        </w:rPr>
        <w:t>Personal Property Tax</w:t>
      </w:r>
      <w:r w:rsidR="00C215CA" w:rsidRPr="005D042B">
        <w:rPr>
          <w:rFonts w:ascii="Times New Roman" w:hAnsi="Times New Roman" w:cs="Times New Roman"/>
        </w:rPr>
        <w:t xml:space="preserve"> in Connecticut</w:t>
      </w:r>
    </w:p>
    <w:p w14:paraId="47D03415" w14:textId="1648F279" w:rsidR="002007CE" w:rsidRPr="005D042B" w:rsidRDefault="002007CE" w:rsidP="0037627D">
      <w:pPr>
        <w:pStyle w:val="Heading2"/>
        <w:jc w:val="both"/>
        <w:rPr>
          <w:rFonts w:ascii="Times New Roman" w:hAnsi="Times New Roman" w:cs="Times New Roman"/>
        </w:rPr>
      </w:pPr>
      <w:bookmarkStart w:id="1" w:name="_Toc434358296"/>
      <w:r w:rsidRPr="005D042B">
        <w:rPr>
          <w:rFonts w:ascii="Times New Roman" w:hAnsi="Times New Roman" w:cs="Times New Roman"/>
        </w:rPr>
        <w:t>Introduction</w:t>
      </w:r>
      <w:bookmarkEnd w:id="1"/>
    </w:p>
    <w:p w14:paraId="074A9E67" w14:textId="13A3AB90" w:rsidR="00C31399" w:rsidRPr="005D042B" w:rsidRDefault="00626E39" w:rsidP="005D042B">
      <w:pPr>
        <w:jc w:val="both"/>
        <w:rPr>
          <w:rFonts w:ascii="Times New Roman" w:hAnsi="Times New Roman" w:cs="Times New Roman"/>
        </w:rPr>
      </w:pPr>
      <w:r w:rsidRPr="005D042B">
        <w:rPr>
          <w:rFonts w:ascii="Times New Roman" w:hAnsi="Times New Roman" w:cs="Times New Roman"/>
        </w:rPr>
        <w:t xml:space="preserve">The base for the Connecticut property tax is reported for several property categories. </w:t>
      </w:r>
      <w:r w:rsidR="00C31399" w:rsidRPr="005D042B">
        <w:rPr>
          <w:rFonts w:ascii="Times New Roman" w:hAnsi="Times New Roman" w:cs="Times New Roman"/>
        </w:rPr>
        <w:t xml:space="preserve">Based on the 2013 Grand Lists for Connecticut’s 169 assessing jurisdictions, just under 11.5% of the state property tax base is considered tangible personal property, or physical property that can be moved without damage to land or buildings. The </w:t>
      </w:r>
      <w:r w:rsidR="0030580F">
        <w:rPr>
          <w:rFonts w:ascii="Times New Roman" w:hAnsi="Times New Roman" w:cs="Times New Roman"/>
        </w:rPr>
        <w:t xml:space="preserve">state </w:t>
      </w:r>
      <w:r w:rsidR="00C31399" w:rsidRPr="005D042B">
        <w:rPr>
          <w:rFonts w:ascii="Times New Roman" w:hAnsi="Times New Roman" w:cs="Times New Roman"/>
        </w:rPr>
        <w:t xml:space="preserve">further divides tangible personal property into two categories: business personal property and motor vehicles. </w:t>
      </w:r>
      <w:r w:rsidRPr="005D042B">
        <w:rPr>
          <w:rFonts w:ascii="Times New Roman" w:hAnsi="Times New Roman" w:cs="Times New Roman"/>
        </w:rPr>
        <w:t xml:space="preserve">This paper is focused on the </w:t>
      </w:r>
      <w:r w:rsidR="00C31399" w:rsidRPr="005D042B">
        <w:rPr>
          <w:rFonts w:ascii="Times New Roman" w:hAnsi="Times New Roman" w:cs="Times New Roman"/>
        </w:rPr>
        <w:t xml:space="preserve">business </w:t>
      </w:r>
      <w:r w:rsidRPr="005D042B">
        <w:rPr>
          <w:rFonts w:ascii="Times New Roman" w:hAnsi="Times New Roman" w:cs="Times New Roman"/>
        </w:rPr>
        <w:t xml:space="preserve">personal property tax. </w:t>
      </w:r>
      <w:r w:rsidR="005D042B" w:rsidRPr="005D042B">
        <w:rPr>
          <w:rFonts w:ascii="Times New Roman" w:hAnsi="Times New Roman" w:cs="Times New Roman"/>
        </w:rPr>
        <w:t xml:space="preserve">The taxation of motor vehicles raises somewhat different issues and is treated in a separate discussion. </w:t>
      </w:r>
    </w:p>
    <w:p w14:paraId="6D80BE64" w14:textId="34ED6E0D" w:rsidR="00626E39" w:rsidRPr="005D042B" w:rsidRDefault="00626E39" w:rsidP="005D042B">
      <w:pPr>
        <w:jc w:val="both"/>
        <w:rPr>
          <w:rFonts w:ascii="Times New Roman" w:hAnsi="Times New Roman" w:cs="Times New Roman"/>
        </w:rPr>
      </w:pPr>
      <w:r w:rsidRPr="005D042B">
        <w:rPr>
          <w:rFonts w:ascii="Times New Roman" w:hAnsi="Times New Roman" w:cs="Times New Roman"/>
        </w:rPr>
        <w:t xml:space="preserve">As of the 2013 assessment year, taxable </w:t>
      </w:r>
      <w:r w:rsidR="005D042B" w:rsidRPr="005D042B">
        <w:rPr>
          <w:rFonts w:ascii="Times New Roman" w:hAnsi="Times New Roman" w:cs="Times New Roman"/>
        </w:rPr>
        <w:t xml:space="preserve">business </w:t>
      </w:r>
      <w:r w:rsidRPr="005D042B">
        <w:rPr>
          <w:rFonts w:ascii="Times New Roman" w:hAnsi="Times New Roman" w:cs="Times New Roman"/>
        </w:rPr>
        <w:t>personal property made up just over five percent of total taxable property within the state.</w:t>
      </w:r>
      <w:r w:rsidR="005D042B" w:rsidRPr="005D042B">
        <w:rPr>
          <w:rFonts w:ascii="Times New Roman" w:hAnsi="Times New Roman" w:cs="Times New Roman"/>
        </w:rPr>
        <w:t xml:space="preserve"> The tax revenue generat</w:t>
      </w:r>
      <w:r w:rsidR="0030580F">
        <w:rPr>
          <w:rFonts w:ascii="Times New Roman" w:hAnsi="Times New Roman" w:cs="Times New Roman"/>
        </w:rPr>
        <w:t>ed by this base totals over $590</w:t>
      </w:r>
      <w:r w:rsidR="005D042B" w:rsidRPr="005D042B">
        <w:rPr>
          <w:rFonts w:ascii="Times New Roman" w:hAnsi="Times New Roman" w:cs="Times New Roman"/>
        </w:rPr>
        <w:t xml:space="preserve"> million each year.</w:t>
      </w:r>
      <w:r w:rsidRPr="005D042B">
        <w:rPr>
          <w:rFonts w:ascii="Times New Roman" w:hAnsi="Times New Roman" w:cs="Times New Roman"/>
        </w:rPr>
        <w:t xml:space="preserve"> </w:t>
      </w:r>
      <w:r w:rsidR="00062477" w:rsidRPr="005D042B">
        <w:rPr>
          <w:rFonts w:ascii="Times New Roman" w:hAnsi="Times New Roman" w:cs="Times New Roman"/>
        </w:rPr>
        <w:t xml:space="preserve">Even though the aggregate value of taxable personal property has increased every year (except for the 2010 assessment year), the relative importance of personal property </w:t>
      </w:r>
      <w:r w:rsidR="002007CE" w:rsidRPr="005D042B">
        <w:rPr>
          <w:rFonts w:ascii="Times New Roman" w:hAnsi="Times New Roman" w:cs="Times New Roman"/>
        </w:rPr>
        <w:t xml:space="preserve">as a component in the property tax base </w:t>
      </w:r>
      <w:r w:rsidR="00062477" w:rsidRPr="005D042B">
        <w:rPr>
          <w:rFonts w:ascii="Times New Roman" w:hAnsi="Times New Roman" w:cs="Times New Roman"/>
        </w:rPr>
        <w:t xml:space="preserve">has varied somewhat depending on </w:t>
      </w:r>
      <w:r w:rsidR="002007CE" w:rsidRPr="005D042B">
        <w:rPr>
          <w:rFonts w:ascii="Times New Roman" w:hAnsi="Times New Roman" w:cs="Times New Roman"/>
        </w:rPr>
        <w:t>relative variations in</w:t>
      </w:r>
      <w:r w:rsidR="00062477" w:rsidRPr="005D042B">
        <w:rPr>
          <w:rFonts w:ascii="Times New Roman" w:hAnsi="Times New Roman" w:cs="Times New Roman"/>
        </w:rPr>
        <w:t xml:space="preserve"> real estate values from one year to the next. Personal property as a</w:t>
      </w:r>
      <w:r w:rsidRPr="005D042B">
        <w:rPr>
          <w:rFonts w:ascii="Times New Roman" w:hAnsi="Times New Roman" w:cs="Times New Roman"/>
        </w:rPr>
        <w:t xml:space="preserve"> percentage </w:t>
      </w:r>
      <w:r w:rsidR="00062477" w:rsidRPr="005D042B">
        <w:rPr>
          <w:rFonts w:ascii="Times New Roman" w:hAnsi="Times New Roman" w:cs="Times New Roman"/>
        </w:rPr>
        <w:t>of the total net grand list</w:t>
      </w:r>
      <w:r w:rsidR="002007CE" w:rsidRPr="005D042B">
        <w:rPr>
          <w:rFonts w:ascii="Times New Roman" w:hAnsi="Times New Roman" w:cs="Times New Roman"/>
        </w:rPr>
        <w:t xml:space="preserve"> over the past decade i</w:t>
      </w:r>
      <w:r w:rsidRPr="005D042B">
        <w:rPr>
          <w:rFonts w:ascii="Times New Roman" w:hAnsi="Times New Roman" w:cs="Times New Roman"/>
        </w:rPr>
        <w:t>s shown in Figure 1.</w:t>
      </w:r>
      <w:r w:rsidR="00062477" w:rsidRPr="005D042B">
        <w:rPr>
          <w:rFonts w:ascii="Times New Roman" w:hAnsi="Times New Roman" w:cs="Times New Roman"/>
        </w:rPr>
        <w:t xml:space="preserve"> </w:t>
      </w:r>
    </w:p>
    <w:p w14:paraId="59C96D71" w14:textId="00D1EAF6" w:rsidR="00626E39" w:rsidRPr="005D042B" w:rsidRDefault="00BC127A" w:rsidP="005D042B">
      <w:pPr>
        <w:jc w:val="both"/>
        <w:rPr>
          <w:rFonts w:ascii="Times New Roman" w:hAnsi="Times New Roman" w:cs="Times New Roman"/>
          <w:b/>
        </w:rPr>
      </w:pPr>
      <w:r>
        <w:rPr>
          <w:rFonts w:ascii="Times New Roman" w:hAnsi="Times New Roman" w:cs="Times New Roman"/>
          <w:b/>
        </w:rPr>
        <w:t>Figure 1</w:t>
      </w:r>
    </w:p>
    <w:p w14:paraId="180826AA" w14:textId="084EF3F1" w:rsidR="00626E39" w:rsidRDefault="002007CE">
      <w:r>
        <w:rPr>
          <w:noProof/>
        </w:rPr>
        <w:drawing>
          <wp:inline distT="0" distB="0" distL="0" distR="0" wp14:anchorId="57F12117" wp14:editId="0460E33A">
            <wp:extent cx="5026395" cy="4013200"/>
            <wp:effectExtent l="0" t="0" r="3175" b="63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FF72835" w14:textId="58D64E59" w:rsidR="005D042B" w:rsidRPr="005D042B" w:rsidRDefault="005D042B">
      <w:pPr>
        <w:rPr>
          <w:sz w:val="18"/>
        </w:rPr>
      </w:pPr>
      <w:r w:rsidRPr="005D042B">
        <w:rPr>
          <w:sz w:val="18"/>
        </w:rPr>
        <w:t>Source: Office of Policy and Management, Total Grand Lists by Town</w:t>
      </w:r>
      <w:r>
        <w:rPr>
          <w:sz w:val="18"/>
        </w:rPr>
        <w:t>,</w:t>
      </w:r>
      <w:r w:rsidRPr="005D042B">
        <w:rPr>
          <w:sz w:val="18"/>
        </w:rPr>
        <w:t xml:space="preserve"> for the years shown and calculations by the author</w:t>
      </w:r>
    </w:p>
    <w:p w14:paraId="371DAEDC" w14:textId="587F9095" w:rsidR="002007CE" w:rsidRPr="005D042B" w:rsidRDefault="002007CE" w:rsidP="005D042B">
      <w:pPr>
        <w:jc w:val="both"/>
        <w:rPr>
          <w:rFonts w:ascii="Times New Roman" w:hAnsi="Times New Roman" w:cs="Times New Roman"/>
        </w:rPr>
      </w:pPr>
      <w:r w:rsidRPr="005D042B">
        <w:rPr>
          <w:rFonts w:ascii="Times New Roman" w:hAnsi="Times New Roman" w:cs="Times New Roman"/>
        </w:rPr>
        <w:t>Before proceeding to a more detailed discussion of the personal property tax in Connecticut, it will be useful to describe the taxation of personal property more broadly. The next section of the paper discusses basic principles of property taxation as applied to personal property and introduces some of the general terminology used is such discussions. Section 3 then discuss</w:t>
      </w:r>
      <w:r w:rsidR="00E04A84" w:rsidRPr="005D042B">
        <w:rPr>
          <w:rFonts w:ascii="Times New Roman" w:hAnsi="Times New Roman" w:cs="Times New Roman"/>
        </w:rPr>
        <w:t>es</w:t>
      </w:r>
      <w:r w:rsidRPr="005D042B">
        <w:rPr>
          <w:rFonts w:ascii="Times New Roman" w:hAnsi="Times New Roman" w:cs="Times New Roman"/>
        </w:rPr>
        <w:t xml:space="preserve"> the policies and administrative practices in </w:t>
      </w:r>
      <w:r w:rsidRPr="005D042B">
        <w:rPr>
          <w:rFonts w:ascii="Times New Roman" w:hAnsi="Times New Roman" w:cs="Times New Roman"/>
        </w:rPr>
        <w:lastRenderedPageBreak/>
        <w:t>place in Connecticut.  Section 4 present</w:t>
      </w:r>
      <w:r w:rsidR="00E04A84" w:rsidRPr="005D042B">
        <w:rPr>
          <w:rFonts w:ascii="Times New Roman" w:hAnsi="Times New Roman" w:cs="Times New Roman"/>
        </w:rPr>
        <w:t>s</w:t>
      </w:r>
      <w:r w:rsidRPr="005D042B">
        <w:rPr>
          <w:rFonts w:ascii="Times New Roman" w:hAnsi="Times New Roman" w:cs="Times New Roman"/>
        </w:rPr>
        <w:t xml:space="preserve"> the analysis of trends in the personal property tax base among Connecticut’s 169 local assessing jurisdictions, and a more detailed picture </w:t>
      </w:r>
      <w:r w:rsidR="005D042B">
        <w:rPr>
          <w:rFonts w:ascii="Times New Roman" w:hAnsi="Times New Roman" w:cs="Times New Roman"/>
        </w:rPr>
        <w:t>based on the analysis of over 28</w:t>
      </w:r>
      <w:r w:rsidRPr="005D042B">
        <w:rPr>
          <w:rFonts w:ascii="Times New Roman" w:hAnsi="Times New Roman" w:cs="Times New Roman"/>
        </w:rPr>
        <w:t xml:space="preserve">,000 individual </w:t>
      </w:r>
      <w:r w:rsidR="005D042B">
        <w:rPr>
          <w:rFonts w:ascii="Times New Roman" w:hAnsi="Times New Roman" w:cs="Times New Roman"/>
        </w:rPr>
        <w:t>personal property accounts in 12</w:t>
      </w:r>
      <w:r w:rsidRPr="005D042B">
        <w:rPr>
          <w:rFonts w:ascii="Times New Roman" w:hAnsi="Times New Roman" w:cs="Times New Roman"/>
        </w:rPr>
        <w:t xml:space="preserve"> jurisdictions.  </w:t>
      </w:r>
      <w:r w:rsidR="008B1E8D" w:rsidRPr="005D042B">
        <w:rPr>
          <w:rFonts w:ascii="Times New Roman" w:hAnsi="Times New Roman" w:cs="Times New Roman"/>
        </w:rPr>
        <w:t>Section 5 compare</w:t>
      </w:r>
      <w:r w:rsidR="00E04A84" w:rsidRPr="005D042B">
        <w:rPr>
          <w:rFonts w:ascii="Times New Roman" w:hAnsi="Times New Roman" w:cs="Times New Roman"/>
        </w:rPr>
        <w:t>s</w:t>
      </w:r>
      <w:r w:rsidR="008B1E8D" w:rsidRPr="005D042B">
        <w:rPr>
          <w:rFonts w:ascii="Times New Roman" w:hAnsi="Times New Roman" w:cs="Times New Roman"/>
        </w:rPr>
        <w:t xml:space="preserve"> the taxation of personal property in Connecticut with the practices in other states with a particular focus on relative competitiveness. Section 6 discuss</w:t>
      </w:r>
      <w:r w:rsidR="00E04A84" w:rsidRPr="005D042B">
        <w:rPr>
          <w:rFonts w:ascii="Times New Roman" w:hAnsi="Times New Roman" w:cs="Times New Roman"/>
        </w:rPr>
        <w:t>es</w:t>
      </w:r>
      <w:r w:rsidR="008B1E8D" w:rsidRPr="005D042B">
        <w:rPr>
          <w:rFonts w:ascii="Times New Roman" w:hAnsi="Times New Roman" w:cs="Times New Roman"/>
        </w:rPr>
        <w:t xml:space="preserve"> options which the state may wish to consider for improving both the administration of the tax and easing the compliance burden for taxpayers.</w:t>
      </w:r>
    </w:p>
    <w:p w14:paraId="40829B24" w14:textId="27D32747" w:rsidR="008B1E8D" w:rsidRPr="00C410CF" w:rsidRDefault="008B1E8D" w:rsidP="00C410CF">
      <w:pPr>
        <w:pStyle w:val="Heading2"/>
        <w:rPr>
          <w:rFonts w:ascii="Times New Roman" w:hAnsi="Times New Roman" w:cs="Times New Roman"/>
        </w:rPr>
      </w:pPr>
      <w:bookmarkStart w:id="2" w:name="_Toc434358297"/>
      <w:r w:rsidRPr="00C410CF">
        <w:rPr>
          <w:rFonts w:ascii="Times New Roman" w:hAnsi="Times New Roman" w:cs="Times New Roman"/>
        </w:rPr>
        <w:t>The taxation of personal property</w:t>
      </w:r>
      <w:bookmarkEnd w:id="2"/>
    </w:p>
    <w:p w14:paraId="764A455C" w14:textId="0A4F0040" w:rsidR="00B90FAB" w:rsidRPr="00C410CF" w:rsidRDefault="003B3616" w:rsidP="00C410CF">
      <w:pPr>
        <w:jc w:val="both"/>
        <w:rPr>
          <w:rFonts w:ascii="Times New Roman" w:hAnsi="Times New Roman" w:cs="Times New Roman"/>
        </w:rPr>
      </w:pPr>
      <w:r w:rsidRPr="00C410CF">
        <w:rPr>
          <w:rFonts w:ascii="Times New Roman" w:hAnsi="Times New Roman" w:cs="Times New Roman"/>
        </w:rPr>
        <w:t>T</w:t>
      </w:r>
      <w:r w:rsidR="008B1E8D" w:rsidRPr="00C410CF">
        <w:rPr>
          <w:rFonts w:ascii="Times New Roman" w:hAnsi="Times New Roman" w:cs="Times New Roman"/>
        </w:rPr>
        <w:t>he personal property tax can</w:t>
      </w:r>
      <w:r w:rsidRPr="00C410CF">
        <w:rPr>
          <w:rFonts w:ascii="Times New Roman" w:hAnsi="Times New Roman" w:cs="Times New Roman"/>
        </w:rPr>
        <w:t xml:space="preserve"> </w:t>
      </w:r>
      <w:r w:rsidR="00E04A84" w:rsidRPr="00C410CF">
        <w:rPr>
          <w:rFonts w:ascii="Times New Roman" w:hAnsi="Times New Roman" w:cs="Times New Roman"/>
        </w:rPr>
        <w:t xml:space="preserve">be </w:t>
      </w:r>
      <w:r w:rsidRPr="00C410CF">
        <w:rPr>
          <w:rFonts w:ascii="Times New Roman" w:hAnsi="Times New Roman" w:cs="Times New Roman"/>
        </w:rPr>
        <w:t xml:space="preserve">imposed on tangible and intangible personal property.  Examples of tangible personal property include machinery, computers, </w:t>
      </w:r>
      <w:r w:rsidR="00495FC7" w:rsidRPr="00C410CF">
        <w:rPr>
          <w:rFonts w:ascii="Times New Roman" w:hAnsi="Times New Roman" w:cs="Times New Roman"/>
        </w:rPr>
        <w:t xml:space="preserve">inventory, </w:t>
      </w:r>
      <w:r w:rsidRPr="00C410CF">
        <w:rPr>
          <w:rFonts w:ascii="Times New Roman" w:hAnsi="Times New Roman" w:cs="Times New Roman"/>
        </w:rPr>
        <w:t>and office furniture.  Intangible personal property would include such items a</w:t>
      </w:r>
      <w:r w:rsidR="00495FC7" w:rsidRPr="00C410CF">
        <w:rPr>
          <w:rFonts w:ascii="Times New Roman" w:hAnsi="Times New Roman" w:cs="Times New Roman"/>
        </w:rPr>
        <w:t xml:space="preserve">s banking accounts, stocks, </w:t>
      </w:r>
      <w:r w:rsidRPr="00C410CF">
        <w:rPr>
          <w:rFonts w:ascii="Times New Roman" w:hAnsi="Times New Roman" w:cs="Times New Roman"/>
        </w:rPr>
        <w:t>bonds</w:t>
      </w:r>
      <w:r w:rsidR="00495FC7" w:rsidRPr="00C410CF">
        <w:rPr>
          <w:rFonts w:ascii="Times New Roman" w:hAnsi="Times New Roman" w:cs="Times New Roman"/>
        </w:rPr>
        <w:t>, trademarks, and patents</w:t>
      </w:r>
      <w:r w:rsidRPr="00C410CF">
        <w:rPr>
          <w:rFonts w:ascii="Times New Roman" w:hAnsi="Times New Roman" w:cs="Times New Roman"/>
        </w:rPr>
        <w:t xml:space="preserve">.  </w:t>
      </w:r>
    </w:p>
    <w:p w14:paraId="09C4EC48" w14:textId="62A94C10" w:rsidR="00D77A48" w:rsidRPr="00C410CF" w:rsidRDefault="00D77A48" w:rsidP="00D77A48">
      <w:pPr>
        <w:pStyle w:val="Heading3"/>
        <w:rPr>
          <w:rFonts w:ascii="Times New Roman" w:hAnsi="Times New Roman" w:cs="Times New Roman"/>
        </w:rPr>
      </w:pPr>
      <w:bookmarkStart w:id="3" w:name="_Toc434358298"/>
      <w:r w:rsidRPr="00C410CF">
        <w:rPr>
          <w:rFonts w:ascii="Times New Roman" w:hAnsi="Times New Roman" w:cs="Times New Roman"/>
        </w:rPr>
        <w:t>Definition</w:t>
      </w:r>
      <w:bookmarkEnd w:id="3"/>
    </w:p>
    <w:p w14:paraId="1CDA6A9A" w14:textId="400B10F5" w:rsidR="00CB7EA0" w:rsidRPr="00C410CF" w:rsidRDefault="00C92BE2" w:rsidP="00C410CF">
      <w:pPr>
        <w:jc w:val="both"/>
        <w:rPr>
          <w:rFonts w:ascii="Times New Roman" w:hAnsi="Times New Roman" w:cs="Times New Roman"/>
        </w:rPr>
      </w:pPr>
      <w:r w:rsidRPr="00C410CF">
        <w:rPr>
          <w:rFonts w:ascii="Times New Roman" w:hAnsi="Times New Roman" w:cs="Times New Roman"/>
        </w:rPr>
        <w:t>The Census Bureau defines Personal Property as</w:t>
      </w:r>
      <w:r w:rsidR="00B90FAB" w:rsidRPr="00C410CF">
        <w:rPr>
          <w:rFonts w:ascii="Times New Roman" w:hAnsi="Times New Roman" w:cs="Times New Roman"/>
        </w:rPr>
        <w:t>:</w:t>
      </w:r>
    </w:p>
    <w:p w14:paraId="47FA7CA7" w14:textId="18431559" w:rsidR="00B90FAB" w:rsidRPr="00C410CF" w:rsidRDefault="00B90FAB" w:rsidP="00C410CF">
      <w:pPr>
        <w:ind w:left="720"/>
        <w:jc w:val="both"/>
        <w:rPr>
          <w:rFonts w:ascii="Times New Roman" w:hAnsi="Times New Roman" w:cs="Times New Roman"/>
        </w:rPr>
      </w:pPr>
      <w:r w:rsidRPr="00C410CF">
        <w:rPr>
          <w:rFonts w:ascii="Times New Roman" w:hAnsi="Times New Roman" w:cs="Times New Roman"/>
        </w:rPr>
        <w:t>…</w:t>
      </w:r>
      <w:r w:rsidR="00C410CF" w:rsidRPr="00C410CF">
        <w:rPr>
          <w:rFonts w:ascii="Times New Roman" w:hAnsi="Times New Roman" w:cs="Times New Roman"/>
        </w:rPr>
        <w:t xml:space="preserve"> </w:t>
      </w:r>
      <w:r w:rsidRPr="00C410CF">
        <w:rPr>
          <w:rFonts w:ascii="Times New Roman" w:hAnsi="Times New Roman" w:cs="Times New Roman"/>
        </w:rPr>
        <w:t>every kind of property other than real property.  It is either tangible, s</w:t>
      </w:r>
      <w:r w:rsidR="00C92BE2" w:rsidRPr="00C410CF">
        <w:rPr>
          <w:rFonts w:ascii="Times New Roman" w:hAnsi="Times New Roman" w:cs="Times New Roman"/>
        </w:rPr>
        <w:t>uch as inventories that can be</w:t>
      </w:r>
      <w:r w:rsidRPr="00C410CF">
        <w:rPr>
          <w:rFonts w:ascii="Times New Roman" w:hAnsi="Times New Roman" w:cs="Times New Roman"/>
        </w:rPr>
        <w:t xml:space="preserve"> seen, touched, or moved about, or intangible.  Intangible personal property has no physical existence other than certificates or accounts that represent its value. Fixtures may be either personal or real property, depending on whether or not they can be removed without damaging the real property to which they are attached. </w:t>
      </w:r>
      <w:r w:rsidR="00C410CF" w:rsidRPr="00C410CF">
        <w:rPr>
          <w:rFonts w:ascii="Times New Roman" w:hAnsi="Times New Roman" w:cs="Times New Roman"/>
        </w:rPr>
        <w:fldChar w:fldCharType="begin"/>
      </w:r>
      <w:r w:rsidR="00C410CF" w:rsidRPr="00C410CF">
        <w:rPr>
          <w:rFonts w:ascii="Times New Roman" w:hAnsi="Times New Roman" w:cs="Times New Roman"/>
        </w:rPr>
        <w:instrText xml:space="preserve"> ADDIN EN.CITE &lt;EndNote&gt;&lt;Cite&gt;&lt;Author&gt;US Census Bureau&lt;/Author&gt;&lt;Year&gt;1992&lt;/Year&gt;&lt;RecNum&gt;1&lt;/RecNum&gt;&lt;Pages&gt;viii&lt;/Pages&gt;&lt;DisplayText&gt;(US Census Bureau 1992: viii)&lt;/DisplayText&gt;&lt;record&gt;&lt;rec-number&gt;1&lt;/rec-number&gt;&lt;foreign-keys&gt;&lt;key app="EN" db-id="efsrp25rfad5tverv0kv2ztwvdrzzzda2pwp" timestamp="1446231506"&gt;1&lt;/key&gt;&lt;/foreign-keys&gt;&lt;ref-type name="Book"&gt;6&lt;/ref-type&gt;&lt;contributors&gt;&lt;authors&gt;&lt;author&gt;US Census Bureau,&lt;/author&gt;&lt;/authors&gt;&lt;/contributors&gt;&lt;titles&gt;&lt;title&gt;Census of Governments&lt;/title&gt;&lt;/titles&gt;&lt;volume&gt;2&lt;/volume&gt;&lt;dates&gt;&lt;year&gt;1992&lt;/year&gt;&lt;/dates&gt;&lt;pub-location&gt;Washington, DC&lt;/pub-location&gt;&lt;publisher&gt;US Census Bureau&lt;/publisher&gt;&lt;urls&gt;&lt;/urls&gt;&lt;/record&gt;&lt;/Cite&gt;&lt;/EndNote&gt;</w:instrText>
      </w:r>
      <w:r w:rsidR="00C410CF" w:rsidRPr="00C410CF">
        <w:rPr>
          <w:rFonts w:ascii="Times New Roman" w:hAnsi="Times New Roman" w:cs="Times New Roman"/>
        </w:rPr>
        <w:fldChar w:fldCharType="separate"/>
      </w:r>
      <w:r w:rsidR="00C410CF" w:rsidRPr="00C410CF">
        <w:rPr>
          <w:rFonts w:ascii="Times New Roman" w:hAnsi="Times New Roman" w:cs="Times New Roman"/>
          <w:noProof/>
        </w:rPr>
        <w:t>(US Census Bureau 1992: viii)</w:t>
      </w:r>
      <w:r w:rsidR="00C410CF" w:rsidRPr="00C410CF">
        <w:rPr>
          <w:rFonts w:ascii="Times New Roman" w:hAnsi="Times New Roman" w:cs="Times New Roman"/>
        </w:rPr>
        <w:fldChar w:fldCharType="end"/>
      </w:r>
    </w:p>
    <w:p w14:paraId="0ABF1266" w14:textId="6096BEBD" w:rsidR="00B90FAB" w:rsidRDefault="00C92BE2" w:rsidP="00C410CF">
      <w:pPr>
        <w:jc w:val="both"/>
      </w:pPr>
      <w:r w:rsidRPr="00C410CF">
        <w:rPr>
          <w:rFonts w:ascii="Times New Roman" w:hAnsi="Times New Roman" w:cs="Times New Roman"/>
        </w:rPr>
        <w:t xml:space="preserve">The personal property tax can be imposed on the personal property of individuals such as home furnishings or artwork. </w:t>
      </w:r>
      <w:r w:rsidR="00E31B81" w:rsidRPr="00C410CF">
        <w:rPr>
          <w:rFonts w:ascii="Times New Roman" w:hAnsi="Times New Roman" w:cs="Times New Roman"/>
        </w:rPr>
        <w:t>However, in</w:t>
      </w:r>
      <w:r w:rsidR="00B90FAB" w:rsidRPr="00C410CF">
        <w:rPr>
          <w:rFonts w:ascii="Times New Roman" w:hAnsi="Times New Roman" w:cs="Times New Roman"/>
        </w:rPr>
        <w:t xml:space="preserve"> virtually every state that imposes a personal property tax it is only assessed on the personal property of business firms and not on individual property owners</w:t>
      </w:r>
      <w:r w:rsidR="00C410CF" w:rsidRPr="00C410CF">
        <w:rPr>
          <w:rFonts w:ascii="Times New Roman" w:hAnsi="Times New Roman" w:cs="Times New Roman"/>
        </w:rPr>
        <w:t xml:space="preserve"> with the exception of motor vehicles and personal water craft in a number of states</w:t>
      </w:r>
      <w:r w:rsidR="00B90FAB" w:rsidRPr="00C410CF">
        <w:rPr>
          <w:rFonts w:ascii="Times New Roman" w:hAnsi="Times New Roman" w:cs="Times New Roman"/>
        </w:rPr>
        <w:t xml:space="preserve">.  </w:t>
      </w:r>
      <w:r w:rsidR="00E31B81" w:rsidRPr="00C410CF">
        <w:rPr>
          <w:rFonts w:ascii="Times New Roman" w:hAnsi="Times New Roman" w:cs="Times New Roman"/>
        </w:rPr>
        <w:t xml:space="preserve">Likewise intangible personal property is exempt from the tax in the majority of states except for </w:t>
      </w:r>
      <w:r w:rsidR="00EE02AF" w:rsidRPr="00C410CF">
        <w:rPr>
          <w:rFonts w:ascii="Times New Roman" w:hAnsi="Times New Roman" w:cs="Times New Roman"/>
        </w:rPr>
        <w:t xml:space="preserve">some </w:t>
      </w:r>
      <w:r w:rsidR="00E31B81" w:rsidRPr="00C410CF">
        <w:rPr>
          <w:rFonts w:ascii="Times New Roman" w:hAnsi="Times New Roman" w:cs="Times New Roman"/>
        </w:rPr>
        <w:t>Southeastern states.</w:t>
      </w:r>
      <w:r w:rsidR="00E31B81" w:rsidRPr="00D77A48">
        <w:t xml:space="preserve"> </w:t>
      </w:r>
    </w:p>
    <w:p w14:paraId="16B25B08" w14:textId="36AD1943" w:rsidR="00D77A48" w:rsidRPr="00C410CF" w:rsidRDefault="00D77A48" w:rsidP="00C410CF">
      <w:pPr>
        <w:jc w:val="both"/>
        <w:rPr>
          <w:rFonts w:ascii="Times New Roman" w:hAnsi="Times New Roman" w:cs="Times New Roman"/>
        </w:rPr>
      </w:pPr>
      <w:r w:rsidRPr="00C410CF">
        <w:rPr>
          <w:rFonts w:ascii="Times New Roman" w:hAnsi="Times New Roman" w:cs="Times New Roman"/>
        </w:rPr>
        <w:t xml:space="preserve">Personal property in Connecticut follows a similar logic. Connecticut General Statutes (CGS) </w:t>
      </w:r>
      <w:r w:rsidR="00D071C8" w:rsidRPr="00C410CF">
        <w:rPr>
          <w:rFonts w:ascii="Times New Roman" w:hAnsi="Times New Roman" w:cs="Times New Roman"/>
        </w:rPr>
        <w:t>define</w:t>
      </w:r>
      <w:r w:rsidRPr="00C410CF">
        <w:rPr>
          <w:rFonts w:ascii="Times New Roman" w:hAnsi="Times New Roman" w:cs="Times New Roman"/>
        </w:rPr>
        <w:t xml:space="preserve"> taxable</w:t>
      </w:r>
      <w:r w:rsidR="00D071C8" w:rsidRPr="00C410CF">
        <w:rPr>
          <w:rFonts w:ascii="Times New Roman" w:hAnsi="Times New Roman" w:cs="Times New Roman"/>
        </w:rPr>
        <w:t xml:space="preserve"> personal property in several sections. </w:t>
      </w:r>
      <w:r w:rsidRPr="00C410CF">
        <w:rPr>
          <w:rFonts w:ascii="Times New Roman" w:hAnsi="Times New Roman" w:cs="Times New Roman"/>
        </w:rPr>
        <w:t xml:space="preserve"> </w:t>
      </w:r>
      <w:r w:rsidR="00616F89" w:rsidRPr="00C410CF">
        <w:rPr>
          <w:rFonts w:ascii="Times New Roman" w:hAnsi="Times New Roman" w:cs="Times New Roman"/>
        </w:rPr>
        <w:t>Two key definitions are:</w:t>
      </w:r>
    </w:p>
    <w:p w14:paraId="19F6A1E4" w14:textId="5F478EFF" w:rsidR="00D77A48" w:rsidRPr="00C410CF" w:rsidRDefault="00D77A48" w:rsidP="00C410CF">
      <w:pPr>
        <w:ind w:left="720"/>
        <w:jc w:val="both"/>
        <w:rPr>
          <w:rFonts w:ascii="Times New Roman" w:hAnsi="Times New Roman" w:cs="Times New Roman"/>
        </w:rPr>
      </w:pPr>
      <w:r w:rsidRPr="00C410CF">
        <w:rPr>
          <w:rFonts w:ascii="Times New Roman" w:hAnsi="Times New Roman" w:cs="Times New Roman"/>
        </w:rPr>
        <w:t xml:space="preserve">All goods, chattels and effects or any interest therein, including any interest in a leasehold improvement classified as other than real property </w:t>
      </w:r>
      <w:r w:rsidR="00D071C8" w:rsidRPr="00C410CF">
        <w:rPr>
          <w:rFonts w:ascii="Times New Roman" w:hAnsi="Times New Roman" w:cs="Times New Roman"/>
        </w:rPr>
        <w:t>(§12-71(a</w:t>
      </w:r>
      <w:r w:rsidR="00B41972" w:rsidRPr="00C410CF">
        <w:rPr>
          <w:rFonts w:ascii="Times New Roman" w:hAnsi="Times New Roman" w:cs="Times New Roman"/>
        </w:rPr>
        <w:t>)</w:t>
      </w:r>
      <w:r w:rsidR="00D071C8" w:rsidRPr="00C410CF">
        <w:rPr>
          <w:rFonts w:ascii="Times New Roman" w:hAnsi="Times New Roman" w:cs="Times New Roman"/>
        </w:rPr>
        <w:t>)</w:t>
      </w:r>
    </w:p>
    <w:p w14:paraId="12AB4208" w14:textId="321EDA8D" w:rsidR="00D071C8" w:rsidRPr="00C410CF" w:rsidRDefault="00D071C8" w:rsidP="00C410CF">
      <w:pPr>
        <w:ind w:left="720"/>
        <w:jc w:val="both"/>
        <w:rPr>
          <w:rFonts w:ascii="Times New Roman" w:hAnsi="Times New Roman" w:cs="Times New Roman"/>
        </w:rPr>
      </w:pPr>
      <w:r w:rsidRPr="00C410CF">
        <w:rPr>
          <w:rFonts w:ascii="Times New Roman" w:hAnsi="Times New Roman" w:cs="Times New Roman"/>
        </w:rPr>
        <w:t>The annual declaration of the tangible personal property owned by such person on the assessment date, shall include, but is not limited to, the following property: Machinery used in mills and factories, cables, wires, poles, underground mains, conduits, pipes and other fixtures of water, gas, electric and heating companies, leasehold improvements classified as other than real property and furniture and fixtures of stores, offices, hotels, restaurants, taverns, halls, factories and manufacturers. (§12-41(c))</w:t>
      </w:r>
    </w:p>
    <w:p w14:paraId="4501929C" w14:textId="27D81139" w:rsidR="00B41972" w:rsidRPr="00C410CF" w:rsidRDefault="001D32AA" w:rsidP="00C410CF">
      <w:pPr>
        <w:jc w:val="both"/>
        <w:rPr>
          <w:rFonts w:ascii="Times New Roman" w:hAnsi="Times New Roman" w:cs="Times New Roman"/>
        </w:rPr>
      </w:pPr>
      <w:r w:rsidRPr="00C410CF">
        <w:rPr>
          <w:rFonts w:ascii="Times New Roman" w:hAnsi="Times New Roman" w:cs="Times New Roman"/>
        </w:rPr>
        <w:t>Connecticut courts have embraced a somewhat more straightforward and succinct definition of personal property:</w:t>
      </w:r>
    </w:p>
    <w:p w14:paraId="087912EF" w14:textId="6720BF07" w:rsidR="001D32AA" w:rsidRPr="00C410CF" w:rsidRDefault="001D32AA" w:rsidP="00C410CF">
      <w:pPr>
        <w:ind w:left="720"/>
        <w:jc w:val="both"/>
        <w:rPr>
          <w:rFonts w:ascii="Times New Roman" w:hAnsi="Times New Roman" w:cs="Times New Roman"/>
        </w:rPr>
      </w:pPr>
      <w:r w:rsidRPr="00C410CF">
        <w:rPr>
          <w:rFonts w:ascii="Times New Roman" w:hAnsi="Times New Roman" w:cs="Times New Roman"/>
        </w:rPr>
        <w:t xml:space="preserve">The term ‘personal property’ embraces everything, not coming under the denomination of real estate, which is the subject of ownership and has an exchangeable value. </w:t>
      </w:r>
      <w:r w:rsidR="00C410CF" w:rsidRPr="00C410CF">
        <w:rPr>
          <w:rFonts w:ascii="Times New Roman" w:hAnsi="Times New Roman" w:cs="Times New Roman"/>
        </w:rPr>
        <w:fldChar w:fldCharType="begin"/>
      </w:r>
      <w:r w:rsidR="00C410CF" w:rsidRPr="00C410CF">
        <w:rPr>
          <w:rFonts w:ascii="Times New Roman" w:hAnsi="Times New Roman" w:cs="Times New Roman"/>
        </w:rPr>
        <w:instrText xml:space="preserve"> ADDIN EN.CITE &lt;EndNote&gt;&lt;Cite&gt;&lt;Author&gt;Judicial Branch&lt;/Author&gt;&lt;Year&gt;2014&lt;/Year&gt;&lt;RecNum&gt;2&lt;/RecNum&gt;&lt;DisplayText&gt;(Judicial Branch 2014)&lt;/DisplayText&gt;&lt;record&gt;&lt;rec-number&gt;2&lt;/rec-number&gt;&lt;foreign-keys&gt;&lt;key app="EN" db-id="efsrp25rfad5tverv0kv2ztwvdrzzzda2pwp" timestamp="1446231701"&gt;2&lt;/key&gt;&lt;/foreign-keys&gt;&lt;ref-type name="Government Document"&gt;46&lt;/ref-type&gt;&lt;contributors&gt;&lt;authors&gt;&lt;author&gt;Judicial Branch,&lt;/author&gt;&lt;/authors&gt;&lt;/contributors&gt;&lt;titles&gt;&lt;title&gt;Glossary of Connecticut Property Law Terms&lt;/title&gt;&lt;/titles&gt;&lt;dates&gt;&lt;year&gt;2014&lt;/year&gt;&lt;/dates&gt;&lt;pub-location&gt;Hartford, CT&lt;/pub-location&gt;&lt;publisher&gt;Judicial Branch, State of Connecticut&lt;/publisher&gt;&lt;urls&gt;&lt;/urls&gt;&lt;/record&gt;&lt;/Cite&gt;&lt;/EndNote&gt;</w:instrText>
      </w:r>
      <w:r w:rsidR="00C410CF" w:rsidRPr="00C410CF">
        <w:rPr>
          <w:rFonts w:ascii="Times New Roman" w:hAnsi="Times New Roman" w:cs="Times New Roman"/>
        </w:rPr>
        <w:fldChar w:fldCharType="separate"/>
      </w:r>
      <w:r w:rsidR="00C410CF" w:rsidRPr="00C410CF">
        <w:rPr>
          <w:rFonts w:ascii="Times New Roman" w:hAnsi="Times New Roman" w:cs="Times New Roman"/>
          <w:noProof/>
        </w:rPr>
        <w:t>(Judicial Branch 2014)</w:t>
      </w:r>
      <w:r w:rsidR="00C410CF" w:rsidRPr="00C410CF">
        <w:rPr>
          <w:rFonts w:ascii="Times New Roman" w:hAnsi="Times New Roman" w:cs="Times New Roman"/>
        </w:rPr>
        <w:fldChar w:fldCharType="end"/>
      </w:r>
    </w:p>
    <w:p w14:paraId="7A8A3FDA" w14:textId="29AEFE20" w:rsidR="001D32AA" w:rsidRPr="00C410CF" w:rsidRDefault="001D32AA" w:rsidP="00C410CF">
      <w:pPr>
        <w:jc w:val="both"/>
        <w:rPr>
          <w:rFonts w:ascii="Times New Roman" w:hAnsi="Times New Roman" w:cs="Times New Roman"/>
        </w:rPr>
      </w:pPr>
      <w:r w:rsidRPr="00C410CF">
        <w:rPr>
          <w:rFonts w:ascii="Times New Roman" w:hAnsi="Times New Roman" w:cs="Times New Roman"/>
        </w:rPr>
        <w:t xml:space="preserve">While this definition could include intangible personal property, the numerous references to tangible personal property in state statute would seem to make it clear </w:t>
      </w:r>
      <w:r w:rsidR="006E33F0" w:rsidRPr="00C410CF">
        <w:rPr>
          <w:rFonts w:ascii="Times New Roman" w:hAnsi="Times New Roman" w:cs="Times New Roman"/>
        </w:rPr>
        <w:t xml:space="preserve">that the state’s intent is to tax </w:t>
      </w:r>
      <w:r w:rsidR="00616F89" w:rsidRPr="00C410CF">
        <w:rPr>
          <w:rFonts w:ascii="Times New Roman" w:hAnsi="Times New Roman" w:cs="Times New Roman"/>
        </w:rPr>
        <w:t xml:space="preserve">only </w:t>
      </w:r>
      <w:r w:rsidR="006E33F0" w:rsidRPr="00C410CF">
        <w:rPr>
          <w:rFonts w:ascii="Times New Roman" w:hAnsi="Times New Roman" w:cs="Times New Roman"/>
        </w:rPr>
        <w:t>tangible personal property.</w:t>
      </w:r>
    </w:p>
    <w:p w14:paraId="3957E2D9" w14:textId="3BDAB6E2" w:rsidR="00616F89" w:rsidRPr="00C410CF" w:rsidRDefault="00616F89" w:rsidP="00616F89">
      <w:pPr>
        <w:pStyle w:val="Heading3"/>
        <w:rPr>
          <w:rFonts w:ascii="Times New Roman" w:hAnsi="Times New Roman" w:cs="Times New Roman"/>
        </w:rPr>
      </w:pPr>
      <w:bookmarkStart w:id="4" w:name="_Toc434358299"/>
      <w:r w:rsidRPr="00C410CF">
        <w:rPr>
          <w:rFonts w:ascii="Times New Roman" w:hAnsi="Times New Roman" w:cs="Times New Roman"/>
        </w:rPr>
        <w:lastRenderedPageBreak/>
        <w:t>Fiscal importance of personal property</w:t>
      </w:r>
      <w:bookmarkEnd w:id="4"/>
    </w:p>
    <w:p w14:paraId="0AAF5952" w14:textId="2D301FF7" w:rsidR="00495FC7" w:rsidRPr="00C034CB" w:rsidRDefault="00495FC7" w:rsidP="00C034CB">
      <w:pPr>
        <w:jc w:val="both"/>
        <w:rPr>
          <w:rFonts w:ascii="Times New Roman" w:hAnsi="Times New Roman" w:cs="Times New Roman"/>
        </w:rPr>
      </w:pPr>
      <w:r w:rsidRPr="00C034CB">
        <w:rPr>
          <w:rFonts w:ascii="Times New Roman" w:hAnsi="Times New Roman" w:cs="Times New Roman"/>
        </w:rPr>
        <w:t xml:space="preserve">The </w:t>
      </w:r>
      <w:r w:rsidR="00B90FAB" w:rsidRPr="00C034CB">
        <w:rPr>
          <w:rFonts w:ascii="Times New Roman" w:hAnsi="Times New Roman" w:cs="Times New Roman"/>
        </w:rPr>
        <w:t xml:space="preserve">fiscal or revenue </w:t>
      </w:r>
      <w:r w:rsidRPr="00C034CB">
        <w:rPr>
          <w:rFonts w:ascii="Times New Roman" w:hAnsi="Times New Roman" w:cs="Times New Roman"/>
        </w:rPr>
        <w:t xml:space="preserve">importance of the personal property </w:t>
      </w:r>
      <w:r w:rsidR="00EA0FDD" w:rsidRPr="00C034CB">
        <w:rPr>
          <w:rFonts w:ascii="Times New Roman" w:hAnsi="Times New Roman" w:cs="Times New Roman"/>
        </w:rPr>
        <w:t xml:space="preserve">tax </w:t>
      </w:r>
      <w:r w:rsidRPr="00C034CB">
        <w:rPr>
          <w:rFonts w:ascii="Times New Roman" w:hAnsi="Times New Roman" w:cs="Times New Roman"/>
        </w:rPr>
        <w:t xml:space="preserve">has </w:t>
      </w:r>
      <w:r w:rsidR="00E24D95" w:rsidRPr="00C034CB">
        <w:rPr>
          <w:rFonts w:ascii="Times New Roman" w:hAnsi="Times New Roman" w:cs="Times New Roman"/>
        </w:rPr>
        <w:t xml:space="preserve">been declining over the past decades. </w:t>
      </w:r>
      <w:r w:rsidR="00C47F24">
        <w:rPr>
          <w:rFonts w:ascii="Times New Roman" w:hAnsi="Times New Roman" w:cs="Times New Roman"/>
        </w:rPr>
        <w:fldChar w:fldCharType="begin"/>
      </w:r>
      <w:r w:rsidR="00C47F24">
        <w:rPr>
          <w:rFonts w:ascii="Times New Roman" w:hAnsi="Times New Roman" w:cs="Times New Roman"/>
        </w:rPr>
        <w:instrText xml:space="preserve"> ADDIN EN.CITE &lt;EndNote&gt;&lt;Cite&gt;&lt;Author&gt;Errecart&lt;/Author&gt;&lt;Year&gt;2012&lt;/Year&gt;&lt;RecNum&gt;18&lt;/RecNum&gt;&lt;DisplayText&gt;(Errecart et al. 2012)&lt;/DisplayText&gt;&lt;record&gt;&lt;rec-number&gt;18&lt;/rec-number&gt;&lt;foreign-keys&gt;&lt;key app="EN" db-id="efsrp25rfad5tverv0kv2ztwvdrzzzda2pwp" timestamp="1446504631"&gt;18&lt;/key&gt;&lt;/foreign-keys&gt;&lt;ref-type name="Report"&gt;27&lt;/ref-type&gt;&lt;contributors&gt;&lt;authors&gt;&lt;author&gt;Joyce Errecart&lt;/author&gt;&lt;author&gt;Ed Gerrish&lt;/author&gt;&lt;author&gt;Scott Drenkard&lt;/author&gt;&lt;/authors&gt;&lt;/contributors&gt;&lt;titles&gt;&lt;title&gt;States moving away from taxes on tangible personal property&lt;/title&gt;&lt;secondary-title&gt;Background Paper No. 63&lt;/secondary-title&gt;&lt;/titles&gt;&lt;dates&gt;&lt;year&gt;2012&lt;/year&gt;&lt;pub-dates&gt;&lt;date&gt;October, 2012&lt;/date&gt;&lt;/pub-dates&gt;&lt;/dates&gt;&lt;pub-location&gt;Washington, DC&lt;/pub-location&gt;&lt;publisher&gt;Tax Foundation &amp;amp; Foundation for Government Accountability&lt;/publisher&gt;&lt;urls&gt;&lt;/urls&gt;&lt;/record&gt;&lt;/Cite&gt;&lt;/EndNote&gt;</w:instrText>
      </w:r>
      <w:r w:rsidR="00C47F24">
        <w:rPr>
          <w:rFonts w:ascii="Times New Roman" w:hAnsi="Times New Roman" w:cs="Times New Roman"/>
        </w:rPr>
        <w:fldChar w:fldCharType="separate"/>
      </w:r>
      <w:r w:rsidR="00C47F24">
        <w:rPr>
          <w:rFonts w:ascii="Times New Roman" w:hAnsi="Times New Roman" w:cs="Times New Roman"/>
          <w:noProof/>
        </w:rPr>
        <w:t>(Errecart et al. 2012)</w:t>
      </w:r>
      <w:r w:rsidR="00C47F24">
        <w:rPr>
          <w:rFonts w:ascii="Times New Roman" w:hAnsi="Times New Roman" w:cs="Times New Roman"/>
        </w:rPr>
        <w:fldChar w:fldCharType="end"/>
      </w:r>
      <w:r w:rsidR="00E24D95" w:rsidRPr="00C034CB">
        <w:rPr>
          <w:rFonts w:ascii="Times New Roman" w:hAnsi="Times New Roman" w:cs="Times New Roman"/>
        </w:rPr>
        <w:t xml:space="preserve"> In the 70</w:t>
      </w:r>
      <w:r w:rsidRPr="00C034CB">
        <w:rPr>
          <w:rFonts w:ascii="Times New Roman" w:hAnsi="Times New Roman" w:cs="Times New Roman"/>
        </w:rPr>
        <w:t>s the personal propert</w:t>
      </w:r>
      <w:r w:rsidR="00E24D95" w:rsidRPr="00C034CB">
        <w:rPr>
          <w:rFonts w:ascii="Times New Roman" w:hAnsi="Times New Roman" w:cs="Times New Roman"/>
        </w:rPr>
        <w:t>y tax average</w:t>
      </w:r>
      <w:r w:rsidR="00C92BE2" w:rsidRPr="00C034CB">
        <w:rPr>
          <w:rFonts w:ascii="Times New Roman" w:hAnsi="Times New Roman" w:cs="Times New Roman"/>
        </w:rPr>
        <w:t xml:space="preserve">d </w:t>
      </w:r>
      <w:r w:rsidR="00E24D95" w:rsidRPr="00C034CB">
        <w:rPr>
          <w:rFonts w:ascii="Times New Roman" w:hAnsi="Times New Roman" w:cs="Times New Roman"/>
        </w:rPr>
        <w:t xml:space="preserve">more than ten </w:t>
      </w:r>
      <w:r w:rsidRPr="00C034CB">
        <w:rPr>
          <w:rFonts w:ascii="Times New Roman" w:hAnsi="Times New Roman" w:cs="Times New Roman"/>
        </w:rPr>
        <w:t xml:space="preserve">percent of the total assessed value </w:t>
      </w:r>
      <w:r w:rsidR="00616F89" w:rsidRPr="00C034CB">
        <w:rPr>
          <w:rFonts w:ascii="Times New Roman" w:hAnsi="Times New Roman" w:cs="Times New Roman"/>
        </w:rPr>
        <w:t>for</w:t>
      </w:r>
      <w:r w:rsidRPr="00C034CB">
        <w:rPr>
          <w:rFonts w:ascii="Times New Roman" w:hAnsi="Times New Roman" w:cs="Times New Roman"/>
        </w:rPr>
        <w:t xml:space="preserve"> property tax</w:t>
      </w:r>
      <w:r w:rsidR="00616F89" w:rsidRPr="00C034CB">
        <w:rPr>
          <w:rFonts w:ascii="Times New Roman" w:hAnsi="Times New Roman" w:cs="Times New Roman"/>
        </w:rPr>
        <w:t>es</w:t>
      </w:r>
      <w:r w:rsidRPr="00C034CB">
        <w:rPr>
          <w:rFonts w:ascii="Times New Roman" w:hAnsi="Times New Roman" w:cs="Times New Roman"/>
        </w:rPr>
        <w:t xml:space="preserve"> in the United States.  The relative value of personal property </w:t>
      </w:r>
      <w:r w:rsidR="00E75F88" w:rsidRPr="00C034CB">
        <w:rPr>
          <w:rFonts w:ascii="Times New Roman" w:hAnsi="Times New Roman" w:cs="Times New Roman"/>
        </w:rPr>
        <w:t xml:space="preserve">has now been reduced to generally less than ten percent of </w:t>
      </w:r>
      <w:r w:rsidRPr="00C034CB">
        <w:rPr>
          <w:rFonts w:ascii="Times New Roman" w:hAnsi="Times New Roman" w:cs="Times New Roman"/>
        </w:rPr>
        <w:t>the total</w:t>
      </w:r>
      <w:r w:rsidR="00E24D95" w:rsidRPr="00C034CB">
        <w:rPr>
          <w:rFonts w:ascii="Times New Roman" w:hAnsi="Times New Roman" w:cs="Times New Roman"/>
        </w:rPr>
        <w:t>.   T</w:t>
      </w:r>
      <w:r w:rsidRPr="00C034CB">
        <w:rPr>
          <w:rFonts w:ascii="Times New Roman" w:hAnsi="Times New Roman" w:cs="Times New Roman"/>
        </w:rPr>
        <w:t>he importance of personal property to the tax base does have a regional pattern.  The Southeastern states tend to rely most heavily on the personal property tax</w:t>
      </w:r>
      <w:r w:rsidR="00E24D95" w:rsidRPr="00C034CB">
        <w:rPr>
          <w:rFonts w:ascii="Times New Roman" w:hAnsi="Times New Roman" w:cs="Times New Roman"/>
        </w:rPr>
        <w:t xml:space="preserve">.  </w:t>
      </w:r>
      <w:r w:rsidR="00E75F88" w:rsidRPr="00C034CB">
        <w:rPr>
          <w:rFonts w:ascii="Times New Roman" w:hAnsi="Times New Roman" w:cs="Times New Roman"/>
        </w:rPr>
        <w:t>The relative share of personal property in the property tax base is reported for selected states for t</w:t>
      </w:r>
      <w:r w:rsidR="00D17FEA" w:rsidRPr="00C034CB">
        <w:rPr>
          <w:rFonts w:ascii="Times New Roman" w:hAnsi="Times New Roman" w:cs="Times New Roman"/>
        </w:rPr>
        <w:t>he period from 1986 to 2013 in T</w:t>
      </w:r>
      <w:r w:rsidR="00616F89" w:rsidRPr="00C034CB">
        <w:rPr>
          <w:rFonts w:ascii="Times New Roman" w:hAnsi="Times New Roman" w:cs="Times New Roman"/>
        </w:rPr>
        <w:t>able 1</w:t>
      </w:r>
      <w:r w:rsidR="00C64DA9" w:rsidRPr="00C034CB">
        <w:rPr>
          <w:rStyle w:val="FootnoteReference"/>
          <w:rFonts w:ascii="Times New Roman" w:hAnsi="Times New Roman" w:cs="Times New Roman"/>
        </w:rPr>
        <w:footnoteReference w:id="1"/>
      </w:r>
      <w:r w:rsidR="00E75F88" w:rsidRPr="00C034CB">
        <w:rPr>
          <w:rFonts w:ascii="Times New Roman" w:hAnsi="Times New Roman" w:cs="Times New Roman"/>
        </w:rPr>
        <w:t xml:space="preserve">. </w:t>
      </w:r>
      <w:r w:rsidR="00C64DA9" w:rsidRPr="00C034CB">
        <w:rPr>
          <w:rFonts w:ascii="Times New Roman" w:hAnsi="Times New Roman" w:cs="Times New Roman"/>
        </w:rPr>
        <w:t>Of particular interest is the observation that personal property had a much larger share of the base in Connecticut in the past than it does today.</w:t>
      </w:r>
    </w:p>
    <w:p w14:paraId="20FF9D78" w14:textId="47B0265B" w:rsidR="00C64DA9" w:rsidRPr="00C034CB" w:rsidRDefault="00D32C9C" w:rsidP="00C64DA9">
      <w:pPr>
        <w:widowControl w:val="0"/>
        <w:autoSpaceDE w:val="0"/>
        <w:autoSpaceDN w:val="0"/>
        <w:adjustRightInd w:val="0"/>
        <w:spacing w:after="0" w:line="240" w:lineRule="auto"/>
        <w:jc w:val="center"/>
        <w:rPr>
          <w:rFonts w:ascii="Times New Roman" w:hAnsi="Times New Roman" w:cs="Times New Roman"/>
          <w:b/>
        </w:rPr>
      </w:pPr>
      <w:r w:rsidRPr="00C034CB">
        <w:rPr>
          <w:rFonts w:ascii="Times New Roman" w:hAnsi="Times New Roman" w:cs="Times New Roman"/>
          <w:b/>
        </w:rPr>
        <w:t>Table 1</w:t>
      </w:r>
      <w:r w:rsidR="00616F89" w:rsidRPr="00C034CB">
        <w:rPr>
          <w:rFonts w:ascii="Times New Roman" w:hAnsi="Times New Roman" w:cs="Times New Roman"/>
          <w:b/>
        </w:rPr>
        <w:t xml:space="preserve">: </w:t>
      </w:r>
      <w:r w:rsidRPr="00C034CB">
        <w:rPr>
          <w:rFonts w:ascii="Times New Roman" w:hAnsi="Times New Roman" w:cs="Times New Roman"/>
          <w:b/>
        </w:rPr>
        <w:t>Personal Property as a Percent of Total</w:t>
      </w:r>
    </w:p>
    <w:p w14:paraId="0C0D4C08" w14:textId="0948C4BC" w:rsidR="00D32C9C" w:rsidRPr="00C034CB" w:rsidRDefault="00D32C9C" w:rsidP="00C64DA9">
      <w:pPr>
        <w:widowControl w:val="0"/>
        <w:autoSpaceDE w:val="0"/>
        <w:autoSpaceDN w:val="0"/>
        <w:adjustRightInd w:val="0"/>
        <w:spacing w:after="0" w:line="240" w:lineRule="auto"/>
        <w:jc w:val="center"/>
        <w:rPr>
          <w:rFonts w:ascii="Times New Roman" w:hAnsi="Times New Roman" w:cs="Times New Roman"/>
          <w:b/>
        </w:rPr>
      </w:pPr>
      <w:r w:rsidRPr="00C034CB">
        <w:rPr>
          <w:rFonts w:ascii="Times New Roman" w:hAnsi="Times New Roman" w:cs="Times New Roman"/>
          <w:b/>
        </w:rPr>
        <w:t>Property Tax Base</w:t>
      </w:r>
      <w:r w:rsidR="00616F89" w:rsidRPr="00C034CB">
        <w:rPr>
          <w:rFonts w:ascii="Times New Roman" w:hAnsi="Times New Roman" w:cs="Times New Roman"/>
          <w:b/>
        </w:rPr>
        <w:t xml:space="preserve"> for </w:t>
      </w:r>
      <w:r w:rsidRPr="00C034CB">
        <w:rPr>
          <w:rFonts w:ascii="Times New Roman" w:hAnsi="Times New Roman" w:cs="Times New Roman"/>
          <w:b/>
        </w:rPr>
        <w:t>Selected States</w:t>
      </w:r>
      <w:r w:rsidR="00616F89" w:rsidRPr="00C034CB">
        <w:rPr>
          <w:rFonts w:ascii="Times New Roman" w:hAnsi="Times New Roman" w:cs="Times New Roman"/>
          <w:b/>
        </w:rPr>
        <w:t xml:space="preserve">, </w:t>
      </w:r>
      <w:r w:rsidRPr="00C034CB">
        <w:rPr>
          <w:rFonts w:ascii="Times New Roman" w:hAnsi="Times New Roman" w:cs="Times New Roman"/>
          <w:b/>
        </w:rPr>
        <w:t>1986 – 2013</w:t>
      </w:r>
    </w:p>
    <w:tbl>
      <w:tblPr>
        <w:tblStyle w:val="GridTable4-Accent1"/>
        <w:tblW w:w="0" w:type="auto"/>
        <w:jc w:val="center"/>
        <w:tblLook w:val="04A0" w:firstRow="1" w:lastRow="0" w:firstColumn="1" w:lastColumn="0" w:noHBand="0" w:noVBand="1"/>
      </w:tblPr>
      <w:tblGrid>
        <w:gridCol w:w="1573"/>
        <w:gridCol w:w="656"/>
        <w:gridCol w:w="656"/>
        <w:gridCol w:w="656"/>
      </w:tblGrid>
      <w:tr w:rsidR="00C64DA9" w:rsidRPr="00C64DA9" w14:paraId="0EFA0477" w14:textId="77777777" w:rsidTr="00C64DA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1206611" w14:textId="77777777" w:rsidR="00C64DA9" w:rsidRPr="00E17BE4" w:rsidRDefault="00C64DA9" w:rsidP="001A1510">
            <w:pPr>
              <w:widowControl w:val="0"/>
              <w:autoSpaceDE w:val="0"/>
              <w:autoSpaceDN w:val="0"/>
              <w:adjustRightInd w:val="0"/>
              <w:rPr>
                <w:rFonts w:ascii="Times New Roman" w:hAnsi="Times New Roman" w:cs="Times New Roman"/>
                <w:b w:val="0"/>
              </w:rPr>
            </w:pPr>
            <w:r w:rsidRPr="00E17BE4">
              <w:rPr>
                <w:rFonts w:ascii="Times New Roman" w:hAnsi="Times New Roman" w:cs="Times New Roman"/>
                <w:b w:val="0"/>
              </w:rPr>
              <w:t>State</w:t>
            </w:r>
          </w:p>
        </w:tc>
        <w:tc>
          <w:tcPr>
            <w:tcW w:w="0" w:type="auto"/>
          </w:tcPr>
          <w:p w14:paraId="22F841E4" w14:textId="77777777" w:rsidR="00C64DA9" w:rsidRPr="00E17BE4" w:rsidRDefault="00C64DA9" w:rsidP="001A1510">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E17BE4">
              <w:rPr>
                <w:rFonts w:ascii="Times New Roman" w:hAnsi="Times New Roman" w:cs="Times New Roman"/>
                <w:b w:val="0"/>
              </w:rPr>
              <w:t>1986</w:t>
            </w:r>
          </w:p>
        </w:tc>
        <w:tc>
          <w:tcPr>
            <w:tcW w:w="0" w:type="auto"/>
          </w:tcPr>
          <w:p w14:paraId="29049CA6" w14:textId="77777777" w:rsidR="00C64DA9" w:rsidRPr="00E17BE4" w:rsidRDefault="00C64DA9" w:rsidP="001A1510">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E17BE4">
              <w:rPr>
                <w:rFonts w:ascii="Times New Roman" w:hAnsi="Times New Roman" w:cs="Times New Roman"/>
                <w:b w:val="0"/>
              </w:rPr>
              <w:t>1991</w:t>
            </w:r>
          </w:p>
        </w:tc>
        <w:tc>
          <w:tcPr>
            <w:tcW w:w="0" w:type="auto"/>
          </w:tcPr>
          <w:p w14:paraId="30FA5776" w14:textId="77777777" w:rsidR="00C64DA9" w:rsidRPr="00E17BE4" w:rsidRDefault="00C64DA9" w:rsidP="001A1510">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E17BE4">
              <w:rPr>
                <w:rFonts w:ascii="Times New Roman" w:hAnsi="Times New Roman" w:cs="Times New Roman"/>
                <w:b w:val="0"/>
              </w:rPr>
              <w:t>2013</w:t>
            </w:r>
          </w:p>
        </w:tc>
      </w:tr>
      <w:tr w:rsidR="00C64DA9" w:rsidRPr="00C64DA9" w14:paraId="389AF396" w14:textId="77777777" w:rsidTr="00C64D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889FE5B" w14:textId="77777777" w:rsidR="00C64DA9" w:rsidRPr="00E17BE4" w:rsidRDefault="00C64DA9" w:rsidP="001A1510">
            <w:pPr>
              <w:widowControl w:val="0"/>
              <w:autoSpaceDE w:val="0"/>
              <w:autoSpaceDN w:val="0"/>
              <w:adjustRightInd w:val="0"/>
              <w:rPr>
                <w:rFonts w:ascii="Times New Roman" w:hAnsi="Times New Roman" w:cs="Times New Roman"/>
              </w:rPr>
            </w:pPr>
            <w:r w:rsidRPr="00E17BE4">
              <w:rPr>
                <w:rFonts w:ascii="Times New Roman" w:hAnsi="Times New Roman" w:cs="Times New Roman"/>
              </w:rPr>
              <w:t>California</w:t>
            </w:r>
          </w:p>
        </w:tc>
        <w:tc>
          <w:tcPr>
            <w:tcW w:w="0" w:type="auto"/>
          </w:tcPr>
          <w:p w14:paraId="50EFBA94" w14:textId="77777777" w:rsidR="00C64DA9" w:rsidRPr="00E17BE4" w:rsidRDefault="00C64DA9" w:rsidP="00C64DA9">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6.5</w:t>
            </w:r>
          </w:p>
        </w:tc>
        <w:tc>
          <w:tcPr>
            <w:tcW w:w="0" w:type="auto"/>
          </w:tcPr>
          <w:p w14:paraId="17D5B196" w14:textId="77777777" w:rsidR="00C64DA9" w:rsidRPr="00E17BE4" w:rsidRDefault="00C64DA9" w:rsidP="00C64DA9">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5.9</w:t>
            </w:r>
          </w:p>
        </w:tc>
        <w:tc>
          <w:tcPr>
            <w:tcW w:w="0" w:type="auto"/>
          </w:tcPr>
          <w:p w14:paraId="7C0A7798" w14:textId="77777777" w:rsidR="00C64DA9" w:rsidRPr="00E17BE4" w:rsidRDefault="00C64DA9" w:rsidP="00C64DA9">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4.0</w:t>
            </w:r>
          </w:p>
        </w:tc>
      </w:tr>
      <w:tr w:rsidR="00C64DA9" w:rsidRPr="00C64DA9" w14:paraId="33959B09" w14:textId="77777777" w:rsidTr="00C64DA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B7F9497" w14:textId="77777777" w:rsidR="00C64DA9" w:rsidRPr="00E17BE4" w:rsidRDefault="00C64DA9" w:rsidP="001A1510">
            <w:pPr>
              <w:widowControl w:val="0"/>
              <w:autoSpaceDE w:val="0"/>
              <w:autoSpaceDN w:val="0"/>
              <w:adjustRightInd w:val="0"/>
              <w:rPr>
                <w:rFonts w:ascii="Times New Roman" w:hAnsi="Times New Roman" w:cs="Times New Roman"/>
              </w:rPr>
            </w:pPr>
            <w:r w:rsidRPr="00E17BE4">
              <w:rPr>
                <w:rFonts w:ascii="Times New Roman" w:hAnsi="Times New Roman" w:cs="Times New Roman"/>
              </w:rPr>
              <w:t>Colorado</w:t>
            </w:r>
          </w:p>
        </w:tc>
        <w:tc>
          <w:tcPr>
            <w:tcW w:w="0" w:type="auto"/>
          </w:tcPr>
          <w:p w14:paraId="58742930" w14:textId="77777777" w:rsidR="00C64DA9" w:rsidRPr="00E17BE4" w:rsidRDefault="00C64DA9" w:rsidP="00C64DA9">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9.2</w:t>
            </w:r>
          </w:p>
        </w:tc>
        <w:tc>
          <w:tcPr>
            <w:tcW w:w="0" w:type="auto"/>
          </w:tcPr>
          <w:p w14:paraId="7B5D0973" w14:textId="77777777" w:rsidR="00C64DA9" w:rsidRPr="00E17BE4" w:rsidRDefault="00C64DA9" w:rsidP="00C64DA9">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10.5</w:t>
            </w:r>
          </w:p>
        </w:tc>
        <w:tc>
          <w:tcPr>
            <w:tcW w:w="0" w:type="auto"/>
          </w:tcPr>
          <w:p w14:paraId="3B407A03" w14:textId="77777777" w:rsidR="00C64DA9" w:rsidRPr="00E17BE4" w:rsidRDefault="00C64DA9" w:rsidP="00C64DA9">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14.1</w:t>
            </w:r>
          </w:p>
        </w:tc>
      </w:tr>
      <w:tr w:rsidR="00C64DA9" w:rsidRPr="00C64DA9" w14:paraId="3E954835" w14:textId="77777777" w:rsidTr="00C64D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D6968DC" w14:textId="77777777" w:rsidR="00C64DA9" w:rsidRPr="00E17BE4" w:rsidRDefault="00C64DA9" w:rsidP="001A1510">
            <w:pPr>
              <w:widowControl w:val="0"/>
              <w:autoSpaceDE w:val="0"/>
              <w:autoSpaceDN w:val="0"/>
              <w:adjustRightInd w:val="0"/>
              <w:rPr>
                <w:rFonts w:ascii="Times New Roman" w:hAnsi="Times New Roman" w:cs="Times New Roman"/>
              </w:rPr>
            </w:pPr>
            <w:r w:rsidRPr="00E17BE4">
              <w:rPr>
                <w:rFonts w:ascii="Times New Roman" w:hAnsi="Times New Roman" w:cs="Times New Roman"/>
              </w:rPr>
              <w:t>Connecticut</w:t>
            </w:r>
          </w:p>
        </w:tc>
        <w:tc>
          <w:tcPr>
            <w:tcW w:w="0" w:type="auto"/>
          </w:tcPr>
          <w:p w14:paraId="1FE8896E" w14:textId="77777777" w:rsidR="00C64DA9" w:rsidRPr="00E17BE4" w:rsidRDefault="00C64DA9" w:rsidP="00C64DA9">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12.7</w:t>
            </w:r>
          </w:p>
        </w:tc>
        <w:tc>
          <w:tcPr>
            <w:tcW w:w="0" w:type="auto"/>
          </w:tcPr>
          <w:p w14:paraId="36ECFBB5" w14:textId="77777777" w:rsidR="00C64DA9" w:rsidRPr="00E17BE4" w:rsidRDefault="00C64DA9" w:rsidP="00C64DA9">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14.3</w:t>
            </w:r>
          </w:p>
        </w:tc>
        <w:tc>
          <w:tcPr>
            <w:tcW w:w="0" w:type="auto"/>
          </w:tcPr>
          <w:p w14:paraId="3C8111D1" w14:textId="77777777" w:rsidR="00C64DA9" w:rsidRPr="00E17BE4" w:rsidRDefault="00C64DA9" w:rsidP="00C64DA9">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5.5</w:t>
            </w:r>
          </w:p>
        </w:tc>
      </w:tr>
      <w:tr w:rsidR="00C64DA9" w:rsidRPr="00C64DA9" w14:paraId="13BF5023" w14:textId="77777777" w:rsidTr="00C64DA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FFFE574" w14:textId="77777777" w:rsidR="00C64DA9" w:rsidRPr="00E17BE4" w:rsidRDefault="00C64DA9" w:rsidP="001A1510">
            <w:pPr>
              <w:widowControl w:val="0"/>
              <w:autoSpaceDE w:val="0"/>
              <w:autoSpaceDN w:val="0"/>
              <w:adjustRightInd w:val="0"/>
              <w:rPr>
                <w:rFonts w:ascii="Times New Roman" w:hAnsi="Times New Roman" w:cs="Times New Roman"/>
              </w:rPr>
            </w:pPr>
            <w:r w:rsidRPr="00E17BE4">
              <w:rPr>
                <w:rFonts w:ascii="Times New Roman" w:hAnsi="Times New Roman" w:cs="Times New Roman"/>
              </w:rPr>
              <w:t>Florida</w:t>
            </w:r>
          </w:p>
        </w:tc>
        <w:tc>
          <w:tcPr>
            <w:tcW w:w="0" w:type="auto"/>
          </w:tcPr>
          <w:p w14:paraId="171288EE" w14:textId="77777777" w:rsidR="00C64DA9" w:rsidRPr="00E17BE4" w:rsidRDefault="00C64DA9" w:rsidP="00C64DA9">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12.7</w:t>
            </w:r>
          </w:p>
        </w:tc>
        <w:tc>
          <w:tcPr>
            <w:tcW w:w="0" w:type="auto"/>
          </w:tcPr>
          <w:p w14:paraId="3D1BDA9E" w14:textId="77777777" w:rsidR="00C64DA9" w:rsidRPr="00E17BE4" w:rsidRDefault="00C64DA9" w:rsidP="00C64DA9">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10.4</w:t>
            </w:r>
          </w:p>
        </w:tc>
        <w:tc>
          <w:tcPr>
            <w:tcW w:w="0" w:type="auto"/>
          </w:tcPr>
          <w:p w14:paraId="709EB62A" w14:textId="77777777" w:rsidR="00C64DA9" w:rsidRPr="00E17BE4" w:rsidRDefault="00C64DA9" w:rsidP="00C64DA9">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7.8</w:t>
            </w:r>
          </w:p>
        </w:tc>
      </w:tr>
      <w:tr w:rsidR="00C64DA9" w:rsidRPr="00C64DA9" w14:paraId="4AD3C03D" w14:textId="77777777" w:rsidTr="00C64D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D721154" w14:textId="77777777" w:rsidR="00C64DA9" w:rsidRPr="00E17BE4" w:rsidRDefault="00C64DA9" w:rsidP="001A1510">
            <w:pPr>
              <w:widowControl w:val="0"/>
              <w:autoSpaceDE w:val="0"/>
              <w:autoSpaceDN w:val="0"/>
              <w:adjustRightInd w:val="0"/>
              <w:rPr>
                <w:rFonts w:ascii="Times New Roman" w:hAnsi="Times New Roman" w:cs="Times New Roman"/>
              </w:rPr>
            </w:pPr>
            <w:r w:rsidRPr="00E17BE4">
              <w:rPr>
                <w:rFonts w:ascii="Times New Roman" w:hAnsi="Times New Roman" w:cs="Times New Roman"/>
              </w:rPr>
              <w:t>Indiana</w:t>
            </w:r>
          </w:p>
        </w:tc>
        <w:tc>
          <w:tcPr>
            <w:tcW w:w="0" w:type="auto"/>
          </w:tcPr>
          <w:p w14:paraId="0C0F895A" w14:textId="77777777" w:rsidR="00C64DA9" w:rsidRPr="00E17BE4" w:rsidRDefault="00C64DA9" w:rsidP="00C64DA9">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26.3</w:t>
            </w:r>
          </w:p>
        </w:tc>
        <w:tc>
          <w:tcPr>
            <w:tcW w:w="0" w:type="auto"/>
          </w:tcPr>
          <w:p w14:paraId="4B150043" w14:textId="77777777" w:rsidR="00C64DA9" w:rsidRPr="00E17BE4" w:rsidRDefault="00C64DA9" w:rsidP="00C64DA9">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21.6</w:t>
            </w:r>
          </w:p>
        </w:tc>
        <w:tc>
          <w:tcPr>
            <w:tcW w:w="0" w:type="auto"/>
          </w:tcPr>
          <w:p w14:paraId="7FB7D783" w14:textId="77777777" w:rsidR="00C64DA9" w:rsidRPr="00E17BE4" w:rsidRDefault="00C64DA9" w:rsidP="00C64DA9">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14.7</w:t>
            </w:r>
          </w:p>
        </w:tc>
      </w:tr>
      <w:tr w:rsidR="00C64DA9" w:rsidRPr="00C64DA9" w14:paraId="0801AE02" w14:textId="77777777" w:rsidTr="00C64DA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882C38B" w14:textId="77777777" w:rsidR="00C64DA9" w:rsidRPr="00E17BE4" w:rsidRDefault="00C64DA9" w:rsidP="001A1510">
            <w:pPr>
              <w:widowControl w:val="0"/>
              <w:autoSpaceDE w:val="0"/>
              <w:autoSpaceDN w:val="0"/>
              <w:adjustRightInd w:val="0"/>
              <w:rPr>
                <w:rFonts w:ascii="Times New Roman" w:hAnsi="Times New Roman" w:cs="Times New Roman"/>
              </w:rPr>
            </w:pPr>
            <w:r w:rsidRPr="00E17BE4">
              <w:rPr>
                <w:rFonts w:ascii="Times New Roman" w:hAnsi="Times New Roman" w:cs="Times New Roman"/>
              </w:rPr>
              <w:t>Kansas</w:t>
            </w:r>
          </w:p>
        </w:tc>
        <w:tc>
          <w:tcPr>
            <w:tcW w:w="0" w:type="auto"/>
          </w:tcPr>
          <w:p w14:paraId="0B948E1B" w14:textId="77777777" w:rsidR="00C64DA9" w:rsidRPr="00E17BE4" w:rsidRDefault="00C64DA9" w:rsidP="00C64DA9">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29.6</w:t>
            </w:r>
          </w:p>
        </w:tc>
        <w:tc>
          <w:tcPr>
            <w:tcW w:w="0" w:type="auto"/>
          </w:tcPr>
          <w:p w14:paraId="5D1C56C8" w14:textId="77777777" w:rsidR="00C64DA9" w:rsidRPr="00E17BE4" w:rsidRDefault="00C64DA9" w:rsidP="00C64DA9">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16.9</w:t>
            </w:r>
          </w:p>
        </w:tc>
        <w:tc>
          <w:tcPr>
            <w:tcW w:w="0" w:type="auto"/>
          </w:tcPr>
          <w:p w14:paraId="233A209B" w14:textId="77777777" w:rsidR="00C64DA9" w:rsidRPr="00E17BE4" w:rsidRDefault="00C64DA9" w:rsidP="00C64DA9">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11.4</w:t>
            </w:r>
          </w:p>
        </w:tc>
      </w:tr>
      <w:tr w:rsidR="00C64DA9" w:rsidRPr="00C64DA9" w14:paraId="6E4E35DB" w14:textId="77777777" w:rsidTr="00C64D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37D3215" w14:textId="77777777" w:rsidR="00C64DA9" w:rsidRPr="00E17BE4" w:rsidRDefault="00C64DA9" w:rsidP="001A1510">
            <w:pPr>
              <w:widowControl w:val="0"/>
              <w:autoSpaceDE w:val="0"/>
              <w:autoSpaceDN w:val="0"/>
              <w:adjustRightInd w:val="0"/>
              <w:rPr>
                <w:rFonts w:ascii="Times New Roman" w:hAnsi="Times New Roman" w:cs="Times New Roman"/>
              </w:rPr>
            </w:pPr>
            <w:r w:rsidRPr="00E17BE4">
              <w:rPr>
                <w:rFonts w:ascii="Times New Roman" w:hAnsi="Times New Roman" w:cs="Times New Roman"/>
              </w:rPr>
              <w:t>Kentucky</w:t>
            </w:r>
          </w:p>
        </w:tc>
        <w:tc>
          <w:tcPr>
            <w:tcW w:w="0" w:type="auto"/>
          </w:tcPr>
          <w:p w14:paraId="34F721AD" w14:textId="77777777" w:rsidR="00C64DA9" w:rsidRPr="00E17BE4" w:rsidRDefault="00C64DA9" w:rsidP="00C64DA9">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25.2</w:t>
            </w:r>
          </w:p>
        </w:tc>
        <w:tc>
          <w:tcPr>
            <w:tcW w:w="0" w:type="auto"/>
          </w:tcPr>
          <w:p w14:paraId="07D3BFB8" w14:textId="77777777" w:rsidR="00C64DA9" w:rsidRPr="00E17BE4" w:rsidRDefault="00C64DA9" w:rsidP="00C64DA9">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21.9</w:t>
            </w:r>
          </w:p>
        </w:tc>
        <w:tc>
          <w:tcPr>
            <w:tcW w:w="0" w:type="auto"/>
          </w:tcPr>
          <w:p w14:paraId="616EAF76" w14:textId="77777777" w:rsidR="00C64DA9" w:rsidRPr="00E17BE4" w:rsidRDefault="00C64DA9" w:rsidP="00C64DA9">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8.6</w:t>
            </w:r>
          </w:p>
        </w:tc>
      </w:tr>
      <w:tr w:rsidR="00C64DA9" w:rsidRPr="00C64DA9" w14:paraId="58C00E1F" w14:textId="77777777" w:rsidTr="00C64DA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974F34A" w14:textId="77777777" w:rsidR="00C64DA9" w:rsidRPr="00E17BE4" w:rsidRDefault="00C64DA9" w:rsidP="001A1510">
            <w:pPr>
              <w:widowControl w:val="0"/>
              <w:autoSpaceDE w:val="0"/>
              <w:autoSpaceDN w:val="0"/>
              <w:adjustRightInd w:val="0"/>
              <w:rPr>
                <w:rFonts w:ascii="Times New Roman" w:hAnsi="Times New Roman" w:cs="Times New Roman"/>
              </w:rPr>
            </w:pPr>
            <w:r w:rsidRPr="00E17BE4">
              <w:rPr>
                <w:rFonts w:ascii="Times New Roman" w:hAnsi="Times New Roman" w:cs="Times New Roman"/>
              </w:rPr>
              <w:t xml:space="preserve">Louisiana </w:t>
            </w:r>
          </w:p>
        </w:tc>
        <w:tc>
          <w:tcPr>
            <w:tcW w:w="0" w:type="auto"/>
          </w:tcPr>
          <w:p w14:paraId="26A64AE8" w14:textId="77777777" w:rsidR="00C64DA9" w:rsidRPr="00E17BE4" w:rsidRDefault="00C64DA9" w:rsidP="00C64DA9">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36.0</w:t>
            </w:r>
          </w:p>
        </w:tc>
        <w:tc>
          <w:tcPr>
            <w:tcW w:w="0" w:type="auto"/>
          </w:tcPr>
          <w:p w14:paraId="549464C5" w14:textId="77777777" w:rsidR="00C64DA9" w:rsidRPr="00E17BE4" w:rsidRDefault="00C64DA9" w:rsidP="00C64DA9">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25.9</w:t>
            </w:r>
          </w:p>
        </w:tc>
        <w:tc>
          <w:tcPr>
            <w:tcW w:w="0" w:type="auto"/>
          </w:tcPr>
          <w:p w14:paraId="5BEAC623" w14:textId="77777777" w:rsidR="00C64DA9" w:rsidRPr="00E17BE4" w:rsidRDefault="00C64DA9" w:rsidP="00C64DA9">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29.9</w:t>
            </w:r>
          </w:p>
        </w:tc>
      </w:tr>
      <w:tr w:rsidR="00C64DA9" w:rsidRPr="00C64DA9" w14:paraId="1ED193F7" w14:textId="77777777" w:rsidTr="00C64D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AEA9A32" w14:textId="77777777" w:rsidR="00C64DA9" w:rsidRPr="00E17BE4" w:rsidRDefault="00C64DA9" w:rsidP="001A1510">
            <w:pPr>
              <w:widowControl w:val="0"/>
              <w:autoSpaceDE w:val="0"/>
              <w:autoSpaceDN w:val="0"/>
              <w:adjustRightInd w:val="0"/>
              <w:rPr>
                <w:rFonts w:ascii="Times New Roman" w:hAnsi="Times New Roman" w:cs="Times New Roman"/>
              </w:rPr>
            </w:pPr>
            <w:r w:rsidRPr="00E17BE4">
              <w:rPr>
                <w:rFonts w:ascii="Times New Roman" w:hAnsi="Times New Roman" w:cs="Times New Roman"/>
              </w:rPr>
              <w:t>Maine</w:t>
            </w:r>
          </w:p>
        </w:tc>
        <w:tc>
          <w:tcPr>
            <w:tcW w:w="0" w:type="auto"/>
          </w:tcPr>
          <w:p w14:paraId="752A4F52" w14:textId="77777777" w:rsidR="00C64DA9" w:rsidRPr="00E17BE4" w:rsidRDefault="00C64DA9" w:rsidP="00C64DA9">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12.7</w:t>
            </w:r>
          </w:p>
        </w:tc>
        <w:tc>
          <w:tcPr>
            <w:tcW w:w="0" w:type="auto"/>
          </w:tcPr>
          <w:p w14:paraId="7331F0DA" w14:textId="77777777" w:rsidR="00C64DA9" w:rsidRPr="00E17BE4" w:rsidRDefault="00C64DA9" w:rsidP="00C64DA9">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10.2</w:t>
            </w:r>
          </w:p>
        </w:tc>
        <w:tc>
          <w:tcPr>
            <w:tcW w:w="0" w:type="auto"/>
          </w:tcPr>
          <w:p w14:paraId="5DF1C2F8" w14:textId="77777777" w:rsidR="00C64DA9" w:rsidRPr="00E17BE4" w:rsidRDefault="00C64DA9" w:rsidP="00C64DA9">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4.7</w:t>
            </w:r>
          </w:p>
        </w:tc>
      </w:tr>
      <w:tr w:rsidR="00C64DA9" w:rsidRPr="00C64DA9" w14:paraId="2AB1A581" w14:textId="77777777" w:rsidTr="00C64DA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9262579" w14:textId="77777777" w:rsidR="00C64DA9" w:rsidRPr="00E17BE4" w:rsidRDefault="00C64DA9" w:rsidP="001A1510">
            <w:pPr>
              <w:widowControl w:val="0"/>
              <w:autoSpaceDE w:val="0"/>
              <w:autoSpaceDN w:val="0"/>
              <w:adjustRightInd w:val="0"/>
              <w:rPr>
                <w:rFonts w:ascii="Times New Roman" w:hAnsi="Times New Roman" w:cs="Times New Roman"/>
              </w:rPr>
            </w:pPr>
            <w:r w:rsidRPr="00E17BE4">
              <w:rPr>
                <w:rFonts w:ascii="Times New Roman" w:hAnsi="Times New Roman" w:cs="Times New Roman"/>
              </w:rPr>
              <w:t>Maryland</w:t>
            </w:r>
          </w:p>
        </w:tc>
        <w:tc>
          <w:tcPr>
            <w:tcW w:w="0" w:type="auto"/>
          </w:tcPr>
          <w:p w14:paraId="77787C61" w14:textId="77777777" w:rsidR="00C64DA9" w:rsidRPr="00E17BE4" w:rsidRDefault="00C64DA9" w:rsidP="00C64DA9">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0.8</w:t>
            </w:r>
          </w:p>
        </w:tc>
        <w:tc>
          <w:tcPr>
            <w:tcW w:w="0" w:type="auto"/>
          </w:tcPr>
          <w:p w14:paraId="644884E1" w14:textId="77777777" w:rsidR="00C64DA9" w:rsidRPr="00E17BE4" w:rsidRDefault="00C64DA9" w:rsidP="00C64DA9">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0.8</w:t>
            </w:r>
          </w:p>
        </w:tc>
        <w:tc>
          <w:tcPr>
            <w:tcW w:w="0" w:type="auto"/>
          </w:tcPr>
          <w:p w14:paraId="4D1E9E74" w14:textId="77777777" w:rsidR="00C64DA9" w:rsidRPr="00E17BE4" w:rsidRDefault="00C64DA9" w:rsidP="00C64DA9">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3.2</w:t>
            </w:r>
          </w:p>
        </w:tc>
      </w:tr>
      <w:tr w:rsidR="00C64DA9" w:rsidRPr="00C64DA9" w14:paraId="7523949D" w14:textId="77777777" w:rsidTr="00C64D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C2705C6" w14:textId="77777777" w:rsidR="00C64DA9" w:rsidRPr="00E17BE4" w:rsidRDefault="00C64DA9" w:rsidP="001A1510">
            <w:pPr>
              <w:widowControl w:val="0"/>
              <w:autoSpaceDE w:val="0"/>
              <w:autoSpaceDN w:val="0"/>
              <w:adjustRightInd w:val="0"/>
              <w:rPr>
                <w:rFonts w:ascii="Times New Roman" w:hAnsi="Times New Roman" w:cs="Times New Roman"/>
              </w:rPr>
            </w:pPr>
            <w:r w:rsidRPr="00E17BE4">
              <w:rPr>
                <w:rFonts w:ascii="Times New Roman" w:hAnsi="Times New Roman" w:cs="Times New Roman"/>
              </w:rPr>
              <w:t xml:space="preserve">Massachusetts </w:t>
            </w:r>
          </w:p>
        </w:tc>
        <w:tc>
          <w:tcPr>
            <w:tcW w:w="0" w:type="auto"/>
          </w:tcPr>
          <w:p w14:paraId="00157AD0" w14:textId="77777777" w:rsidR="00C64DA9" w:rsidRPr="00E17BE4" w:rsidRDefault="00C64DA9" w:rsidP="00C64DA9">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3.0</w:t>
            </w:r>
          </w:p>
        </w:tc>
        <w:tc>
          <w:tcPr>
            <w:tcW w:w="0" w:type="auto"/>
          </w:tcPr>
          <w:p w14:paraId="53153708" w14:textId="77777777" w:rsidR="00C64DA9" w:rsidRPr="00E17BE4" w:rsidRDefault="00C64DA9" w:rsidP="00C64DA9">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2.3</w:t>
            </w:r>
          </w:p>
        </w:tc>
        <w:tc>
          <w:tcPr>
            <w:tcW w:w="0" w:type="auto"/>
          </w:tcPr>
          <w:p w14:paraId="6FED13F5" w14:textId="77777777" w:rsidR="00C64DA9" w:rsidRPr="00E17BE4" w:rsidRDefault="00C64DA9" w:rsidP="00C64DA9">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3.0</w:t>
            </w:r>
          </w:p>
        </w:tc>
      </w:tr>
      <w:tr w:rsidR="00C64DA9" w:rsidRPr="00C64DA9" w14:paraId="399C7583" w14:textId="77777777" w:rsidTr="00C64DA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109398D" w14:textId="77777777" w:rsidR="00C64DA9" w:rsidRPr="00E17BE4" w:rsidRDefault="00C64DA9" w:rsidP="001A1510">
            <w:pPr>
              <w:widowControl w:val="0"/>
              <w:autoSpaceDE w:val="0"/>
              <w:autoSpaceDN w:val="0"/>
              <w:adjustRightInd w:val="0"/>
              <w:rPr>
                <w:rFonts w:ascii="Times New Roman" w:hAnsi="Times New Roman" w:cs="Times New Roman"/>
              </w:rPr>
            </w:pPr>
            <w:r w:rsidRPr="00E17BE4">
              <w:rPr>
                <w:rFonts w:ascii="Times New Roman" w:hAnsi="Times New Roman" w:cs="Times New Roman"/>
              </w:rPr>
              <w:t>Michigan</w:t>
            </w:r>
          </w:p>
        </w:tc>
        <w:tc>
          <w:tcPr>
            <w:tcW w:w="0" w:type="auto"/>
          </w:tcPr>
          <w:p w14:paraId="09F1D36E" w14:textId="77777777" w:rsidR="00C64DA9" w:rsidRPr="00E17BE4" w:rsidRDefault="00C64DA9" w:rsidP="00C64DA9">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12.7</w:t>
            </w:r>
          </w:p>
        </w:tc>
        <w:tc>
          <w:tcPr>
            <w:tcW w:w="0" w:type="auto"/>
          </w:tcPr>
          <w:p w14:paraId="1D48EA85" w14:textId="77777777" w:rsidR="00C64DA9" w:rsidRPr="00E17BE4" w:rsidRDefault="00C64DA9" w:rsidP="00C64DA9">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12.3</w:t>
            </w:r>
          </w:p>
        </w:tc>
        <w:tc>
          <w:tcPr>
            <w:tcW w:w="0" w:type="auto"/>
          </w:tcPr>
          <w:p w14:paraId="1159B5B4" w14:textId="77777777" w:rsidR="00C64DA9" w:rsidRPr="00E17BE4" w:rsidRDefault="00C64DA9" w:rsidP="00C64DA9">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9.2</w:t>
            </w:r>
          </w:p>
        </w:tc>
      </w:tr>
      <w:tr w:rsidR="00C64DA9" w:rsidRPr="00C64DA9" w14:paraId="777F5C0F" w14:textId="77777777" w:rsidTr="00C64D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254E221" w14:textId="77777777" w:rsidR="00C64DA9" w:rsidRPr="00E17BE4" w:rsidRDefault="00C64DA9" w:rsidP="001A1510">
            <w:pPr>
              <w:widowControl w:val="0"/>
              <w:autoSpaceDE w:val="0"/>
              <w:autoSpaceDN w:val="0"/>
              <w:adjustRightInd w:val="0"/>
              <w:rPr>
                <w:rFonts w:ascii="Times New Roman" w:hAnsi="Times New Roman" w:cs="Times New Roman"/>
              </w:rPr>
            </w:pPr>
            <w:r w:rsidRPr="00E17BE4">
              <w:rPr>
                <w:rFonts w:ascii="Times New Roman" w:hAnsi="Times New Roman" w:cs="Times New Roman"/>
              </w:rPr>
              <w:t>Mississippi</w:t>
            </w:r>
          </w:p>
        </w:tc>
        <w:tc>
          <w:tcPr>
            <w:tcW w:w="0" w:type="auto"/>
          </w:tcPr>
          <w:p w14:paraId="4D73E707" w14:textId="77777777" w:rsidR="00C64DA9" w:rsidRPr="00E17BE4" w:rsidRDefault="00C64DA9" w:rsidP="00C64DA9">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26.9</w:t>
            </w:r>
          </w:p>
        </w:tc>
        <w:tc>
          <w:tcPr>
            <w:tcW w:w="0" w:type="auto"/>
          </w:tcPr>
          <w:p w14:paraId="7272C59E" w14:textId="77777777" w:rsidR="00C64DA9" w:rsidRPr="00E17BE4" w:rsidRDefault="00C64DA9" w:rsidP="00C64DA9">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30.6</w:t>
            </w:r>
          </w:p>
        </w:tc>
        <w:tc>
          <w:tcPr>
            <w:tcW w:w="0" w:type="auto"/>
          </w:tcPr>
          <w:p w14:paraId="38142294" w14:textId="77777777" w:rsidR="00C64DA9" w:rsidRPr="00E17BE4" w:rsidRDefault="00C64DA9" w:rsidP="00C64DA9">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28.4</w:t>
            </w:r>
          </w:p>
        </w:tc>
      </w:tr>
      <w:tr w:rsidR="00C64DA9" w:rsidRPr="00C64DA9" w14:paraId="3D083877" w14:textId="77777777" w:rsidTr="00C64DA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BFB928C" w14:textId="77777777" w:rsidR="00C64DA9" w:rsidRPr="00E17BE4" w:rsidRDefault="00C64DA9" w:rsidP="001A1510">
            <w:pPr>
              <w:widowControl w:val="0"/>
              <w:autoSpaceDE w:val="0"/>
              <w:autoSpaceDN w:val="0"/>
              <w:adjustRightInd w:val="0"/>
              <w:rPr>
                <w:rFonts w:ascii="Times New Roman" w:hAnsi="Times New Roman" w:cs="Times New Roman"/>
              </w:rPr>
            </w:pPr>
            <w:r w:rsidRPr="00E17BE4">
              <w:rPr>
                <w:rFonts w:ascii="Times New Roman" w:hAnsi="Times New Roman" w:cs="Times New Roman"/>
              </w:rPr>
              <w:t>Missouri</w:t>
            </w:r>
          </w:p>
        </w:tc>
        <w:tc>
          <w:tcPr>
            <w:tcW w:w="0" w:type="auto"/>
          </w:tcPr>
          <w:p w14:paraId="2D3202AA" w14:textId="77777777" w:rsidR="00C64DA9" w:rsidRPr="00E17BE4" w:rsidRDefault="00C64DA9" w:rsidP="00C64DA9">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19.3</w:t>
            </w:r>
          </w:p>
        </w:tc>
        <w:tc>
          <w:tcPr>
            <w:tcW w:w="0" w:type="auto"/>
          </w:tcPr>
          <w:p w14:paraId="729D0CB2" w14:textId="77777777" w:rsidR="00C64DA9" w:rsidRPr="00E17BE4" w:rsidRDefault="00C64DA9" w:rsidP="00C64DA9">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21.1</w:t>
            </w:r>
          </w:p>
        </w:tc>
        <w:tc>
          <w:tcPr>
            <w:tcW w:w="0" w:type="auto"/>
          </w:tcPr>
          <w:p w14:paraId="0DFCF9CF" w14:textId="77777777" w:rsidR="00C64DA9" w:rsidRPr="00E17BE4" w:rsidRDefault="00C64DA9" w:rsidP="00C64DA9">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18.6</w:t>
            </w:r>
          </w:p>
        </w:tc>
      </w:tr>
      <w:tr w:rsidR="00C64DA9" w:rsidRPr="00C64DA9" w14:paraId="7FDB5694" w14:textId="77777777" w:rsidTr="00C64D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F6B04E5" w14:textId="77777777" w:rsidR="00C64DA9" w:rsidRPr="00E17BE4" w:rsidRDefault="00C64DA9" w:rsidP="001A1510">
            <w:pPr>
              <w:widowControl w:val="0"/>
              <w:autoSpaceDE w:val="0"/>
              <w:autoSpaceDN w:val="0"/>
              <w:adjustRightInd w:val="0"/>
              <w:rPr>
                <w:rFonts w:ascii="Times New Roman" w:hAnsi="Times New Roman" w:cs="Times New Roman"/>
              </w:rPr>
            </w:pPr>
            <w:r w:rsidRPr="00E17BE4">
              <w:rPr>
                <w:rFonts w:ascii="Times New Roman" w:hAnsi="Times New Roman" w:cs="Times New Roman"/>
              </w:rPr>
              <w:t>Nebraska</w:t>
            </w:r>
          </w:p>
        </w:tc>
        <w:tc>
          <w:tcPr>
            <w:tcW w:w="0" w:type="auto"/>
          </w:tcPr>
          <w:p w14:paraId="47A7B2F6" w14:textId="77777777" w:rsidR="00C64DA9" w:rsidRPr="00E17BE4" w:rsidRDefault="00C64DA9" w:rsidP="00C64DA9">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14.1</w:t>
            </w:r>
          </w:p>
        </w:tc>
        <w:tc>
          <w:tcPr>
            <w:tcW w:w="0" w:type="auto"/>
          </w:tcPr>
          <w:p w14:paraId="07896542" w14:textId="77777777" w:rsidR="00C64DA9" w:rsidRPr="00E17BE4" w:rsidRDefault="00C64DA9" w:rsidP="00C64DA9">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13.4</w:t>
            </w:r>
          </w:p>
        </w:tc>
        <w:tc>
          <w:tcPr>
            <w:tcW w:w="0" w:type="auto"/>
          </w:tcPr>
          <w:p w14:paraId="3CFE38F1" w14:textId="77777777" w:rsidR="00C64DA9" w:rsidRPr="00E17BE4" w:rsidRDefault="00C64DA9" w:rsidP="00C64DA9">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5.2</w:t>
            </w:r>
          </w:p>
        </w:tc>
      </w:tr>
      <w:tr w:rsidR="00C64DA9" w:rsidRPr="00C64DA9" w14:paraId="509B9C02" w14:textId="77777777" w:rsidTr="00C64DA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C957496" w14:textId="77777777" w:rsidR="00C64DA9" w:rsidRPr="00E17BE4" w:rsidRDefault="00C64DA9" w:rsidP="001A1510">
            <w:pPr>
              <w:widowControl w:val="0"/>
              <w:autoSpaceDE w:val="0"/>
              <w:autoSpaceDN w:val="0"/>
              <w:adjustRightInd w:val="0"/>
              <w:rPr>
                <w:rFonts w:ascii="Times New Roman" w:hAnsi="Times New Roman" w:cs="Times New Roman"/>
              </w:rPr>
            </w:pPr>
            <w:r w:rsidRPr="00E17BE4">
              <w:rPr>
                <w:rFonts w:ascii="Times New Roman" w:hAnsi="Times New Roman" w:cs="Times New Roman"/>
              </w:rPr>
              <w:t xml:space="preserve">Oklahoma </w:t>
            </w:r>
          </w:p>
        </w:tc>
        <w:tc>
          <w:tcPr>
            <w:tcW w:w="0" w:type="auto"/>
          </w:tcPr>
          <w:p w14:paraId="2CA66C0B" w14:textId="77777777" w:rsidR="00C64DA9" w:rsidRPr="00E17BE4" w:rsidRDefault="00C64DA9" w:rsidP="00C64DA9">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17.4</w:t>
            </w:r>
          </w:p>
        </w:tc>
        <w:tc>
          <w:tcPr>
            <w:tcW w:w="0" w:type="auto"/>
          </w:tcPr>
          <w:p w14:paraId="078BBBC4" w14:textId="77777777" w:rsidR="00C64DA9" w:rsidRPr="00E17BE4" w:rsidRDefault="00C64DA9" w:rsidP="00C64DA9">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16.7</w:t>
            </w:r>
          </w:p>
        </w:tc>
        <w:tc>
          <w:tcPr>
            <w:tcW w:w="0" w:type="auto"/>
          </w:tcPr>
          <w:p w14:paraId="16AEF28C" w14:textId="77777777" w:rsidR="00C64DA9" w:rsidRPr="00E17BE4" w:rsidRDefault="00C64DA9" w:rsidP="00C64DA9">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19.5</w:t>
            </w:r>
          </w:p>
        </w:tc>
      </w:tr>
      <w:tr w:rsidR="00C64DA9" w:rsidRPr="00C64DA9" w14:paraId="59DDA6B0" w14:textId="77777777" w:rsidTr="00C64D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CBCC693" w14:textId="77777777" w:rsidR="00C64DA9" w:rsidRPr="00E17BE4" w:rsidRDefault="00C64DA9" w:rsidP="001A1510">
            <w:pPr>
              <w:widowControl w:val="0"/>
              <w:autoSpaceDE w:val="0"/>
              <w:autoSpaceDN w:val="0"/>
              <w:adjustRightInd w:val="0"/>
              <w:rPr>
                <w:rFonts w:ascii="Times New Roman" w:hAnsi="Times New Roman" w:cs="Times New Roman"/>
              </w:rPr>
            </w:pPr>
            <w:r w:rsidRPr="00E17BE4">
              <w:rPr>
                <w:rFonts w:ascii="Times New Roman" w:hAnsi="Times New Roman" w:cs="Times New Roman"/>
              </w:rPr>
              <w:t>Oregon</w:t>
            </w:r>
          </w:p>
        </w:tc>
        <w:tc>
          <w:tcPr>
            <w:tcW w:w="0" w:type="auto"/>
          </w:tcPr>
          <w:p w14:paraId="711AEB09" w14:textId="77777777" w:rsidR="00C64DA9" w:rsidRPr="00E17BE4" w:rsidRDefault="00C64DA9" w:rsidP="00C64DA9">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5.9</w:t>
            </w:r>
          </w:p>
        </w:tc>
        <w:tc>
          <w:tcPr>
            <w:tcW w:w="0" w:type="auto"/>
          </w:tcPr>
          <w:p w14:paraId="30B7BF5E" w14:textId="77777777" w:rsidR="00C64DA9" w:rsidRPr="00E17BE4" w:rsidRDefault="00C64DA9" w:rsidP="00C64DA9">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4.6</w:t>
            </w:r>
          </w:p>
        </w:tc>
        <w:tc>
          <w:tcPr>
            <w:tcW w:w="0" w:type="auto"/>
          </w:tcPr>
          <w:p w14:paraId="14353FCF" w14:textId="77777777" w:rsidR="00C64DA9" w:rsidRPr="00E17BE4" w:rsidRDefault="00C64DA9" w:rsidP="00C64DA9">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4.5</w:t>
            </w:r>
          </w:p>
        </w:tc>
      </w:tr>
      <w:tr w:rsidR="00C64DA9" w:rsidRPr="00C64DA9" w14:paraId="1D268B6A" w14:textId="77777777" w:rsidTr="00C64DA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7509A83" w14:textId="77777777" w:rsidR="00C64DA9" w:rsidRPr="00E17BE4" w:rsidRDefault="00C64DA9" w:rsidP="001A1510">
            <w:pPr>
              <w:widowControl w:val="0"/>
              <w:autoSpaceDE w:val="0"/>
              <w:autoSpaceDN w:val="0"/>
              <w:adjustRightInd w:val="0"/>
              <w:rPr>
                <w:rFonts w:ascii="Times New Roman" w:hAnsi="Times New Roman" w:cs="Times New Roman"/>
              </w:rPr>
            </w:pPr>
            <w:r w:rsidRPr="00E17BE4">
              <w:rPr>
                <w:rFonts w:ascii="Times New Roman" w:hAnsi="Times New Roman" w:cs="Times New Roman"/>
              </w:rPr>
              <w:t>Rhode Island</w:t>
            </w:r>
          </w:p>
        </w:tc>
        <w:tc>
          <w:tcPr>
            <w:tcW w:w="0" w:type="auto"/>
          </w:tcPr>
          <w:p w14:paraId="5A444EA2" w14:textId="77777777" w:rsidR="00C64DA9" w:rsidRPr="00E17BE4" w:rsidRDefault="00C64DA9" w:rsidP="00C64DA9">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16.8</w:t>
            </w:r>
          </w:p>
        </w:tc>
        <w:tc>
          <w:tcPr>
            <w:tcW w:w="0" w:type="auto"/>
          </w:tcPr>
          <w:p w14:paraId="09897BCA" w14:textId="77777777" w:rsidR="00C64DA9" w:rsidRPr="00E17BE4" w:rsidRDefault="00C64DA9" w:rsidP="00C64DA9">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15.4</w:t>
            </w:r>
          </w:p>
        </w:tc>
        <w:tc>
          <w:tcPr>
            <w:tcW w:w="0" w:type="auto"/>
          </w:tcPr>
          <w:p w14:paraId="7A5EAD2D" w14:textId="77777777" w:rsidR="00C64DA9" w:rsidRPr="00E17BE4" w:rsidRDefault="00C64DA9" w:rsidP="00C64DA9">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3.4</w:t>
            </w:r>
          </w:p>
        </w:tc>
      </w:tr>
      <w:tr w:rsidR="00C64DA9" w:rsidRPr="00C64DA9" w14:paraId="36224F37" w14:textId="77777777" w:rsidTr="00C64D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ABF22EB" w14:textId="77777777" w:rsidR="00C64DA9" w:rsidRPr="00E17BE4" w:rsidRDefault="00C64DA9" w:rsidP="001A1510">
            <w:pPr>
              <w:widowControl w:val="0"/>
              <w:autoSpaceDE w:val="0"/>
              <w:autoSpaceDN w:val="0"/>
              <w:adjustRightInd w:val="0"/>
              <w:rPr>
                <w:rFonts w:ascii="Times New Roman" w:hAnsi="Times New Roman" w:cs="Times New Roman"/>
              </w:rPr>
            </w:pPr>
            <w:r w:rsidRPr="00E17BE4">
              <w:rPr>
                <w:rFonts w:ascii="Times New Roman" w:hAnsi="Times New Roman" w:cs="Times New Roman"/>
              </w:rPr>
              <w:t>Tennessee</w:t>
            </w:r>
          </w:p>
        </w:tc>
        <w:tc>
          <w:tcPr>
            <w:tcW w:w="0" w:type="auto"/>
          </w:tcPr>
          <w:p w14:paraId="41AB812A" w14:textId="77777777" w:rsidR="00C64DA9" w:rsidRPr="00E17BE4" w:rsidRDefault="00C64DA9" w:rsidP="00C64DA9">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9.8</w:t>
            </w:r>
          </w:p>
        </w:tc>
        <w:tc>
          <w:tcPr>
            <w:tcW w:w="0" w:type="auto"/>
          </w:tcPr>
          <w:p w14:paraId="6B870265" w14:textId="77777777" w:rsidR="00C64DA9" w:rsidRPr="00E17BE4" w:rsidRDefault="00C64DA9" w:rsidP="00C64DA9">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9.1</w:t>
            </w:r>
          </w:p>
        </w:tc>
        <w:tc>
          <w:tcPr>
            <w:tcW w:w="0" w:type="auto"/>
          </w:tcPr>
          <w:p w14:paraId="3573CA3D" w14:textId="77777777" w:rsidR="00C64DA9" w:rsidRPr="00E17BE4" w:rsidRDefault="00C64DA9" w:rsidP="00C64DA9">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6.7</w:t>
            </w:r>
          </w:p>
        </w:tc>
      </w:tr>
      <w:tr w:rsidR="00C64DA9" w:rsidRPr="00C64DA9" w14:paraId="20344A0A" w14:textId="77777777" w:rsidTr="00C64DA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D45CEA4" w14:textId="77777777" w:rsidR="00C64DA9" w:rsidRPr="00E17BE4" w:rsidRDefault="00C64DA9" w:rsidP="001A1510">
            <w:pPr>
              <w:widowControl w:val="0"/>
              <w:autoSpaceDE w:val="0"/>
              <w:autoSpaceDN w:val="0"/>
              <w:adjustRightInd w:val="0"/>
              <w:rPr>
                <w:rFonts w:ascii="Times New Roman" w:hAnsi="Times New Roman" w:cs="Times New Roman"/>
              </w:rPr>
            </w:pPr>
            <w:r w:rsidRPr="00E17BE4">
              <w:rPr>
                <w:rFonts w:ascii="Times New Roman" w:hAnsi="Times New Roman" w:cs="Times New Roman"/>
              </w:rPr>
              <w:t>Texas</w:t>
            </w:r>
          </w:p>
        </w:tc>
        <w:tc>
          <w:tcPr>
            <w:tcW w:w="0" w:type="auto"/>
          </w:tcPr>
          <w:p w14:paraId="5A15455D" w14:textId="77777777" w:rsidR="00C64DA9" w:rsidRPr="00E17BE4" w:rsidRDefault="00C64DA9" w:rsidP="00C64DA9">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17.1</w:t>
            </w:r>
          </w:p>
        </w:tc>
        <w:tc>
          <w:tcPr>
            <w:tcW w:w="0" w:type="auto"/>
          </w:tcPr>
          <w:p w14:paraId="7D12EE2D" w14:textId="77777777" w:rsidR="00C64DA9" w:rsidRPr="00E17BE4" w:rsidRDefault="00C64DA9" w:rsidP="00C64DA9">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19.3</w:t>
            </w:r>
          </w:p>
        </w:tc>
        <w:tc>
          <w:tcPr>
            <w:tcW w:w="0" w:type="auto"/>
          </w:tcPr>
          <w:p w14:paraId="5A483C0B" w14:textId="77777777" w:rsidR="00C64DA9" w:rsidRPr="00E17BE4" w:rsidRDefault="00C64DA9" w:rsidP="00C64DA9">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12.7</w:t>
            </w:r>
          </w:p>
        </w:tc>
      </w:tr>
      <w:tr w:rsidR="00C64DA9" w:rsidRPr="00C64DA9" w14:paraId="2D550C5E" w14:textId="77777777" w:rsidTr="00C64D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1092585" w14:textId="77777777" w:rsidR="00C64DA9" w:rsidRPr="00E17BE4" w:rsidRDefault="00C64DA9" w:rsidP="001A1510">
            <w:pPr>
              <w:widowControl w:val="0"/>
              <w:autoSpaceDE w:val="0"/>
              <w:autoSpaceDN w:val="0"/>
              <w:adjustRightInd w:val="0"/>
              <w:rPr>
                <w:rFonts w:ascii="Times New Roman" w:hAnsi="Times New Roman" w:cs="Times New Roman"/>
              </w:rPr>
            </w:pPr>
            <w:r w:rsidRPr="00E17BE4">
              <w:rPr>
                <w:rFonts w:ascii="Times New Roman" w:hAnsi="Times New Roman" w:cs="Times New Roman"/>
              </w:rPr>
              <w:t>Utah</w:t>
            </w:r>
          </w:p>
        </w:tc>
        <w:tc>
          <w:tcPr>
            <w:tcW w:w="0" w:type="auto"/>
          </w:tcPr>
          <w:p w14:paraId="26F12886" w14:textId="77777777" w:rsidR="00C64DA9" w:rsidRPr="00E17BE4" w:rsidRDefault="00C64DA9" w:rsidP="00C64DA9">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14.8</w:t>
            </w:r>
          </w:p>
        </w:tc>
        <w:tc>
          <w:tcPr>
            <w:tcW w:w="0" w:type="auto"/>
          </w:tcPr>
          <w:p w14:paraId="0CAC61EB" w14:textId="77777777" w:rsidR="00C64DA9" w:rsidRPr="00E17BE4" w:rsidRDefault="00C64DA9" w:rsidP="00C64DA9">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14.4</w:t>
            </w:r>
          </w:p>
        </w:tc>
        <w:tc>
          <w:tcPr>
            <w:tcW w:w="0" w:type="auto"/>
          </w:tcPr>
          <w:p w14:paraId="4C35218D" w14:textId="77777777" w:rsidR="00C64DA9" w:rsidRPr="00E17BE4" w:rsidRDefault="00C64DA9" w:rsidP="00C64DA9">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5.6</w:t>
            </w:r>
          </w:p>
        </w:tc>
      </w:tr>
      <w:tr w:rsidR="00C64DA9" w:rsidRPr="00C64DA9" w14:paraId="0A522F77" w14:textId="77777777" w:rsidTr="00C64DA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2C84C70" w14:textId="77777777" w:rsidR="00C64DA9" w:rsidRPr="00E17BE4" w:rsidRDefault="00C64DA9" w:rsidP="001A1510">
            <w:pPr>
              <w:widowControl w:val="0"/>
              <w:autoSpaceDE w:val="0"/>
              <w:autoSpaceDN w:val="0"/>
              <w:adjustRightInd w:val="0"/>
              <w:rPr>
                <w:rFonts w:ascii="Times New Roman" w:hAnsi="Times New Roman" w:cs="Times New Roman"/>
              </w:rPr>
            </w:pPr>
            <w:r w:rsidRPr="00E17BE4">
              <w:rPr>
                <w:rFonts w:ascii="Times New Roman" w:hAnsi="Times New Roman" w:cs="Times New Roman"/>
              </w:rPr>
              <w:t>Washington</w:t>
            </w:r>
          </w:p>
        </w:tc>
        <w:tc>
          <w:tcPr>
            <w:tcW w:w="0" w:type="auto"/>
          </w:tcPr>
          <w:p w14:paraId="492939CE" w14:textId="77777777" w:rsidR="00C64DA9" w:rsidRPr="00E17BE4" w:rsidRDefault="00C64DA9" w:rsidP="00C64DA9">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6.3</w:t>
            </w:r>
          </w:p>
        </w:tc>
        <w:tc>
          <w:tcPr>
            <w:tcW w:w="0" w:type="auto"/>
          </w:tcPr>
          <w:p w14:paraId="4D9B7ADD" w14:textId="77777777" w:rsidR="00C64DA9" w:rsidRPr="00E17BE4" w:rsidRDefault="00C64DA9" w:rsidP="00C64DA9">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5.8</w:t>
            </w:r>
          </w:p>
        </w:tc>
        <w:tc>
          <w:tcPr>
            <w:tcW w:w="0" w:type="auto"/>
          </w:tcPr>
          <w:p w14:paraId="60C540C2" w14:textId="77777777" w:rsidR="00C64DA9" w:rsidRPr="00E17BE4" w:rsidRDefault="00C64DA9" w:rsidP="00C64DA9">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5.6</w:t>
            </w:r>
          </w:p>
        </w:tc>
      </w:tr>
      <w:tr w:rsidR="00C64DA9" w:rsidRPr="00C64DA9" w14:paraId="54CF7210" w14:textId="77777777" w:rsidTr="00C64D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DF3ABAB" w14:textId="77777777" w:rsidR="00C64DA9" w:rsidRPr="00E17BE4" w:rsidRDefault="00C64DA9" w:rsidP="001A1510">
            <w:pPr>
              <w:widowControl w:val="0"/>
              <w:autoSpaceDE w:val="0"/>
              <w:autoSpaceDN w:val="0"/>
              <w:adjustRightInd w:val="0"/>
              <w:rPr>
                <w:rFonts w:ascii="Times New Roman" w:hAnsi="Times New Roman" w:cs="Times New Roman"/>
              </w:rPr>
            </w:pPr>
            <w:r w:rsidRPr="00E17BE4">
              <w:rPr>
                <w:rFonts w:ascii="Times New Roman" w:hAnsi="Times New Roman" w:cs="Times New Roman"/>
              </w:rPr>
              <w:t>Wisconsin</w:t>
            </w:r>
          </w:p>
        </w:tc>
        <w:tc>
          <w:tcPr>
            <w:tcW w:w="0" w:type="auto"/>
          </w:tcPr>
          <w:p w14:paraId="580D84E1" w14:textId="77777777" w:rsidR="00C64DA9" w:rsidRPr="00E17BE4" w:rsidRDefault="00C64DA9" w:rsidP="00C64DA9">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4.7</w:t>
            </w:r>
          </w:p>
        </w:tc>
        <w:tc>
          <w:tcPr>
            <w:tcW w:w="0" w:type="auto"/>
          </w:tcPr>
          <w:p w14:paraId="19AF89B3" w14:textId="77777777" w:rsidR="00C64DA9" w:rsidRPr="00E17BE4" w:rsidRDefault="00C64DA9" w:rsidP="00C64DA9">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5.2</w:t>
            </w:r>
          </w:p>
        </w:tc>
        <w:tc>
          <w:tcPr>
            <w:tcW w:w="0" w:type="auto"/>
          </w:tcPr>
          <w:p w14:paraId="7E426952" w14:textId="77777777" w:rsidR="00C64DA9" w:rsidRPr="00E17BE4" w:rsidRDefault="00C64DA9" w:rsidP="00C64DA9">
            <w:pPr>
              <w:widowControl w:val="0"/>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2.4</w:t>
            </w:r>
          </w:p>
        </w:tc>
      </w:tr>
      <w:tr w:rsidR="00C64DA9" w:rsidRPr="00C64DA9" w14:paraId="3DED00DB" w14:textId="77777777" w:rsidTr="00C64DA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557B2A5" w14:textId="77777777" w:rsidR="00C64DA9" w:rsidRPr="00E17BE4" w:rsidRDefault="00C64DA9" w:rsidP="001A1510">
            <w:pPr>
              <w:widowControl w:val="0"/>
              <w:autoSpaceDE w:val="0"/>
              <w:autoSpaceDN w:val="0"/>
              <w:adjustRightInd w:val="0"/>
              <w:rPr>
                <w:rFonts w:ascii="Times New Roman" w:hAnsi="Times New Roman" w:cs="Times New Roman"/>
              </w:rPr>
            </w:pPr>
            <w:r w:rsidRPr="00E17BE4">
              <w:rPr>
                <w:rFonts w:ascii="Times New Roman" w:hAnsi="Times New Roman" w:cs="Times New Roman"/>
              </w:rPr>
              <w:t>Average</w:t>
            </w:r>
          </w:p>
        </w:tc>
        <w:tc>
          <w:tcPr>
            <w:tcW w:w="0" w:type="auto"/>
          </w:tcPr>
          <w:p w14:paraId="006D2DD3" w14:textId="77777777" w:rsidR="00C64DA9" w:rsidRPr="00E17BE4" w:rsidRDefault="00C64DA9" w:rsidP="00C64DA9">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14.8</w:t>
            </w:r>
          </w:p>
        </w:tc>
        <w:tc>
          <w:tcPr>
            <w:tcW w:w="0" w:type="auto"/>
          </w:tcPr>
          <w:p w14:paraId="7783AEDF" w14:textId="77777777" w:rsidR="00C64DA9" w:rsidRPr="00E17BE4" w:rsidRDefault="00C64DA9" w:rsidP="00C64DA9">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13.4</w:t>
            </w:r>
          </w:p>
        </w:tc>
        <w:tc>
          <w:tcPr>
            <w:tcW w:w="0" w:type="auto"/>
          </w:tcPr>
          <w:p w14:paraId="11D89C33" w14:textId="77777777" w:rsidR="00C64DA9" w:rsidRPr="00E17BE4" w:rsidRDefault="00C64DA9" w:rsidP="00C64DA9">
            <w:pPr>
              <w:widowControl w:val="0"/>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7BE4">
              <w:rPr>
                <w:rFonts w:ascii="Times New Roman" w:hAnsi="Times New Roman" w:cs="Times New Roman"/>
              </w:rPr>
              <w:t>9.9</w:t>
            </w:r>
          </w:p>
        </w:tc>
      </w:tr>
    </w:tbl>
    <w:p w14:paraId="4F0A2DBB" w14:textId="2D03A0FC" w:rsidR="00E75F88" w:rsidRPr="00C034CB" w:rsidRDefault="00D17FEA" w:rsidP="00C64DA9">
      <w:pPr>
        <w:widowControl w:val="0"/>
        <w:autoSpaceDE w:val="0"/>
        <w:autoSpaceDN w:val="0"/>
        <w:adjustRightInd w:val="0"/>
        <w:spacing w:after="0" w:line="240" w:lineRule="auto"/>
        <w:ind w:right="-360"/>
        <w:jc w:val="center"/>
        <w:rPr>
          <w:rFonts w:ascii="Times New Roman" w:hAnsi="Times New Roman" w:cs="Times New Roman"/>
        </w:rPr>
      </w:pPr>
      <w:r w:rsidRPr="00C034CB">
        <w:rPr>
          <w:rFonts w:ascii="Times New Roman" w:hAnsi="Times New Roman" w:cs="Times New Roman"/>
        </w:rPr>
        <w:t>Source:</w:t>
      </w:r>
      <w:r w:rsidR="00C034CB" w:rsidRPr="00C034CB">
        <w:rPr>
          <w:rFonts w:ascii="Times New Roman" w:hAnsi="Times New Roman" w:cs="Times New Roman"/>
        </w:rPr>
        <w:t xml:space="preserve"> US Census </w:t>
      </w:r>
      <w:r w:rsidR="00C034CB" w:rsidRPr="00C034CB">
        <w:rPr>
          <w:rFonts w:ascii="Times New Roman" w:hAnsi="Times New Roman" w:cs="Times New Roman"/>
        </w:rPr>
        <w:fldChar w:fldCharType="begin"/>
      </w:r>
      <w:r w:rsidR="00C034CB" w:rsidRPr="00C034CB">
        <w:rPr>
          <w:rFonts w:ascii="Times New Roman" w:hAnsi="Times New Roman" w:cs="Times New Roman"/>
        </w:rPr>
        <w:instrText xml:space="preserve"> ADDIN EN.CITE &lt;EndNote&gt;&lt;Cite ExcludeAuth="1"&gt;&lt;Author&gt;US Census Bureau&lt;/Author&gt;&lt;Year&gt;1992&lt;/Year&gt;&lt;RecNum&gt;1&lt;/RecNum&gt;&lt;Suffix&gt; and 1987&lt;/Suffix&gt;&lt;DisplayText&gt;(1992 and 1987)&lt;/DisplayText&gt;&lt;record&gt;&lt;rec-number&gt;1&lt;/rec-number&gt;&lt;foreign-keys&gt;&lt;key app="EN" db-id="efsrp25rfad5tverv0kv2ztwvdrzzzda2pwp" timestamp="1446231506"&gt;1&lt;/key&gt;&lt;/foreign-keys&gt;&lt;ref-type name="Book"&gt;6&lt;/ref-type&gt;&lt;contributors&gt;&lt;authors&gt;&lt;author&gt;US Census Bureau,&lt;/author&gt;&lt;/authors&gt;&lt;/contributors&gt;&lt;titles&gt;&lt;title&gt;Census of Governments&lt;/title&gt;&lt;/titles&gt;&lt;volume&gt;2&lt;/volume&gt;&lt;dates&gt;&lt;year&gt;1992&lt;/year&gt;&lt;/dates&gt;&lt;pub-location&gt;Washington, DC&lt;/pub-location&gt;&lt;publisher&gt;US Census Bureau&lt;/publisher&gt;&lt;urls&gt;&lt;/urls&gt;&lt;/record&gt;&lt;/Cite&gt;&lt;/EndNote&gt;</w:instrText>
      </w:r>
      <w:r w:rsidR="00C034CB" w:rsidRPr="00C034CB">
        <w:rPr>
          <w:rFonts w:ascii="Times New Roman" w:hAnsi="Times New Roman" w:cs="Times New Roman"/>
        </w:rPr>
        <w:fldChar w:fldCharType="separate"/>
      </w:r>
      <w:r w:rsidR="00C034CB" w:rsidRPr="00C034CB">
        <w:rPr>
          <w:rFonts w:ascii="Times New Roman" w:hAnsi="Times New Roman" w:cs="Times New Roman"/>
          <w:noProof/>
        </w:rPr>
        <w:t>(1992 and 1987)</w:t>
      </w:r>
      <w:r w:rsidR="00C034CB" w:rsidRPr="00C034CB">
        <w:rPr>
          <w:rFonts w:ascii="Times New Roman" w:hAnsi="Times New Roman" w:cs="Times New Roman"/>
        </w:rPr>
        <w:fldChar w:fldCharType="end"/>
      </w:r>
      <w:r w:rsidR="00C034CB" w:rsidRPr="00C034CB">
        <w:rPr>
          <w:rFonts w:ascii="Times New Roman" w:hAnsi="Times New Roman" w:cs="Times New Roman"/>
        </w:rPr>
        <w:t>; Lincoln Institute</w:t>
      </w:r>
      <w:r w:rsidRPr="00C034CB">
        <w:rPr>
          <w:rFonts w:ascii="Times New Roman" w:hAnsi="Times New Roman" w:cs="Times New Roman"/>
        </w:rPr>
        <w:t xml:space="preserve"> </w:t>
      </w:r>
      <w:r w:rsidR="00C034CB" w:rsidRPr="00C034CB">
        <w:rPr>
          <w:rFonts w:ascii="Times New Roman" w:hAnsi="Times New Roman" w:cs="Times New Roman"/>
        </w:rPr>
        <w:fldChar w:fldCharType="begin"/>
      </w:r>
      <w:r w:rsidR="00C034CB" w:rsidRPr="00C034CB">
        <w:rPr>
          <w:rFonts w:ascii="Times New Roman" w:hAnsi="Times New Roman" w:cs="Times New Roman"/>
        </w:rPr>
        <w:instrText xml:space="preserve"> ADDIN EN.CITE &lt;EndNote&gt;&lt;Cite ExcludeAuth="1"&gt;&lt;Author&gt;LILP/GWU&lt;/Author&gt;&lt;Year&gt;2015&lt;/Year&gt;&lt;RecNum&gt;6&lt;/RecNum&gt;&lt;DisplayText&gt;(2015)&lt;/DisplayText&gt;&lt;record&gt;&lt;rec-number&gt;6&lt;/rec-number&gt;&lt;foreign-keys&gt;&lt;key app="EN" db-id="efsrp25rfad5tverv0kv2ztwvdrzzzda2pwp" timestamp="1446237814"&gt;6&lt;/key&gt;&lt;/foreign-keys&gt;&lt;ref-type name="Web Page"&gt;12&lt;/ref-type&gt;&lt;contributors&gt;&lt;authors&gt;&lt;author&gt;LILP/GWU,&lt;/author&gt;&lt;/authors&gt;&lt;/contributors&gt;&lt;titles&gt;&lt;title&gt;Significant Features of the Property Tax: State Summaries&lt;/title&gt;&lt;secondary-title&gt;Significant Features of the Property Tax&lt;/secondary-title&gt;&lt;/titles&gt;&lt;volume&gt;2015&lt;/volume&gt;&lt;number&gt;October, 2015&lt;/number&gt;&lt;dates&gt;&lt;year&gt;2015&lt;/year&gt;&lt;/dates&gt;&lt;pub-location&gt;Cambridge, MA&lt;/pub-location&gt;&lt;publisher&gt;Lincoln Institute of Land Policy and George Washington University Institute of Public Policy&lt;/publisher&gt;&lt;urls&gt;&lt;related-urls&gt;&lt;url&gt;http://www.lincolninst.edu/subcenters/significant-features-property-tax/Report_State_Summaries.aspx&lt;/url&gt;&lt;/related-urls&gt;&lt;/urls&gt;&lt;/record&gt;&lt;/Cite&gt;&lt;/EndNote&gt;</w:instrText>
      </w:r>
      <w:r w:rsidR="00C034CB" w:rsidRPr="00C034CB">
        <w:rPr>
          <w:rFonts w:ascii="Times New Roman" w:hAnsi="Times New Roman" w:cs="Times New Roman"/>
        </w:rPr>
        <w:fldChar w:fldCharType="separate"/>
      </w:r>
      <w:r w:rsidR="00C034CB" w:rsidRPr="00C034CB">
        <w:rPr>
          <w:rFonts w:ascii="Times New Roman" w:hAnsi="Times New Roman" w:cs="Times New Roman"/>
          <w:noProof/>
        </w:rPr>
        <w:t>(2015)</w:t>
      </w:r>
      <w:r w:rsidR="00C034CB" w:rsidRPr="00C034CB">
        <w:rPr>
          <w:rFonts w:ascii="Times New Roman" w:hAnsi="Times New Roman" w:cs="Times New Roman"/>
        </w:rPr>
        <w:fldChar w:fldCharType="end"/>
      </w:r>
    </w:p>
    <w:p w14:paraId="64E9C25D" w14:textId="77777777" w:rsidR="00E31B81" w:rsidRPr="00D77A48" w:rsidRDefault="00E31B81" w:rsidP="00B90FAB">
      <w:pPr>
        <w:widowControl w:val="0"/>
        <w:autoSpaceDE w:val="0"/>
        <w:autoSpaceDN w:val="0"/>
        <w:adjustRightInd w:val="0"/>
        <w:spacing w:after="0" w:line="240" w:lineRule="auto"/>
        <w:rPr>
          <w:rFonts w:cs="Times New Roman"/>
        </w:rPr>
      </w:pPr>
    </w:p>
    <w:p w14:paraId="30A42679" w14:textId="79B0781C" w:rsidR="00D32C9C" w:rsidRPr="00E17BE4" w:rsidRDefault="00D32C9C" w:rsidP="00E17BE4">
      <w:pPr>
        <w:jc w:val="both"/>
        <w:rPr>
          <w:rFonts w:ascii="Times New Roman" w:hAnsi="Times New Roman" w:cs="Times New Roman"/>
        </w:rPr>
      </w:pPr>
      <w:r w:rsidRPr="00E17BE4">
        <w:rPr>
          <w:rFonts w:ascii="Times New Roman" w:hAnsi="Times New Roman" w:cs="Times New Roman"/>
        </w:rPr>
        <w:t xml:space="preserve">Of the </w:t>
      </w:r>
      <w:r w:rsidR="00EA0FDD" w:rsidRPr="00E17BE4">
        <w:rPr>
          <w:rFonts w:ascii="Times New Roman" w:hAnsi="Times New Roman" w:cs="Times New Roman"/>
        </w:rPr>
        <w:t xml:space="preserve">23 </w:t>
      </w:r>
      <w:r w:rsidRPr="00E17BE4">
        <w:rPr>
          <w:rFonts w:ascii="Times New Roman" w:hAnsi="Times New Roman" w:cs="Times New Roman"/>
        </w:rPr>
        <w:t>states where data are reported</w:t>
      </w:r>
      <w:r w:rsidR="00C92F32" w:rsidRPr="00E17BE4">
        <w:rPr>
          <w:rFonts w:ascii="Times New Roman" w:hAnsi="Times New Roman" w:cs="Times New Roman"/>
        </w:rPr>
        <w:t>,</w:t>
      </w:r>
      <w:r w:rsidRPr="00E17BE4">
        <w:rPr>
          <w:rFonts w:ascii="Times New Roman" w:hAnsi="Times New Roman" w:cs="Times New Roman"/>
        </w:rPr>
        <w:t xml:space="preserve"> four have had the personal property relative share of the total property tax base increase</w:t>
      </w:r>
      <w:r w:rsidR="00C92BE2" w:rsidRPr="00E17BE4">
        <w:rPr>
          <w:rFonts w:ascii="Times New Roman" w:hAnsi="Times New Roman" w:cs="Times New Roman"/>
        </w:rPr>
        <w:t xml:space="preserve"> since 1986</w:t>
      </w:r>
      <w:r w:rsidRPr="00E17BE4">
        <w:rPr>
          <w:rFonts w:ascii="Times New Roman" w:hAnsi="Times New Roman" w:cs="Times New Roman"/>
        </w:rPr>
        <w:t xml:space="preserve">.  </w:t>
      </w:r>
      <w:r w:rsidR="00E17BE4" w:rsidRPr="00E17BE4">
        <w:rPr>
          <w:rFonts w:ascii="Times New Roman" w:hAnsi="Times New Roman" w:cs="Times New Roman"/>
        </w:rPr>
        <w:t>An</w:t>
      </w:r>
      <w:r w:rsidRPr="00E17BE4">
        <w:rPr>
          <w:rFonts w:ascii="Times New Roman" w:hAnsi="Times New Roman" w:cs="Times New Roman"/>
        </w:rPr>
        <w:t>o</w:t>
      </w:r>
      <w:r w:rsidR="00E17BE4" w:rsidRPr="00E17BE4">
        <w:rPr>
          <w:rFonts w:ascii="Times New Roman" w:hAnsi="Times New Roman" w:cs="Times New Roman"/>
        </w:rPr>
        <w:t>ther 19</w:t>
      </w:r>
      <w:r w:rsidRPr="00E17BE4">
        <w:rPr>
          <w:rFonts w:ascii="Times New Roman" w:hAnsi="Times New Roman" w:cs="Times New Roman"/>
        </w:rPr>
        <w:t xml:space="preserve"> have experienced a decline in the importance of the personal property tax.</w:t>
      </w:r>
      <w:r w:rsidR="00E17BE4" w:rsidRPr="00E17BE4">
        <w:rPr>
          <w:rFonts w:ascii="Times New Roman" w:hAnsi="Times New Roman" w:cs="Times New Roman"/>
        </w:rPr>
        <w:t xml:space="preserve"> </w:t>
      </w:r>
      <w:r w:rsidRPr="00E17BE4">
        <w:rPr>
          <w:rFonts w:ascii="Times New Roman" w:hAnsi="Times New Roman" w:cs="Times New Roman"/>
        </w:rPr>
        <w:t xml:space="preserve"> It is important to note that the percentages reported in Table 1 are statewide averages and hide the fact that many taxing jurisdictions within a state may have a substantial portion of their property </w:t>
      </w:r>
      <w:r w:rsidRPr="00E17BE4">
        <w:rPr>
          <w:rFonts w:ascii="Times New Roman" w:hAnsi="Times New Roman" w:cs="Times New Roman"/>
        </w:rPr>
        <w:lastRenderedPageBreak/>
        <w:t xml:space="preserve">tax base </w:t>
      </w:r>
      <w:r w:rsidR="00C64DA9" w:rsidRPr="00E17BE4">
        <w:rPr>
          <w:rFonts w:ascii="Times New Roman" w:hAnsi="Times New Roman" w:cs="Times New Roman"/>
        </w:rPr>
        <w:t>in</w:t>
      </w:r>
      <w:r w:rsidRPr="00E17BE4">
        <w:rPr>
          <w:rFonts w:ascii="Times New Roman" w:hAnsi="Times New Roman" w:cs="Times New Roman"/>
        </w:rPr>
        <w:t xml:space="preserve"> personal property.  Examples would include taxing jurisdictions with large manufacturing firms or public utilities.</w:t>
      </w:r>
      <w:r w:rsidR="00C64DA9" w:rsidRPr="00E17BE4">
        <w:rPr>
          <w:rFonts w:ascii="Times New Roman" w:hAnsi="Times New Roman" w:cs="Times New Roman"/>
        </w:rPr>
        <w:t xml:space="preserve"> This is certainly the case in Connecticut</w:t>
      </w:r>
      <w:r w:rsidR="00D07DAA" w:rsidRPr="00E17BE4">
        <w:rPr>
          <w:rFonts w:ascii="Times New Roman" w:hAnsi="Times New Roman" w:cs="Times New Roman"/>
        </w:rPr>
        <w:t xml:space="preserve"> as described below</w:t>
      </w:r>
      <w:r w:rsidR="00C64DA9" w:rsidRPr="00E17BE4">
        <w:rPr>
          <w:rFonts w:ascii="Times New Roman" w:hAnsi="Times New Roman" w:cs="Times New Roman"/>
        </w:rPr>
        <w:t xml:space="preserve">. </w:t>
      </w:r>
    </w:p>
    <w:p w14:paraId="4648AF31" w14:textId="38DCCF3B" w:rsidR="00CB1074" w:rsidRPr="0048120E" w:rsidRDefault="00A03991" w:rsidP="0048120E">
      <w:pPr>
        <w:jc w:val="both"/>
        <w:rPr>
          <w:rFonts w:ascii="Times New Roman" w:hAnsi="Times New Roman" w:cs="Times New Roman"/>
        </w:rPr>
      </w:pPr>
      <w:r w:rsidRPr="0048120E">
        <w:rPr>
          <w:rFonts w:ascii="Times New Roman" w:hAnsi="Times New Roman" w:cs="Times New Roman"/>
        </w:rPr>
        <w:t xml:space="preserve">The </w:t>
      </w:r>
      <w:r w:rsidR="00B90FAB" w:rsidRPr="0048120E">
        <w:rPr>
          <w:rFonts w:ascii="Times New Roman" w:hAnsi="Times New Roman" w:cs="Times New Roman"/>
        </w:rPr>
        <w:t xml:space="preserve">downward </w:t>
      </w:r>
      <w:r w:rsidRPr="0048120E">
        <w:rPr>
          <w:rFonts w:ascii="Times New Roman" w:hAnsi="Times New Roman" w:cs="Times New Roman"/>
        </w:rPr>
        <w:t xml:space="preserve">drift in the taxation of personal property has been </w:t>
      </w:r>
      <w:r w:rsidR="00B90FAB" w:rsidRPr="0048120E">
        <w:rPr>
          <w:rFonts w:ascii="Times New Roman" w:hAnsi="Times New Roman" w:cs="Times New Roman"/>
        </w:rPr>
        <w:t>propelled</w:t>
      </w:r>
      <w:r w:rsidRPr="0048120E">
        <w:rPr>
          <w:rFonts w:ascii="Times New Roman" w:hAnsi="Times New Roman" w:cs="Times New Roman"/>
        </w:rPr>
        <w:t xml:space="preserve"> by several important trends.  Most states have </w:t>
      </w:r>
      <w:r w:rsidR="00B90FAB" w:rsidRPr="0048120E">
        <w:rPr>
          <w:rFonts w:ascii="Times New Roman" w:hAnsi="Times New Roman" w:cs="Times New Roman"/>
        </w:rPr>
        <w:t xml:space="preserve">now </w:t>
      </w:r>
      <w:r w:rsidRPr="0048120E">
        <w:rPr>
          <w:rFonts w:ascii="Times New Roman" w:hAnsi="Times New Roman" w:cs="Times New Roman"/>
        </w:rPr>
        <w:t xml:space="preserve">adopted a policy to exempt business inventory from the personal property tax. </w:t>
      </w:r>
      <w:r w:rsidR="00C47F24" w:rsidRPr="0048120E">
        <w:rPr>
          <w:rFonts w:ascii="Times New Roman" w:hAnsi="Times New Roman" w:cs="Times New Roman"/>
        </w:rPr>
        <w:fldChar w:fldCharType="begin"/>
      </w:r>
      <w:r w:rsidR="00C47F24" w:rsidRPr="0048120E">
        <w:rPr>
          <w:rFonts w:ascii="Times New Roman" w:hAnsi="Times New Roman" w:cs="Times New Roman"/>
        </w:rPr>
        <w:instrText xml:space="preserve"> ADDIN EN.CITE &lt;EndNote&gt;&lt;Cite&gt;&lt;Author&gt;Errecart&lt;/Author&gt;&lt;Year&gt;2012&lt;/Year&gt;&lt;RecNum&gt;18&lt;/RecNum&gt;&lt;DisplayText&gt;(Errecart et al. 2012)&lt;/DisplayText&gt;&lt;record&gt;&lt;rec-number&gt;18&lt;/rec-number&gt;&lt;foreign-keys&gt;&lt;key app="EN" db-id="efsrp25rfad5tverv0kv2ztwvdrzzzda2pwp" timestamp="1446504631"&gt;18&lt;/key&gt;&lt;/foreign-keys&gt;&lt;ref-type name="Report"&gt;27&lt;/ref-type&gt;&lt;contributors&gt;&lt;authors&gt;&lt;author&gt;Joyce Errecart&lt;/author&gt;&lt;author&gt;Ed Gerrish&lt;/author&gt;&lt;author&gt;Scott Drenkard&lt;/author&gt;&lt;/authors&gt;&lt;/contributors&gt;&lt;titles&gt;&lt;title&gt;States moving away from taxes on tangible personal property&lt;/title&gt;&lt;secondary-title&gt;Background Paper No. 63&lt;/secondary-title&gt;&lt;/titles&gt;&lt;dates&gt;&lt;year&gt;2012&lt;/year&gt;&lt;pub-dates&gt;&lt;date&gt;October, 2012&lt;/date&gt;&lt;/pub-dates&gt;&lt;/dates&gt;&lt;pub-location&gt;Washington, DC&lt;/pub-location&gt;&lt;publisher&gt;Tax Foundation &amp;amp; Foundation for Government Accountability&lt;/publisher&gt;&lt;urls&gt;&lt;/urls&gt;&lt;/record&gt;&lt;/Cite&gt;&lt;/EndNote&gt;</w:instrText>
      </w:r>
      <w:r w:rsidR="00C47F24" w:rsidRPr="0048120E">
        <w:rPr>
          <w:rFonts w:ascii="Times New Roman" w:hAnsi="Times New Roman" w:cs="Times New Roman"/>
        </w:rPr>
        <w:fldChar w:fldCharType="separate"/>
      </w:r>
      <w:r w:rsidR="00C47F24" w:rsidRPr="0048120E">
        <w:rPr>
          <w:rFonts w:ascii="Times New Roman" w:hAnsi="Times New Roman" w:cs="Times New Roman"/>
          <w:noProof/>
        </w:rPr>
        <w:t>(Errecart et al. 2012)</w:t>
      </w:r>
      <w:r w:rsidR="00C47F24" w:rsidRPr="0048120E">
        <w:rPr>
          <w:rFonts w:ascii="Times New Roman" w:hAnsi="Times New Roman" w:cs="Times New Roman"/>
        </w:rPr>
        <w:fldChar w:fldCharType="end"/>
      </w:r>
      <w:r w:rsidRPr="0048120E">
        <w:rPr>
          <w:rFonts w:ascii="Times New Roman" w:hAnsi="Times New Roman" w:cs="Times New Roman"/>
        </w:rPr>
        <w:t xml:space="preserve"> This legislative action has resulted in a significant reduction in the personal property tax.  The motivation for removi</w:t>
      </w:r>
      <w:r w:rsidR="00C92F32" w:rsidRPr="0048120E">
        <w:rPr>
          <w:rFonts w:ascii="Times New Roman" w:hAnsi="Times New Roman" w:cs="Times New Roman"/>
        </w:rPr>
        <w:t>ng inventory from the tax base wa</w:t>
      </w:r>
      <w:r w:rsidRPr="0048120E">
        <w:rPr>
          <w:rFonts w:ascii="Times New Roman" w:hAnsi="Times New Roman" w:cs="Times New Roman"/>
        </w:rPr>
        <w:t xml:space="preserve">s the concern that manufacturing firms would relocate to states that did not tax inventory.  There was also a desire </w:t>
      </w:r>
      <w:r w:rsidR="008772BC" w:rsidRPr="0048120E">
        <w:rPr>
          <w:rFonts w:ascii="Times New Roman" w:hAnsi="Times New Roman" w:cs="Times New Roman"/>
        </w:rPr>
        <w:t>by</w:t>
      </w:r>
      <w:r w:rsidRPr="0048120E">
        <w:rPr>
          <w:rFonts w:ascii="Times New Roman" w:hAnsi="Times New Roman" w:cs="Times New Roman"/>
        </w:rPr>
        <w:t xml:space="preserve"> state</w:t>
      </w:r>
      <w:r w:rsidR="008772BC" w:rsidRPr="0048120E">
        <w:rPr>
          <w:rFonts w:ascii="Times New Roman" w:hAnsi="Times New Roman" w:cs="Times New Roman"/>
        </w:rPr>
        <w:t>s</w:t>
      </w:r>
      <w:r w:rsidRPr="0048120E">
        <w:rPr>
          <w:rFonts w:ascii="Times New Roman" w:hAnsi="Times New Roman" w:cs="Times New Roman"/>
        </w:rPr>
        <w:t xml:space="preserve"> to be </w:t>
      </w:r>
      <w:r w:rsidR="008772BC" w:rsidRPr="0048120E">
        <w:rPr>
          <w:rFonts w:ascii="Times New Roman" w:hAnsi="Times New Roman" w:cs="Times New Roman"/>
        </w:rPr>
        <w:t xml:space="preserve">viewed </w:t>
      </w:r>
      <w:r w:rsidRPr="0048120E">
        <w:rPr>
          <w:rFonts w:ascii="Times New Roman" w:hAnsi="Times New Roman" w:cs="Times New Roman"/>
        </w:rPr>
        <w:t xml:space="preserve">favorably in terms of offering tax-free status warehousing for goods in various stages of the production or distribution processes.  The practice started </w:t>
      </w:r>
      <w:r w:rsidR="008772BC" w:rsidRPr="0048120E">
        <w:rPr>
          <w:rFonts w:ascii="Times New Roman" w:hAnsi="Times New Roman" w:cs="Times New Roman"/>
        </w:rPr>
        <w:t>with</w:t>
      </w:r>
      <w:r w:rsidRPr="0048120E">
        <w:rPr>
          <w:rFonts w:ascii="Times New Roman" w:hAnsi="Times New Roman" w:cs="Times New Roman"/>
        </w:rPr>
        <w:t xml:space="preserve"> the adoption of “</w:t>
      </w:r>
      <w:r w:rsidR="00B90FAB" w:rsidRPr="0048120E">
        <w:rPr>
          <w:rFonts w:ascii="Times New Roman" w:hAnsi="Times New Roman" w:cs="Times New Roman"/>
        </w:rPr>
        <w:t>Freeport</w:t>
      </w:r>
      <w:r w:rsidRPr="0048120E">
        <w:rPr>
          <w:rFonts w:ascii="Times New Roman" w:hAnsi="Times New Roman" w:cs="Times New Roman"/>
        </w:rPr>
        <w:t xml:space="preserve"> centers” that exempted stored goods in the intermediate stages of production or finished goods in transit.  When this policy was first adopted it may have offered a tax advantage for the first few states that followed t</w:t>
      </w:r>
      <w:r w:rsidR="00D84222" w:rsidRPr="0048120E">
        <w:rPr>
          <w:rFonts w:ascii="Times New Roman" w:hAnsi="Times New Roman" w:cs="Times New Roman"/>
        </w:rPr>
        <w:t>h</w:t>
      </w:r>
      <w:r w:rsidRPr="0048120E">
        <w:rPr>
          <w:rFonts w:ascii="Times New Roman" w:hAnsi="Times New Roman" w:cs="Times New Roman"/>
        </w:rPr>
        <w:t xml:space="preserve">is policy but the exemption of goods in transit spread rapidly to other states likely resulting in no distinct advantage for the early adopters. </w:t>
      </w:r>
      <w:r w:rsidR="0048120E" w:rsidRPr="0048120E">
        <w:rPr>
          <w:rFonts w:ascii="Times New Roman" w:hAnsi="Times New Roman" w:cs="Times New Roman"/>
        </w:rPr>
        <w:fldChar w:fldCharType="begin"/>
      </w:r>
      <w:r w:rsidR="0048120E" w:rsidRPr="0048120E">
        <w:rPr>
          <w:rFonts w:ascii="Times New Roman" w:hAnsi="Times New Roman" w:cs="Times New Roman"/>
        </w:rPr>
        <w:instrText xml:space="preserve"> ADDIN EN.CITE &lt;EndNote&gt;&lt;Cite&gt;&lt;Author&gt;Cornia&lt;/Author&gt;&lt;Year&gt;1999&lt;/Year&gt;&lt;RecNum&gt;22&lt;/RecNum&gt;&lt;DisplayText&gt;(Cornia and Wheeler 1999)&lt;/DisplayText&gt;&lt;record&gt;&lt;rec-number&gt;22&lt;/rec-number&gt;&lt;foreign-keys&gt;&lt;key app="EN" db-id="efsrp25rfad5tverv0kv2ztwvdrzzzda2pwp" timestamp="1446587501"&gt;22&lt;/key&gt;&lt;/foreign-keys&gt;&lt;ref-type name="Book Section"&gt;5&lt;/ref-type&gt;&lt;contributors&gt;&lt;authors&gt;&lt;author&gt;Gary C. Cornia&lt;/author&gt;&lt;author&gt;Gloria E. Wheeler&lt;/author&gt;&lt;/authors&gt;&lt;secondary-authors&gt;&lt;author&gt;W. Barley Hildreth&lt;/author&gt;&lt;author&gt;James A. Richardson&lt;/author&gt;&lt;/secondary-authors&gt;&lt;/contributors&gt;&lt;titles&gt;&lt;title&gt;The Personal Property Tax&lt;/title&gt;&lt;secondary-title&gt;Handbook of Taxation&lt;/secondary-title&gt;&lt;/titles&gt;&lt;dates&gt;&lt;year&gt;1999&lt;/year&gt;&lt;/dates&gt;&lt;pub-location&gt;New York, NY&lt;/pub-location&gt;&lt;publisher&gt;Marcel Dekker, Inc. &lt;/publisher&gt;&lt;urls&gt;&lt;/urls&gt;&lt;/record&gt;&lt;/Cite&gt;&lt;/EndNote&gt;</w:instrText>
      </w:r>
      <w:r w:rsidR="0048120E" w:rsidRPr="0048120E">
        <w:rPr>
          <w:rFonts w:ascii="Times New Roman" w:hAnsi="Times New Roman" w:cs="Times New Roman"/>
        </w:rPr>
        <w:fldChar w:fldCharType="separate"/>
      </w:r>
      <w:r w:rsidR="0048120E" w:rsidRPr="0048120E">
        <w:rPr>
          <w:rFonts w:ascii="Times New Roman" w:hAnsi="Times New Roman" w:cs="Times New Roman"/>
          <w:noProof/>
        </w:rPr>
        <w:t>(Cornia and Wheeler 1999)</w:t>
      </w:r>
      <w:r w:rsidR="0048120E" w:rsidRPr="0048120E">
        <w:rPr>
          <w:rFonts w:ascii="Times New Roman" w:hAnsi="Times New Roman" w:cs="Times New Roman"/>
        </w:rPr>
        <w:fldChar w:fldCharType="end"/>
      </w:r>
      <w:r w:rsidRPr="0048120E">
        <w:rPr>
          <w:rFonts w:ascii="Times New Roman" w:hAnsi="Times New Roman" w:cs="Times New Roman"/>
        </w:rPr>
        <w:t xml:space="preserve"> </w:t>
      </w:r>
      <w:r w:rsidR="00CB1074" w:rsidRPr="0048120E">
        <w:rPr>
          <w:rFonts w:ascii="Times New Roman" w:hAnsi="Times New Roman" w:cs="Times New Roman"/>
        </w:rPr>
        <w:t xml:space="preserve">(There have been other legislative changes to the taxation of personal property but the exemption of inventory is the most significant.) </w:t>
      </w:r>
    </w:p>
    <w:p w14:paraId="6531836F" w14:textId="5A1B8703" w:rsidR="00D84222" w:rsidRPr="0048120E" w:rsidRDefault="00A03991" w:rsidP="0048120E">
      <w:pPr>
        <w:jc w:val="both"/>
        <w:rPr>
          <w:rFonts w:ascii="Times New Roman" w:hAnsi="Times New Roman" w:cs="Times New Roman"/>
        </w:rPr>
      </w:pPr>
      <w:r w:rsidRPr="0048120E">
        <w:rPr>
          <w:rFonts w:ascii="Times New Roman" w:hAnsi="Times New Roman" w:cs="Times New Roman"/>
        </w:rPr>
        <w:t>The s</w:t>
      </w:r>
      <w:r w:rsidR="00CB1074" w:rsidRPr="0048120E">
        <w:rPr>
          <w:rFonts w:ascii="Times New Roman" w:hAnsi="Times New Roman" w:cs="Times New Roman"/>
        </w:rPr>
        <w:t xml:space="preserve">econd trend that has contributed to the decline in the taxation in personal property has been the changing nature of business processes </w:t>
      </w:r>
      <w:r w:rsidR="00E24D95" w:rsidRPr="0048120E">
        <w:rPr>
          <w:rFonts w:ascii="Times New Roman" w:hAnsi="Times New Roman" w:cs="Times New Roman"/>
        </w:rPr>
        <w:t xml:space="preserve">and the makeup of business firms </w:t>
      </w:r>
      <w:r w:rsidR="00CB1074" w:rsidRPr="0048120E">
        <w:rPr>
          <w:rFonts w:ascii="Times New Roman" w:hAnsi="Times New Roman" w:cs="Times New Roman"/>
        </w:rPr>
        <w:t>in the United States.  As the US economy h</w:t>
      </w:r>
      <w:r w:rsidR="008772BC" w:rsidRPr="0048120E">
        <w:rPr>
          <w:rFonts w:ascii="Times New Roman" w:hAnsi="Times New Roman" w:cs="Times New Roman"/>
        </w:rPr>
        <w:t>as shifted from a manufacturing-</w:t>
      </w:r>
      <w:r w:rsidR="008F3C54" w:rsidRPr="0048120E">
        <w:rPr>
          <w:rFonts w:ascii="Times New Roman" w:hAnsi="Times New Roman" w:cs="Times New Roman"/>
        </w:rPr>
        <w:t>based economy to a service-</w:t>
      </w:r>
      <w:r w:rsidR="00CB1074" w:rsidRPr="0048120E">
        <w:rPr>
          <w:rFonts w:ascii="Times New Roman" w:hAnsi="Times New Roman" w:cs="Times New Roman"/>
        </w:rPr>
        <w:t>based economy the impo</w:t>
      </w:r>
      <w:r w:rsidR="00C14D4A" w:rsidRPr="0048120E">
        <w:rPr>
          <w:rFonts w:ascii="Times New Roman" w:hAnsi="Times New Roman" w:cs="Times New Roman"/>
        </w:rPr>
        <w:t xml:space="preserve">rtance of value added from capital facilities </w:t>
      </w:r>
      <w:r w:rsidR="00CB1074" w:rsidRPr="0048120E">
        <w:rPr>
          <w:rFonts w:ascii="Times New Roman" w:hAnsi="Times New Roman" w:cs="Times New Roman"/>
        </w:rPr>
        <w:t xml:space="preserve">relative to </w:t>
      </w:r>
      <w:r w:rsidR="00C14D4A" w:rsidRPr="0048120E">
        <w:rPr>
          <w:rFonts w:ascii="Times New Roman" w:hAnsi="Times New Roman" w:cs="Times New Roman"/>
        </w:rPr>
        <w:t xml:space="preserve">value added via </w:t>
      </w:r>
      <w:r w:rsidR="00CB1074" w:rsidRPr="0048120E">
        <w:rPr>
          <w:rFonts w:ascii="Times New Roman" w:hAnsi="Times New Roman" w:cs="Times New Roman"/>
        </w:rPr>
        <w:t xml:space="preserve">intellectual contributions has been declining for decades.  </w:t>
      </w:r>
      <w:r w:rsidR="008F3C54" w:rsidRPr="0048120E">
        <w:rPr>
          <w:rFonts w:ascii="Times New Roman" w:hAnsi="Times New Roman" w:cs="Times New Roman"/>
        </w:rPr>
        <w:t>Service-</w:t>
      </w:r>
      <w:r w:rsidR="00E31B81" w:rsidRPr="0048120E">
        <w:rPr>
          <w:rFonts w:ascii="Times New Roman" w:hAnsi="Times New Roman" w:cs="Times New Roman"/>
        </w:rPr>
        <w:t>based business</w:t>
      </w:r>
      <w:r w:rsidR="00D84222" w:rsidRPr="0048120E">
        <w:rPr>
          <w:rFonts w:ascii="Times New Roman" w:hAnsi="Times New Roman" w:cs="Times New Roman"/>
        </w:rPr>
        <w:t>es</w:t>
      </w:r>
      <w:r w:rsidR="00E31B81" w:rsidRPr="0048120E">
        <w:rPr>
          <w:rFonts w:ascii="Times New Roman" w:hAnsi="Times New Roman" w:cs="Times New Roman"/>
        </w:rPr>
        <w:t xml:space="preserve"> use less personal property per employee when compared to manufacturing firms.  </w:t>
      </w:r>
      <w:r w:rsidR="00CB1074" w:rsidRPr="0048120E">
        <w:rPr>
          <w:rFonts w:ascii="Times New Roman" w:hAnsi="Times New Roman" w:cs="Times New Roman"/>
        </w:rPr>
        <w:t xml:space="preserve">The result is that </w:t>
      </w:r>
      <w:r w:rsidR="00E24D95" w:rsidRPr="0048120E">
        <w:rPr>
          <w:rFonts w:ascii="Times New Roman" w:hAnsi="Times New Roman" w:cs="Times New Roman"/>
        </w:rPr>
        <w:t xml:space="preserve">in most states </w:t>
      </w:r>
      <w:r w:rsidR="00CB1074" w:rsidRPr="0048120E">
        <w:rPr>
          <w:rFonts w:ascii="Times New Roman" w:hAnsi="Times New Roman" w:cs="Times New Roman"/>
        </w:rPr>
        <w:t xml:space="preserve">there is less tangible personal property to be taxed relative to the Gross State Product. </w:t>
      </w:r>
      <w:r w:rsidR="00C14D4A" w:rsidRPr="0048120E">
        <w:rPr>
          <w:rFonts w:ascii="Times New Roman" w:hAnsi="Times New Roman" w:cs="Times New Roman"/>
        </w:rPr>
        <w:t xml:space="preserve"> </w:t>
      </w:r>
    </w:p>
    <w:p w14:paraId="1ABCA42E" w14:textId="3ED45A21" w:rsidR="00FF1F12" w:rsidRPr="0048120E" w:rsidRDefault="00FF1F12" w:rsidP="0048120E">
      <w:pPr>
        <w:jc w:val="both"/>
        <w:rPr>
          <w:rFonts w:ascii="Times New Roman" w:hAnsi="Times New Roman" w:cs="Times New Roman"/>
        </w:rPr>
      </w:pPr>
      <w:r w:rsidRPr="0048120E">
        <w:rPr>
          <w:rFonts w:ascii="Times New Roman" w:hAnsi="Times New Roman" w:cs="Times New Roman"/>
        </w:rPr>
        <w:t xml:space="preserve">While this trend </w:t>
      </w:r>
      <w:r w:rsidR="00D15762" w:rsidRPr="0048120E">
        <w:rPr>
          <w:rFonts w:ascii="Times New Roman" w:hAnsi="Times New Roman" w:cs="Times New Roman"/>
        </w:rPr>
        <w:t>may explain national declines over a long time period, it does not seem to hold in Connecticu</w:t>
      </w:r>
      <w:r w:rsidR="00A0533B" w:rsidRPr="0048120E">
        <w:rPr>
          <w:rFonts w:ascii="Times New Roman" w:hAnsi="Times New Roman" w:cs="Times New Roman"/>
        </w:rPr>
        <w:t>t over the past decade. Figure 2</w:t>
      </w:r>
      <w:r w:rsidR="00D15762" w:rsidRPr="0048120E">
        <w:rPr>
          <w:rFonts w:ascii="Times New Roman" w:hAnsi="Times New Roman" w:cs="Times New Roman"/>
        </w:rPr>
        <w:t xml:space="preserve"> reports the gross personal property base (before exemptions) as a percentage of the state’s Gross State Product (Connecticut’s contribution to national GDP). The </w:t>
      </w:r>
      <w:r w:rsidR="004623D4" w:rsidRPr="0048120E">
        <w:rPr>
          <w:rFonts w:ascii="Times New Roman" w:hAnsi="Times New Roman" w:cs="Times New Roman"/>
        </w:rPr>
        <w:t xml:space="preserve">sharp decline from 2003 to 2007 was the result of the rapid growth in the </w:t>
      </w:r>
      <w:r w:rsidR="00A414F1">
        <w:rPr>
          <w:rFonts w:ascii="Times New Roman" w:hAnsi="Times New Roman" w:cs="Times New Roman"/>
        </w:rPr>
        <w:t xml:space="preserve">overall </w:t>
      </w:r>
      <w:r w:rsidR="004623D4" w:rsidRPr="0048120E">
        <w:rPr>
          <w:rFonts w:ascii="Times New Roman" w:hAnsi="Times New Roman" w:cs="Times New Roman"/>
        </w:rPr>
        <w:t xml:space="preserve">Connecticut economy during that period. Nominal annual growth rates ranged from 4.6% to 9.4%. In 2008, Connecticut fell victim to the national recession and the economy shrank by 1.4% in 2008 and another 2.0% in 2009. Growth since 2009 has been at a much more modest rate (0.6% to 2.9%). </w:t>
      </w:r>
    </w:p>
    <w:p w14:paraId="15416E38" w14:textId="77777777" w:rsidR="00A0533B" w:rsidRDefault="00A0533B">
      <w:pPr>
        <w:rPr>
          <w:b/>
        </w:rPr>
      </w:pPr>
      <w:r>
        <w:rPr>
          <w:b/>
        </w:rPr>
        <w:br w:type="page"/>
      </w:r>
    </w:p>
    <w:p w14:paraId="1BBE1547" w14:textId="535518AE" w:rsidR="00D15762" w:rsidRPr="00BC127A" w:rsidRDefault="00A0533B">
      <w:pPr>
        <w:rPr>
          <w:rFonts w:ascii="Times New Roman" w:hAnsi="Times New Roman" w:cs="Times New Roman"/>
          <w:b/>
        </w:rPr>
      </w:pPr>
      <w:r w:rsidRPr="00BC127A">
        <w:rPr>
          <w:rFonts w:ascii="Times New Roman" w:hAnsi="Times New Roman" w:cs="Times New Roman"/>
          <w:b/>
        </w:rPr>
        <w:lastRenderedPageBreak/>
        <w:t>Figure 2</w:t>
      </w:r>
    </w:p>
    <w:p w14:paraId="31D0E586" w14:textId="42058396" w:rsidR="00D15762" w:rsidRPr="00D77A48" w:rsidRDefault="00D15762">
      <w:r>
        <w:rPr>
          <w:noProof/>
        </w:rPr>
        <w:drawing>
          <wp:inline distT="0" distB="0" distL="0" distR="0" wp14:anchorId="6895DC58" wp14:editId="18642E3A">
            <wp:extent cx="5161031" cy="3186375"/>
            <wp:effectExtent l="0" t="0" r="1905" b="1460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6BF2289" w14:textId="54E72C2C" w:rsidR="007D111B" w:rsidRPr="00A414F1" w:rsidRDefault="007D111B">
      <w:pPr>
        <w:rPr>
          <w:rFonts w:ascii="Times New Roman" w:hAnsi="Times New Roman" w:cs="Times New Roman"/>
        </w:rPr>
      </w:pPr>
      <w:r w:rsidRPr="00A414F1">
        <w:rPr>
          <w:rFonts w:ascii="Times New Roman" w:hAnsi="Times New Roman" w:cs="Times New Roman"/>
        </w:rPr>
        <w:t>Source: US Bureau of Economic Analysis and calculations by the author</w:t>
      </w:r>
    </w:p>
    <w:p w14:paraId="7D37BD87" w14:textId="6EE0260E" w:rsidR="00A0533B" w:rsidRPr="00A414F1" w:rsidRDefault="00A0533B" w:rsidP="00A414F1">
      <w:pPr>
        <w:jc w:val="both"/>
        <w:rPr>
          <w:rFonts w:ascii="Times New Roman" w:hAnsi="Times New Roman" w:cs="Times New Roman"/>
        </w:rPr>
      </w:pPr>
      <w:r w:rsidRPr="00A414F1">
        <w:rPr>
          <w:rFonts w:ascii="Times New Roman" w:hAnsi="Times New Roman" w:cs="Times New Roman"/>
        </w:rPr>
        <w:t xml:space="preserve">The methods used to assess and value personal property may also contribute to the decline in the importance of personal property.  Personal property value is often based on the historical purchase price while other components of the property tax base, e.g. residential homes, have their value established by current market sales.  Such a divergence in the valuation methods may well result in personal property valuations lagging the other segments of the property tax base if revaluations are carried out regularly. </w:t>
      </w:r>
    </w:p>
    <w:p w14:paraId="29A36A74" w14:textId="0A874C04" w:rsidR="00A0533B" w:rsidRPr="00A414F1" w:rsidRDefault="00A0533B" w:rsidP="00A414F1">
      <w:pPr>
        <w:jc w:val="both"/>
        <w:rPr>
          <w:rFonts w:ascii="Times New Roman" w:hAnsi="Times New Roman" w:cs="Times New Roman"/>
        </w:rPr>
      </w:pPr>
      <w:r w:rsidRPr="00A414F1">
        <w:rPr>
          <w:rFonts w:ascii="Times New Roman" w:hAnsi="Times New Roman" w:cs="Times New Roman"/>
        </w:rPr>
        <w:t>One way to consider this structural relationship between real and personal property is to examine the relationship between the value of personal property and the value of all commercial, industrial and public utility property. Since taxable personal property in Connecticut is nearly all owned by businesses, the ratio of personal to business</w:t>
      </w:r>
      <w:r w:rsidR="00EA0FDD" w:rsidRPr="00A414F1">
        <w:rPr>
          <w:rFonts w:ascii="Times New Roman" w:hAnsi="Times New Roman" w:cs="Times New Roman"/>
        </w:rPr>
        <w:t xml:space="preserve"> real</w:t>
      </w:r>
      <w:r w:rsidRPr="00A414F1">
        <w:rPr>
          <w:rFonts w:ascii="Times New Roman" w:hAnsi="Times New Roman" w:cs="Times New Roman"/>
        </w:rPr>
        <w:t xml:space="preserve"> property should be declining if the national pattern holds. Figure 3 reports the ratio of gross taxable personal property (before exemptions) to gross commercial, industrial and public utility property. The highest ratio was observed in 2003 when the value of personal property represented 43.7% of the value of commercial, industrial and public utility property. In subsequent years, this ratio fell (reflecting the relative increase in real estate values), before starting to climb again in 2011. For the most recent year available (2013), aggregate personal property was valued at 40.8% of business real estate.</w:t>
      </w:r>
    </w:p>
    <w:p w14:paraId="22B86FC4" w14:textId="77777777" w:rsidR="00A0533B" w:rsidRDefault="00A0533B">
      <w:pPr>
        <w:rPr>
          <w:b/>
        </w:rPr>
      </w:pPr>
      <w:r>
        <w:rPr>
          <w:b/>
        </w:rPr>
        <w:br w:type="page"/>
      </w:r>
    </w:p>
    <w:p w14:paraId="4D9CC593" w14:textId="268AE7ED" w:rsidR="007D111B" w:rsidRPr="00BC127A" w:rsidRDefault="00A0533B">
      <w:pPr>
        <w:rPr>
          <w:rFonts w:ascii="Times New Roman" w:hAnsi="Times New Roman" w:cs="Times New Roman"/>
          <w:b/>
        </w:rPr>
      </w:pPr>
      <w:r w:rsidRPr="00BC127A">
        <w:rPr>
          <w:rFonts w:ascii="Times New Roman" w:hAnsi="Times New Roman" w:cs="Times New Roman"/>
          <w:b/>
        </w:rPr>
        <w:lastRenderedPageBreak/>
        <w:t>Figure 3</w:t>
      </w:r>
    </w:p>
    <w:p w14:paraId="12547026" w14:textId="221CE538" w:rsidR="007D111B" w:rsidRDefault="007D111B">
      <w:r>
        <w:rPr>
          <w:noProof/>
        </w:rPr>
        <w:drawing>
          <wp:inline distT="0" distB="0" distL="0" distR="0" wp14:anchorId="4992490B" wp14:editId="62F8AE42">
            <wp:extent cx="5217129" cy="3640771"/>
            <wp:effectExtent l="0" t="0" r="3175" b="1714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B7BB48C" w14:textId="53CA6AC0" w:rsidR="00B37C1B" w:rsidRPr="00A414F1" w:rsidRDefault="00B37C1B">
      <w:pPr>
        <w:rPr>
          <w:rFonts w:ascii="Times New Roman" w:hAnsi="Times New Roman" w:cs="Times New Roman"/>
        </w:rPr>
      </w:pPr>
      <w:r w:rsidRPr="00A414F1">
        <w:rPr>
          <w:rFonts w:ascii="Times New Roman" w:hAnsi="Times New Roman" w:cs="Times New Roman"/>
        </w:rPr>
        <w:t>Source: Calculations by the author</w:t>
      </w:r>
    </w:p>
    <w:p w14:paraId="5967805D" w14:textId="4DF920AE" w:rsidR="00E24D95" w:rsidRPr="00A414F1" w:rsidRDefault="00C92BE2" w:rsidP="00A414F1">
      <w:pPr>
        <w:jc w:val="both"/>
        <w:rPr>
          <w:rFonts w:ascii="Times New Roman" w:hAnsi="Times New Roman" w:cs="Times New Roman"/>
        </w:rPr>
      </w:pPr>
      <w:r w:rsidRPr="00A414F1">
        <w:rPr>
          <w:rFonts w:ascii="Times New Roman" w:hAnsi="Times New Roman" w:cs="Times New Roman"/>
        </w:rPr>
        <w:t>Given the current climate around taxes and tax policy i</w:t>
      </w:r>
      <w:r w:rsidR="00393800" w:rsidRPr="00A414F1">
        <w:rPr>
          <w:rFonts w:ascii="Times New Roman" w:hAnsi="Times New Roman" w:cs="Times New Roman"/>
        </w:rPr>
        <w:t>t would be reasonable to assume that seeking exemptions for</w:t>
      </w:r>
      <w:r w:rsidRPr="00A414F1">
        <w:rPr>
          <w:rFonts w:ascii="Times New Roman" w:hAnsi="Times New Roman" w:cs="Times New Roman"/>
        </w:rPr>
        <w:t xml:space="preserve"> personal property will be common</w:t>
      </w:r>
      <w:r w:rsidR="00393800" w:rsidRPr="00A414F1">
        <w:rPr>
          <w:rFonts w:ascii="Times New Roman" w:hAnsi="Times New Roman" w:cs="Times New Roman"/>
        </w:rPr>
        <w:t xml:space="preserve">.  </w:t>
      </w:r>
      <w:r w:rsidRPr="00A414F1">
        <w:rPr>
          <w:rFonts w:ascii="Times New Roman" w:hAnsi="Times New Roman" w:cs="Times New Roman"/>
        </w:rPr>
        <w:t>A quick review of the tax literature confi</w:t>
      </w:r>
      <w:r w:rsidR="008F3C54" w:rsidRPr="00A414F1">
        <w:rPr>
          <w:rFonts w:ascii="Times New Roman" w:hAnsi="Times New Roman" w:cs="Times New Roman"/>
        </w:rPr>
        <w:t xml:space="preserve">rms this trend. For example, </w:t>
      </w:r>
      <w:r w:rsidR="00832326" w:rsidRPr="00A414F1">
        <w:rPr>
          <w:rFonts w:ascii="Times New Roman" w:hAnsi="Times New Roman" w:cs="Times New Roman"/>
        </w:rPr>
        <w:t>Collins and Langl</w:t>
      </w:r>
      <w:r w:rsidR="00A0533B" w:rsidRPr="00A414F1">
        <w:rPr>
          <w:rFonts w:ascii="Times New Roman" w:hAnsi="Times New Roman" w:cs="Times New Roman"/>
        </w:rPr>
        <w:t>e</w:t>
      </w:r>
      <w:r w:rsidR="00832326" w:rsidRPr="00A414F1">
        <w:rPr>
          <w:rFonts w:ascii="Times New Roman" w:hAnsi="Times New Roman" w:cs="Times New Roman"/>
        </w:rPr>
        <w:t xml:space="preserve">y </w:t>
      </w:r>
      <w:r w:rsidR="00A414F1">
        <w:rPr>
          <w:rFonts w:ascii="Times New Roman" w:hAnsi="Times New Roman" w:cs="Times New Roman"/>
        </w:rPr>
        <w:fldChar w:fldCharType="begin"/>
      </w:r>
      <w:r w:rsidR="00A414F1">
        <w:rPr>
          <w:rFonts w:ascii="Times New Roman" w:hAnsi="Times New Roman" w:cs="Times New Roman"/>
        </w:rPr>
        <w:instrText xml:space="preserve"> ADDIN EN.CITE &lt;EndNote&gt;&lt;Cite ExcludeAuth="1"&gt;&lt;Author&gt;Collins&lt;/Author&gt;&lt;Year&gt;2014&lt;/Year&gt;&lt;RecNum&gt;25&lt;/RecNum&gt;&lt;DisplayText&gt;(2014)&lt;/DisplayText&gt;&lt;record&gt;&lt;rec-number&gt;25&lt;/rec-number&gt;&lt;foreign-keys&gt;&lt;key app="EN" db-id="efsrp25rfad5tverv0kv2ztwvdrzzzda2pwp" timestamp="1446587779"&gt;25&lt;/key&gt;&lt;/foreign-keys&gt;&lt;ref-type name="Journal Article"&gt;17&lt;/ref-type&gt;&lt;contributors&gt;&lt;authors&gt;&lt;author&gt;Collins, Catherine &lt;/author&gt;&lt;author&gt;Adam Langley&lt;/author&gt;&lt;/authors&gt;&lt;/contributors&gt;&lt;titles&gt;&lt;title&gt;Major Property Tax Developments in 2013: Special Report&lt;/title&gt;&lt;secondary-title&gt;State Tax Notes&lt;/secondary-title&gt;&lt;/titles&gt;&lt;periodical&gt;&lt;full-title&gt;State Tax Notes&lt;/full-title&gt;&lt;/periodical&gt;&lt;pages&gt;287-296&lt;/pages&gt;&lt;volume&gt;5&lt;/volume&gt;&lt;number&gt;May&lt;/number&gt;&lt;dates&gt;&lt;year&gt;2014&lt;/year&gt;&lt;/dates&gt;&lt;urls&gt;&lt;/urls&gt;&lt;/record&gt;&lt;/Cite&gt;&lt;/EndNote&gt;</w:instrText>
      </w:r>
      <w:r w:rsidR="00A414F1">
        <w:rPr>
          <w:rFonts w:ascii="Times New Roman" w:hAnsi="Times New Roman" w:cs="Times New Roman"/>
        </w:rPr>
        <w:fldChar w:fldCharType="separate"/>
      </w:r>
      <w:r w:rsidR="00A414F1">
        <w:rPr>
          <w:rFonts w:ascii="Times New Roman" w:hAnsi="Times New Roman" w:cs="Times New Roman"/>
          <w:noProof/>
        </w:rPr>
        <w:t>(2014)</w:t>
      </w:r>
      <w:r w:rsidR="00A414F1">
        <w:rPr>
          <w:rFonts w:ascii="Times New Roman" w:hAnsi="Times New Roman" w:cs="Times New Roman"/>
        </w:rPr>
        <w:fldChar w:fldCharType="end"/>
      </w:r>
      <w:r w:rsidR="00832326" w:rsidRPr="00A414F1">
        <w:rPr>
          <w:rFonts w:ascii="Times New Roman" w:hAnsi="Times New Roman" w:cs="Times New Roman"/>
        </w:rPr>
        <w:t xml:space="preserve"> report </w:t>
      </w:r>
      <w:r w:rsidRPr="00A414F1">
        <w:rPr>
          <w:rFonts w:ascii="Times New Roman" w:hAnsi="Times New Roman" w:cs="Times New Roman"/>
        </w:rPr>
        <w:t xml:space="preserve">that during 2013 three states </w:t>
      </w:r>
      <w:r w:rsidR="00832326" w:rsidRPr="00A414F1">
        <w:rPr>
          <w:rFonts w:ascii="Times New Roman" w:hAnsi="Times New Roman" w:cs="Times New Roman"/>
        </w:rPr>
        <w:t xml:space="preserve">adopted </w:t>
      </w:r>
      <w:r w:rsidR="00CE097A" w:rsidRPr="00A414F1">
        <w:rPr>
          <w:rFonts w:ascii="Times New Roman" w:hAnsi="Times New Roman" w:cs="Times New Roman"/>
        </w:rPr>
        <w:t xml:space="preserve">or expanded exemptions for personal property. Colorado </w:t>
      </w:r>
      <w:r w:rsidR="00393800" w:rsidRPr="00A414F1">
        <w:rPr>
          <w:rFonts w:ascii="Times New Roman" w:hAnsi="Times New Roman" w:cs="Times New Roman"/>
        </w:rPr>
        <w:t xml:space="preserve">now allows local governments to offer personal property exemptions to </w:t>
      </w:r>
      <w:r w:rsidRPr="00A414F1">
        <w:rPr>
          <w:rFonts w:ascii="Times New Roman" w:hAnsi="Times New Roman" w:cs="Times New Roman"/>
        </w:rPr>
        <w:t xml:space="preserve">firms </w:t>
      </w:r>
      <w:r w:rsidR="00393800" w:rsidRPr="00A414F1">
        <w:rPr>
          <w:rFonts w:ascii="Times New Roman" w:hAnsi="Times New Roman" w:cs="Times New Roman"/>
        </w:rPr>
        <w:t xml:space="preserve">if the local government is able to determine that a firm is considering </w:t>
      </w:r>
      <w:r w:rsidR="00CE15AC" w:rsidRPr="00A414F1">
        <w:rPr>
          <w:rFonts w:ascii="Times New Roman" w:hAnsi="Times New Roman" w:cs="Times New Roman"/>
        </w:rPr>
        <w:t>relocati</w:t>
      </w:r>
      <w:r w:rsidR="008F3C54" w:rsidRPr="00A414F1">
        <w:rPr>
          <w:rFonts w:ascii="Times New Roman" w:hAnsi="Times New Roman" w:cs="Times New Roman"/>
        </w:rPr>
        <w:t>ng</w:t>
      </w:r>
      <w:r w:rsidR="00CE15AC" w:rsidRPr="00A414F1">
        <w:rPr>
          <w:rFonts w:ascii="Times New Roman" w:hAnsi="Times New Roman" w:cs="Times New Roman"/>
        </w:rPr>
        <w:t xml:space="preserve"> to another </w:t>
      </w:r>
      <w:r w:rsidR="00CE097A" w:rsidRPr="00A414F1">
        <w:rPr>
          <w:rFonts w:ascii="Times New Roman" w:hAnsi="Times New Roman" w:cs="Times New Roman"/>
        </w:rPr>
        <w:t xml:space="preserve">state.  Utah expanded personal property taxes by </w:t>
      </w:r>
      <w:r w:rsidR="00A414F1">
        <w:rPr>
          <w:rFonts w:ascii="Times New Roman" w:hAnsi="Times New Roman" w:cs="Times New Roman"/>
        </w:rPr>
        <w:t>indexing existing exemption</w:t>
      </w:r>
      <w:r w:rsidR="00393800" w:rsidRPr="00A414F1">
        <w:rPr>
          <w:rFonts w:ascii="Times New Roman" w:hAnsi="Times New Roman" w:cs="Times New Roman"/>
        </w:rPr>
        <w:t xml:space="preserve"> </w:t>
      </w:r>
      <w:r w:rsidR="00CE097A" w:rsidRPr="00A414F1">
        <w:rPr>
          <w:rFonts w:ascii="Times New Roman" w:hAnsi="Times New Roman" w:cs="Times New Roman"/>
        </w:rPr>
        <w:t xml:space="preserve">brackets </w:t>
      </w:r>
      <w:r w:rsidR="00393800" w:rsidRPr="00A414F1">
        <w:rPr>
          <w:rFonts w:ascii="Times New Roman" w:hAnsi="Times New Roman" w:cs="Times New Roman"/>
        </w:rPr>
        <w:t xml:space="preserve">to account for changes in the price index. </w:t>
      </w:r>
      <w:r w:rsidR="00CE097A" w:rsidRPr="00A414F1">
        <w:rPr>
          <w:rFonts w:ascii="Times New Roman" w:hAnsi="Times New Roman" w:cs="Times New Roman"/>
        </w:rPr>
        <w:t xml:space="preserve">Idaho allows the exemption of property costing less than $3,000.  </w:t>
      </w:r>
      <w:r w:rsidRPr="00A414F1">
        <w:rPr>
          <w:rFonts w:ascii="Times New Roman" w:hAnsi="Times New Roman" w:cs="Times New Roman"/>
        </w:rPr>
        <w:t>Collins and Langl</w:t>
      </w:r>
      <w:r w:rsidR="00A0533B" w:rsidRPr="00A414F1">
        <w:rPr>
          <w:rFonts w:ascii="Times New Roman" w:hAnsi="Times New Roman" w:cs="Times New Roman"/>
        </w:rPr>
        <w:t>e</w:t>
      </w:r>
      <w:r w:rsidRPr="00A414F1">
        <w:rPr>
          <w:rFonts w:ascii="Times New Roman" w:hAnsi="Times New Roman" w:cs="Times New Roman"/>
        </w:rPr>
        <w:t xml:space="preserve">y suggest the Idaho legislation </w:t>
      </w:r>
      <w:r w:rsidR="00CE097A" w:rsidRPr="00A414F1">
        <w:rPr>
          <w:rFonts w:ascii="Times New Roman" w:hAnsi="Times New Roman" w:cs="Times New Roman"/>
        </w:rPr>
        <w:t xml:space="preserve">will remove the personal property tax from most business firms in Idaho.  The new law is expected to reduce total revenues by $20 million and the state pledged to replace the revenue lost by local governments by adjusting the sales tax distribution formula.  </w:t>
      </w:r>
    </w:p>
    <w:p w14:paraId="72B445BA" w14:textId="23B86279" w:rsidR="00CE097A" w:rsidRPr="00A414F1" w:rsidRDefault="00C92BE2" w:rsidP="00A414F1">
      <w:pPr>
        <w:jc w:val="both"/>
        <w:rPr>
          <w:rFonts w:ascii="Times New Roman" w:hAnsi="Times New Roman" w:cs="Times New Roman"/>
        </w:rPr>
      </w:pPr>
      <w:r w:rsidRPr="00A414F1">
        <w:rPr>
          <w:rFonts w:ascii="Times New Roman" w:hAnsi="Times New Roman" w:cs="Times New Roman"/>
        </w:rPr>
        <w:t xml:space="preserve">The </w:t>
      </w:r>
      <w:r w:rsidR="00CE097A" w:rsidRPr="00A414F1">
        <w:rPr>
          <w:rFonts w:ascii="Times New Roman" w:hAnsi="Times New Roman" w:cs="Times New Roman"/>
        </w:rPr>
        <w:t xml:space="preserve">program adopted in Idaho illustrates the problem of reducing or eliminating personal property from the tax base.  Virtually every dollar of revenue from the personal property tax </w:t>
      </w:r>
      <w:r w:rsidR="00B378BA" w:rsidRPr="00A414F1">
        <w:rPr>
          <w:rFonts w:ascii="Times New Roman" w:hAnsi="Times New Roman" w:cs="Times New Roman"/>
        </w:rPr>
        <w:t xml:space="preserve">goes to local governments </w:t>
      </w:r>
      <w:r w:rsidRPr="00A414F1">
        <w:rPr>
          <w:rFonts w:ascii="Times New Roman" w:hAnsi="Times New Roman" w:cs="Times New Roman"/>
        </w:rPr>
        <w:t xml:space="preserve">and if a state decides to eliminate or reduce the personal property tax it is local governments that feel the effects of the decision.  </w:t>
      </w:r>
      <w:r w:rsidR="00852A70" w:rsidRPr="00A414F1">
        <w:rPr>
          <w:rFonts w:ascii="Times New Roman" w:hAnsi="Times New Roman" w:cs="Times New Roman"/>
        </w:rPr>
        <w:t xml:space="preserve">The response to a loss in revenue can take the approach adopted in Idaho and simply transfer state funds to local governments. The term “simply transfer” ignores the complexity of intergovernmental fiscal transfers because such </w:t>
      </w:r>
      <w:r w:rsidR="002660E2">
        <w:rPr>
          <w:rFonts w:ascii="Times New Roman" w:hAnsi="Times New Roman" w:cs="Times New Roman"/>
        </w:rPr>
        <w:t>actions are rarely simple.  An</w:t>
      </w:r>
      <w:r w:rsidR="00852A70" w:rsidRPr="00A414F1">
        <w:rPr>
          <w:rFonts w:ascii="Times New Roman" w:hAnsi="Times New Roman" w:cs="Times New Roman"/>
        </w:rPr>
        <w:t>other approach is to cut services that were previously funded by the revenue from th</w:t>
      </w:r>
      <w:r w:rsidR="00D84222" w:rsidRPr="00A414F1">
        <w:rPr>
          <w:rFonts w:ascii="Times New Roman" w:hAnsi="Times New Roman" w:cs="Times New Roman"/>
        </w:rPr>
        <w:t>e personal property tax.  This is</w:t>
      </w:r>
      <w:r w:rsidR="00852A70" w:rsidRPr="00A414F1">
        <w:rPr>
          <w:rFonts w:ascii="Times New Roman" w:hAnsi="Times New Roman" w:cs="Times New Roman"/>
        </w:rPr>
        <w:t xml:space="preserve"> also one of those policy responses that is never simple.  The third approach is for the government that is </w:t>
      </w:r>
      <w:r w:rsidR="002660E2">
        <w:rPr>
          <w:rFonts w:ascii="Times New Roman" w:hAnsi="Times New Roman" w:cs="Times New Roman"/>
        </w:rPr>
        <w:t>losing</w:t>
      </w:r>
      <w:r w:rsidR="00852A70" w:rsidRPr="00A414F1">
        <w:rPr>
          <w:rFonts w:ascii="Times New Roman" w:hAnsi="Times New Roman" w:cs="Times New Roman"/>
        </w:rPr>
        <w:t xml:space="preserve"> revenue to adjust tax rates upward on </w:t>
      </w:r>
      <w:r w:rsidR="002660E2">
        <w:rPr>
          <w:rFonts w:ascii="Times New Roman" w:hAnsi="Times New Roman" w:cs="Times New Roman"/>
        </w:rPr>
        <w:t>the remaining</w:t>
      </w:r>
      <w:r w:rsidR="00852A70" w:rsidRPr="00A414F1">
        <w:rPr>
          <w:rFonts w:ascii="Times New Roman" w:hAnsi="Times New Roman" w:cs="Times New Roman"/>
        </w:rPr>
        <w:t xml:space="preserve"> tax bases. As with the previous two solutions to foregone revenue</w:t>
      </w:r>
      <w:r w:rsidR="00C04BAF" w:rsidRPr="00A414F1">
        <w:rPr>
          <w:rFonts w:ascii="Times New Roman" w:hAnsi="Times New Roman" w:cs="Times New Roman"/>
        </w:rPr>
        <w:t>,</w:t>
      </w:r>
      <w:r w:rsidR="00852A70" w:rsidRPr="00A414F1">
        <w:rPr>
          <w:rFonts w:ascii="Times New Roman" w:hAnsi="Times New Roman" w:cs="Times New Roman"/>
        </w:rPr>
        <w:t xml:space="preserve"> adjusting tax rates is fraught with significant challenges.  For the loss of revenue </w:t>
      </w:r>
      <w:r w:rsidRPr="00A414F1">
        <w:rPr>
          <w:rFonts w:ascii="Times New Roman" w:hAnsi="Times New Roman" w:cs="Times New Roman"/>
        </w:rPr>
        <w:t xml:space="preserve">alone any decision around the personal property tax requires a careful and thoughtful policy review.  </w:t>
      </w:r>
    </w:p>
    <w:p w14:paraId="0852FC78" w14:textId="1F60C9A8" w:rsidR="008F3C54" w:rsidRDefault="00A0533B" w:rsidP="002660E2">
      <w:pPr>
        <w:jc w:val="both"/>
        <w:rPr>
          <w:rFonts w:ascii="Times New Roman" w:hAnsi="Times New Roman" w:cs="Times New Roman"/>
        </w:rPr>
      </w:pPr>
      <w:r w:rsidRPr="002660E2">
        <w:rPr>
          <w:rFonts w:ascii="Times New Roman" w:hAnsi="Times New Roman" w:cs="Times New Roman"/>
        </w:rPr>
        <w:lastRenderedPageBreak/>
        <w:t>Exemptions to</w:t>
      </w:r>
      <w:r w:rsidR="008F3C54" w:rsidRPr="002660E2">
        <w:rPr>
          <w:rFonts w:ascii="Times New Roman" w:hAnsi="Times New Roman" w:cs="Times New Roman"/>
        </w:rPr>
        <w:t xml:space="preserve"> Connecticut’s </w:t>
      </w:r>
      <w:r w:rsidRPr="002660E2">
        <w:rPr>
          <w:rFonts w:ascii="Times New Roman" w:hAnsi="Times New Roman" w:cs="Times New Roman"/>
        </w:rPr>
        <w:t>personal property tax</w:t>
      </w:r>
      <w:r w:rsidR="008F3C54" w:rsidRPr="002660E2">
        <w:rPr>
          <w:rFonts w:ascii="Times New Roman" w:hAnsi="Times New Roman" w:cs="Times New Roman"/>
        </w:rPr>
        <w:t xml:space="preserve"> have leveled off in the past several years after climbing significantly for sever</w:t>
      </w:r>
      <w:r w:rsidRPr="002660E2">
        <w:rPr>
          <w:rFonts w:ascii="Times New Roman" w:hAnsi="Times New Roman" w:cs="Times New Roman"/>
        </w:rPr>
        <w:t>al year</w:t>
      </w:r>
      <w:r w:rsidR="00C04BAF" w:rsidRPr="002660E2">
        <w:rPr>
          <w:rFonts w:ascii="Times New Roman" w:hAnsi="Times New Roman" w:cs="Times New Roman"/>
        </w:rPr>
        <w:t>s</w:t>
      </w:r>
      <w:r w:rsidRPr="002660E2">
        <w:rPr>
          <w:rFonts w:ascii="Times New Roman" w:hAnsi="Times New Roman" w:cs="Times New Roman"/>
        </w:rPr>
        <w:t xml:space="preserve"> running. Figure 4</w:t>
      </w:r>
      <w:r w:rsidR="008F3C54" w:rsidRPr="002660E2">
        <w:rPr>
          <w:rFonts w:ascii="Times New Roman" w:hAnsi="Times New Roman" w:cs="Times New Roman"/>
        </w:rPr>
        <w:t xml:space="preserve"> reports on the total personal property exemptions granted across the state as a percentage of the personal property base. </w:t>
      </w:r>
      <w:r w:rsidR="00FF1F12" w:rsidRPr="002660E2">
        <w:rPr>
          <w:rFonts w:ascii="Times New Roman" w:hAnsi="Times New Roman" w:cs="Times New Roman"/>
        </w:rPr>
        <w:t>Noteworthy was Connecticut’s decision to exempt certain manufacturing machinery and equipment beginning in 2007. But that only continued a trend that had started some years before.</w:t>
      </w:r>
      <w:r w:rsidR="0058378E">
        <w:rPr>
          <w:rFonts w:ascii="Times New Roman" w:hAnsi="Times New Roman" w:cs="Times New Roman"/>
        </w:rPr>
        <w:t xml:space="preserve"> Other exemptions to business personal property include:</w:t>
      </w:r>
    </w:p>
    <w:p w14:paraId="5720C635" w14:textId="6BA2BCFC" w:rsidR="0058378E" w:rsidRPr="0058378E" w:rsidRDefault="0058378E" w:rsidP="0058378E">
      <w:pPr>
        <w:pStyle w:val="ListParagraph"/>
        <w:numPr>
          <w:ilvl w:val="0"/>
          <w:numId w:val="16"/>
        </w:numPr>
        <w:jc w:val="both"/>
        <w:rPr>
          <w:rFonts w:ascii="Times New Roman" w:hAnsi="Times New Roman" w:cs="Times New Roman"/>
        </w:rPr>
      </w:pPr>
      <w:r w:rsidRPr="0058378E">
        <w:rPr>
          <w:rFonts w:ascii="Times New Roman" w:hAnsi="Times New Roman" w:cs="Times New Roman"/>
        </w:rPr>
        <w:t xml:space="preserve">Inventory </w:t>
      </w:r>
      <w:r>
        <w:rPr>
          <w:rFonts w:ascii="Times New Roman" w:hAnsi="Times New Roman" w:cs="Times New Roman"/>
        </w:rPr>
        <w:t>[</w:t>
      </w:r>
      <w:r w:rsidRPr="0058378E">
        <w:rPr>
          <w:rFonts w:ascii="Times New Roman" w:hAnsi="Times New Roman" w:cs="Times New Roman"/>
        </w:rPr>
        <w:t>CGS § 12-81(50), (54)</w:t>
      </w:r>
      <w:r>
        <w:rPr>
          <w:rFonts w:ascii="Times New Roman" w:hAnsi="Times New Roman" w:cs="Times New Roman"/>
        </w:rPr>
        <w:t>]</w:t>
      </w:r>
    </w:p>
    <w:p w14:paraId="3B49D03C" w14:textId="21D8970D" w:rsidR="0058378E" w:rsidRDefault="0058378E" w:rsidP="00420E1D">
      <w:pPr>
        <w:pStyle w:val="ListParagraph"/>
        <w:numPr>
          <w:ilvl w:val="0"/>
          <w:numId w:val="16"/>
        </w:numPr>
        <w:jc w:val="both"/>
        <w:rPr>
          <w:rFonts w:ascii="Times New Roman" w:hAnsi="Times New Roman" w:cs="Times New Roman"/>
        </w:rPr>
      </w:pPr>
      <w:r w:rsidRPr="0058378E">
        <w:rPr>
          <w:rFonts w:ascii="Times New Roman" w:hAnsi="Times New Roman" w:cs="Times New Roman"/>
        </w:rPr>
        <w:t xml:space="preserve">Manufacturing machinery and equipment, including machinery and equipment used in biotechnology </w:t>
      </w:r>
      <w:r>
        <w:rPr>
          <w:rFonts w:ascii="Times New Roman" w:hAnsi="Times New Roman" w:cs="Times New Roman"/>
        </w:rPr>
        <w:t>[</w:t>
      </w:r>
      <w:r w:rsidRPr="0058378E">
        <w:rPr>
          <w:rFonts w:ascii="Times New Roman" w:hAnsi="Times New Roman" w:cs="Times New Roman"/>
        </w:rPr>
        <w:t>CGS § 1</w:t>
      </w:r>
      <w:r>
        <w:rPr>
          <w:rFonts w:ascii="Times New Roman" w:hAnsi="Times New Roman" w:cs="Times New Roman"/>
        </w:rPr>
        <w:t>2-81</w:t>
      </w:r>
      <w:r w:rsidR="00F223EA">
        <w:rPr>
          <w:rFonts w:ascii="Times New Roman" w:hAnsi="Times New Roman" w:cs="Times New Roman"/>
        </w:rPr>
        <w:t xml:space="preserve"> (72), </w:t>
      </w:r>
      <w:r>
        <w:rPr>
          <w:rFonts w:ascii="Times New Roman" w:hAnsi="Times New Roman" w:cs="Times New Roman"/>
        </w:rPr>
        <w:t>(76)]</w:t>
      </w:r>
    </w:p>
    <w:p w14:paraId="61F459D3" w14:textId="1691E465" w:rsidR="0058378E" w:rsidRPr="0058378E" w:rsidRDefault="0058378E" w:rsidP="00420E1D">
      <w:pPr>
        <w:pStyle w:val="ListParagraph"/>
        <w:numPr>
          <w:ilvl w:val="0"/>
          <w:numId w:val="16"/>
        </w:numPr>
        <w:jc w:val="both"/>
        <w:rPr>
          <w:rFonts w:ascii="Times New Roman" w:hAnsi="Times New Roman" w:cs="Times New Roman"/>
        </w:rPr>
      </w:pPr>
      <w:r w:rsidRPr="0058378E">
        <w:rPr>
          <w:rFonts w:ascii="Times New Roman" w:hAnsi="Times New Roman" w:cs="Times New Roman"/>
        </w:rPr>
        <w:t xml:space="preserve">New machinery and equipment used in upgrading a manufacturing facility in a qualified distressed municipality, targeted investment community, or enterprise zone </w:t>
      </w:r>
      <w:r>
        <w:rPr>
          <w:rFonts w:ascii="Times New Roman" w:hAnsi="Times New Roman" w:cs="Times New Roman"/>
        </w:rPr>
        <w:t>[</w:t>
      </w:r>
      <w:r w:rsidRPr="0058378E">
        <w:rPr>
          <w:rFonts w:ascii="Times New Roman" w:hAnsi="Times New Roman" w:cs="Times New Roman"/>
        </w:rPr>
        <w:t>CGS § 12-81(70)</w:t>
      </w:r>
      <w:r>
        <w:rPr>
          <w:rFonts w:ascii="Times New Roman" w:hAnsi="Times New Roman" w:cs="Times New Roman"/>
        </w:rPr>
        <w:t>]</w:t>
      </w:r>
    </w:p>
    <w:p w14:paraId="01067A77" w14:textId="68CEED5C" w:rsidR="0058378E" w:rsidRPr="00F223EA" w:rsidRDefault="0058378E" w:rsidP="00420E1D">
      <w:pPr>
        <w:pStyle w:val="ListParagraph"/>
        <w:numPr>
          <w:ilvl w:val="0"/>
          <w:numId w:val="16"/>
        </w:numPr>
        <w:jc w:val="both"/>
        <w:rPr>
          <w:rFonts w:ascii="Times New Roman" w:hAnsi="Times New Roman" w:cs="Times New Roman"/>
        </w:rPr>
      </w:pPr>
      <w:r w:rsidRPr="00F223EA">
        <w:rPr>
          <w:rFonts w:ascii="Times New Roman" w:hAnsi="Times New Roman" w:cs="Times New Roman"/>
        </w:rPr>
        <w:t>Municipalities may abate taxes for information technology personal property and real and</w:t>
      </w:r>
      <w:r w:rsidR="00F223EA" w:rsidRPr="00F223EA">
        <w:rPr>
          <w:rFonts w:ascii="Times New Roman" w:hAnsi="Times New Roman" w:cs="Times New Roman"/>
        </w:rPr>
        <w:t xml:space="preserve"> </w:t>
      </w:r>
      <w:r w:rsidRPr="00F223EA">
        <w:rPr>
          <w:rFonts w:ascii="Times New Roman" w:hAnsi="Times New Roman" w:cs="Times New Roman"/>
        </w:rPr>
        <w:t>personal property of</w:t>
      </w:r>
      <w:r w:rsidR="00F223EA" w:rsidRPr="00F223EA">
        <w:rPr>
          <w:rFonts w:ascii="Times New Roman" w:hAnsi="Times New Roman" w:cs="Times New Roman"/>
        </w:rPr>
        <w:t xml:space="preserve"> a communications establishment</w:t>
      </w:r>
      <w:r w:rsidRPr="00F223EA">
        <w:rPr>
          <w:rFonts w:ascii="Times New Roman" w:hAnsi="Times New Roman" w:cs="Times New Roman"/>
        </w:rPr>
        <w:t xml:space="preserve"> </w:t>
      </w:r>
      <w:r w:rsidR="00F223EA" w:rsidRPr="00F223EA">
        <w:rPr>
          <w:rFonts w:ascii="Times New Roman" w:hAnsi="Times New Roman" w:cs="Times New Roman"/>
        </w:rPr>
        <w:t>[CGS</w:t>
      </w:r>
      <w:r w:rsidRPr="00F223EA">
        <w:rPr>
          <w:rFonts w:ascii="Times New Roman" w:hAnsi="Times New Roman" w:cs="Times New Roman"/>
        </w:rPr>
        <w:t xml:space="preserve"> § 12-81t to 12-</w:t>
      </w:r>
      <w:r w:rsidR="00F223EA">
        <w:rPr>
          <w:rFonts w:ascii="Times New Roman" w:hAnsi="Times New Roman" w:cs="Times New Roman"/>
        </w:rPr>
        <w:t>81u]</w:t>
      </w:r>
    </w:p>
    <w:p w14:paraId="2BB468D0" w14:textId="3836E3CA" w:rsidR="008F3C54" w:rsidRPr="002660E2" w:rsidRDefault="00A0533B">
      <w:pPr>
        <w:rPr>
          <w:rFonts w:ascii="Times New Roman" w:hAnsi="Times New Roman" w:cs="Times New Roman"/>
          <w:b/>
        </w:rPr>
      </w:pPr>
      <w:r w:rsidRPr="002660E2">
        <w:rPr>
          <w:rFonts w:ascii="Times New Roman" w:hAnsi="Times New Roman" w:cs="Times New Roman"/>
          <w:b/>
        </w:rPr>
        <w:t>Figure 4</w:t>
      </w:r>
    </w:p>
    <w:p w14:paraId="1885A54A" w14:textId="744E32F6" w:rsidR="008F3C54" w:rsidRPr="00D77A48" w:rsidRDefault="008F3C54">
      <w:r>
        <w:rPr>
          <w:noProof/>
        </w:rPr>
        <w:drawing>
          <wp:inline distT="0" distB="0" distL="0" distR="0" wp14:anchorId="7705FD87" wp14:editId="18919224">
            <wp:extent cx="5233958" cy="3792235"/>
            <wp:effectExtent l="0" t="0" r="5080" b="1778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7F926D2" w14:textId="58F7EB3A" w:rsidR="00C215CA" w:rsidRPr="002660E2" w:rsidRDefault="00C215CA" w:rsidP="00C215CA">
      <w:pPr>
        <w:rPr>
          <w:rFonts w:ascii="Times New Roman" w:hAnsi="Times New Roman" w:cs="Times New Roman"/>
          <w:sz w:val="20"/>
        </w:rPr>
      </w:pPr>
      <w:r w:rsidRPr="002660E2">
        <w:rPr>
          <w:rFonts w:ascii="Times New Roman" w:hAnsi="Times New Roman" w:cs="Times New Roman"/>
          <w:sz w:val="20"/>
        </w:rPr>
        <w:t>Source: O</w:t>
      </w:r>
      <w:r w:rsidR="002660E2" w:rsidRPr="002660E2">
        <w:rPr>
          <w:rFonts w:ascii="Times New Roman" w:hAnsi="Times New Roman" w:cs="Times New Roman"/>
          <w:sz w:val="20"/>
        </w:rPr>
        <w:t>ffice of Policy and Management, Grand Lists by Town</w:t>
      </w:r>
      <w:r w:rsidRPr="002660E2">
        <w:rPr>
          <w:rFonts w:ascii="Times New Roman" w:hAnsi="Times New Roman" w:cs="Times New Roman"/>
          <w:sz w:val="20"/>
        </w:rPr>
        <w:t xml:space="preserve"> for the years shown and calculations by the author </w:t>
      </w:r>
    </w:p>
    <w:p w14:paraId="3D3AF8AD" w14:textId="1A62EA87" w:rsidR="00FF1F12" w:rsidRPr="00F223EA" w:rsidRDefault="00FF1F12" w:rsidP="00FF1F12">
      <w:pPr>
        <w:pStyle w:val="Heading3"/>
        <w:rPr>
          <w:rFonts w:ascii="Times New Roman" w:hAnsi="Times New Roman" w:cs="Times New Roman"/>
        </w:rPr>
      </w:pPr>
      <w:bookmarkStart w:id="5" w:name="_Toc434358300"/>
      <w:r w:rsidRPr="00F223EA">
        <w:rPr>
          <w:rFonts w:ascii="Times New Roman" w:hAnsi="Times New Roman" w:cs="Times New Roman"/>
        </w:rPr>
        <w:t>Administration</w:t>
      </w:r>
      <w:bookmarkEnd w:id="5"/>
    </w:p>
    <w:p w14:paraId="5F2B362F" w14:textId="656631BE" w:rsidR="00692574" w:rsidRPr="00F223EA" w:rsidRDefault="00C92BE2" w:rsidP="00F223EA">
      <w:pPr>
        <w:jc w:val="both"/>
        <w:rPr>
          <w:rFonts w:ascii="Times New Roman" w:hAnsi="Times New Roman" w:cs="Times New Roman"/>
        </w:rPr>
      </w:pPr>
      <w:r w:rsidRPr="00F223EA">
        <w:rPr>
          <w:rFonts w:ascii="Times New Roman" w:hAnsi="Times New Roman" w:cs="Times New Roman"/>
        </w:rPr>
        <w:t>Revenue significance notwithstanding</w:t>
      </w:r>
      <w:r w:rsidR="00C04BAF" w:rsidRPr="00F223EA">
        <w:rPr>
          <w:rFonts w:ascii="Times New Roman" w:hAnsi="Times New Roman" w:cs="Times New Roman"/>
        </w:rPr>
        <w:t>,</w:t>
      </w:r>
      <w:r w:rsidRPr="00F223EA">
        <w:rPr>
          <w:rFonts w:ascii="Times New Roman" w:hAnsi="Times New Roman" w:cs="Times New Roman"/>
        </w:rPr>
        <w:t xml:space="preserve"> the personal property tax is accompanied by some inherent challenges. </w:t>
      </w:r>
      <w:r w:rsidR="00852A70" w:rsidRPr="00F223EA">
        <w:rPr>
          <w:rFonts w:ascii="Times New Roman" w:hAnsi="Times New Roman" w:cs="Times New Roman"/>
        </w:rPr>
        <w:t xml:space="preserve"> </w:t>
      </w:r>
      <w:r w:rsidR="00692574" w:rsidRPr="00F223EA">
        <w:rPr>
          <w:rFonts w:ascii="Times New Roman" w:hAnsi="Times New Roman" w:cs="Times New Roman"/>
        </w:rPr>
        <w:t>The first challenge when taxing personal property is developing and implementing an administrative process that treats taxpayers in a fair and transparent manner.  This requires an administrative process that results in an acceptable degree of certainty</w:t>
      </w:r>
      <w:r w:rsidR="00D07DAA" w:rsidRPr="00F223EA">
        <w:rPr>
          <w:rFonts w:ascii="Times New Roman" w:hAnsi="Times New Roman" w:cs="Times New Roman"/>
        </w:rPr>
        <w:t>,</w:t>
      </w:r>
      <w:r w:rsidR="00692574" w:rsidRPr="00F223EA">
        <w:rPr>
          <w:rFonts w:ascii="Times New Roman" w:hAnsi="Times New Roman" w:cs="Times New Roman"/>
        </w:rPr>
        <w:t xml:space="preserve"> allows a taxpayer to identify what is being taxed and also understand the valuation used to determine the taxes due on the subject property.   For real property the administrative challenges are relatively easy to resolve.  Business owners or homeowners can easily relate to the property that is being taxed and with modest effort understand </w:t>
      </w:r>
      <w:r w:rsidR="00C04BAF" w:rsidRPr="00F223EA">
        <w:rPr>
          <w:rFonts w:ascii="Times New Roman" w:hAnsi="Times New Roman" w:cs="Times New Roman"/>
        </w:rPr>
        <w:t xml:space="preserve">how the value of the taxable </w:t>
      </w:r>
      <w:r w:rsidR="00692574" w:rsidRPr="00F223EA">
        <w:rPr>
          <w:rFonts w:ascii="Times New Roman" w:hAnsi="Times New Roman" w:cs="Times New Roman"/>
        </w:rPr>
        <w:lastRenderedPageBreak/>
        <w:t xml:space="preserve">property is established.  Likewise it is relatively easy for tax administrators to discover and value the real property of business and residential homes.  </w:t>
      </w:r>
    </w:p>
    <w:p w14:paraId="1DD96A03" w14:textId="77777777" w:rsidR="002A77EF" w:rsidRDefault="00692574" w:rsidP="00F223EA">
      <w:pPr>
        <w:jc w:val="both"/>
      </w:pPr>
      <w:r w:rsidRPr="00F223EA">
        <w:rPr>
          <w:rFonts w:ascii="Times New Roman" w:hAnsi="Times New Roman" w:cs="Times New Roman"/>
        </w:rPr>
        <w:t xml:space="preserve">The converse is true for personal property.  Personal property is difficult to </w:t>
      </w:r>
      <w:r w:rsidR="00EE02AF" w:rsidRPr="00F223EA">
        <w:rPr>
          <w:rFonts w:ascii="Times New Roman" w:hAnsi="Times New Roman" w:cs="Times New Roman"/>
        </w:rPr>
        <w:t>adm</w:t>
      </w:r>
      <w:r w:rsidR="00D07DAA" w:rsidRPr="00F223EA">
        <w:rPr>
          <w:rFonts w:ascii="Times New Roman" w:hAnsi="Times New Roman" w:cs="Times New Roman"/>
        </w:rPr>
        <w:t>inister because of challenges in</w:t>
      </w:r>
      <w:r w:rsidR="00EE02AF" w:rsidRPr="00F223EA">
        <w:rPr>
          <w:rFonts w:ascii="Times New Roman" w:hAnsi="Times New Roman" w:cs="Times New Roman"/>
        </w:rPr>
        <w:t xml:space="preserve"> identify</w:t>
      </w:r>
      <w:r w:rsidR="00D07DAA" w:rsidRPr="00F223EA">
        <w:rPr>
          <w:rFonts w:ascii="Times New Roman" w:hAnsi="Times New Roman" w:cs="Times New Roman"/>
        </w:rPr>
        <w:t>ing personal property, valuing</w:t>
      </w:r>
      <w:r w:rsidR="00EE02AF" w:rsidRPr="00F223EA">
        <w:rPr>
          <w:rFonts w:ascii="Times New Roman" w:hAnsi="Times New Roman" w:cs="Times New Roman"/>
        </w:rPr>
        <w:t xml:space="preserve"> </w:t>
      </w:r>
      <w:r w:rsidR="00D07DAA" w:rsidRPr="00F223EA">
        <w:rPr>
          <w:rFonts w:ascii="Times New Roman" w:hAnsi="Times New Roman" w:cs="Times New Roman"/>
        </w:rPr>
        <w:t>the</w:t>
      </w:r>
      <w:r w:rsidR="00EE02AF" w:rsidRPr="00F223EA">
        <w:rPr>
          <w:rFonts w:ascii="Times New Roman" w:hAnsi="Times New Roman" w:cs="Times New Roman"/>
        </w:rPr>
        <w:t xml:space="preserve"> property for tax purposes, and audit</w:t>
      </w:r>
      <w:r w:rsidR="00D07DAA" w:rsidRPr="00F223EA">
        <w:rPr>
          <w:rFonts w:ascii="Times New Roman" w:hAnsi="Times New Roman" w:cs="Times New Roman"/>
        </w:rPr>
        <w:t>ing establishments for</w:t>
      </w:r>
      <w:r w:rsidR="00EE02AF" w:rsidRPr="00F223EA">
        <w:rPr>
          <w:rFonts w:ascii="Times New Roman" w:hAnsi="Times New Roman" w:cs="Times New Roman"/>
        </w:rPr>
        <w:t xml:space="preserve"> personal property to insure compliance</w:t>
      </w:r>
      <w:r w:rsidR="00EE02AF" w:rsidRPr="00D77A48">
        <w:t xml:space="preserve">. </w:t>
      </w:r>
    </w:p>
    <w:p w14:paraId="0672D113" w14:textId="31412E46" w:rsidR="002A77EF" w:rsidRPr="00F223EA" w:rsidRDefault="002A77EF" w:rsidP="002A77EF">
      <w:pPr>
        <w:pStyle w:val="Heading4"/>
        <w:rPr>
          <w:rFonts w:ascii="Times New Roman" w:hAnsi="Times New Roman" w:cs="Times New Roman"/>
        </w:rPr>
      </w:pPr>
      <w:r w:rsidRPr="00F223EA">
        <w:rPr>
          <w:rFonts w:ascii="Times New Roman" w:hAnsi="Times New Roman" w:cs="Times New Roman"/>
        </w:rPr>
        <w:t>Issues with the cost approach</w:t>
      </w:r>
    </w:p>
    <w:p w14:paraId="53CA70B7" w14:textId="2D4BE77E" w:rsidR="00AF17A5" w:rsidRPr="00F223EA" w:rsidRDefault="002A77EF" w:rsidP="00F223EA">
      <w:pPr>
        <w:jc w:val="both"/>
        <w:rPr>
          <w:rFonts w:ascii="Times New Roman" w:hAnsi="Times New Roman" w:cs="Times New Roman"/>
        </w:rPr>
      </w:pPr>
      <w:r w:rsidRPr="00F223EA">
        <w:rPr>
          <w:rFonts w:ascii="Times New Roman" w:hAnsi="Times New Roman" w:cs="Times New Roman"/>
        </w:rPr>
        <w:t xml:space="preserve">When valued separately from real property, personal property is generally valued using the property’s acquisition cost less depreciation. This historical cost less depreciation </w:t>
      </w:r>
      <w:r w:rsidR="00C04BAF" w:rsidRPr="00F223EA">
        <w:rPr>
          <w:rFonts w:ascii="Times New Roman" w:hAnsi="Times New Roman" w:cs="Times New Roman"/>
        </w:rPr>
        <w:t xml:space="preserve">approach </w:t>
      </w:r>
      <w:r w:rsidRPr="00F223EA">
        <w:rPr>
          <w:rFonts w:ascii="Times New Roman" w:hAnsi="Times New Roman" w:cs="Times New Roman"/>
        </w:rPr>
        <w:t xml:space="preserve">is used in Connecticut as well. But it is not the only version of a cost approach that can be used. For example, assets could be valued based on what it would cost to reproduce the asset. This is essentially what Connecticut tries to do with the current car tax based on current </w:t>
      </w:r>
      <w:r w:rsidR="00F223EA" w:rsidRPr="00F223EA">
        <w:rPr>
          <w:rFonts w:ascii="Times New Roman" w:hAnsi="Times New Roman" w:cs="Times New Roman"/>
        </w:rPr>
        <w:t xml:space="preserve">average </w:t>
      </w:r>
      <w:r w:rsidRPr="00F223EA">
        <w:rPr>
          <w:rFonts w:ascii="Times New Roman" w:hAnsi="Times New Roman" w:cs="Times New Roman"/>
        </w:rPr>
        <w:t xml:space="preserve">market values. </w:t>
      </w:r>
    </w:p>
    <w:p w14:paraId="2C990028" w14:textId="1963D479" w:rsidR="002A77EF" w:rsidRPr="00F223EA" w:rsidRDefault="002A77EF" w:rsidP="00F223EA">
      <w:pPr>
        <w:jc w:val="both"/>
        <w:rPr>
          <w:rFonts w:ascii="Times New Roman" w:hAnsi="Times New Roman" w:cs="Times New Roman"/>
        </w:rPr>
      </w:pPr>
      <w:r w:rsidRPr="00F223EA">
        <w:rPr>
          <w:rFonts w:ascii="Times New Roman" w:hAnsi="Times New Roman" w:cs="Times New Roman"/>
        </w:rPr>
        <w:t xml:space="preserve">But neither of these variations on the cost approach reflect how market actors would evaluate an asset. Most firms would evaluate what it would cost to replace the functionality provided by the asset. The classic example often used is the value of a 2-year old computer. </w:t>
      </w:r>
      <w:r w:rsidR="00AF17A5" w:rsidRPr="00F223EA">
        <w:rPr>
          <w:rFonts w:ascii="Times New Roman" w:hAnsi="Times New Roman" w:cs="Times New Roman"/>
        </w:rPr>
        <w:t xml:space="preserve">In valuing such a machine, firms would consider the cost of replacing the functionality provide by the computer. New technology may mean that the same function can be obtained at a lower cost. The historical cost of the computer or the cost of reproducing the same machine would be of little interest. </w:t>
      </w:r>
    </w:p>
    <w:p w14:paraId="4480B9C7" w14:textId="1B76CA77" w:rsidR="00AF17A5" w:rsidRPr="00F223EA" w:rsidRDefault="00AF17A5" w:rsidP="00F223EA">
      <w:pPr>
        <w:jc w:val="both"/>
        <w:rPr>
          <w:rFonts w:ascii="Times New Roman" w:hAnsi="Times New Roman" w:cs="Times New Roman"/>
        </w:rPr>
      </w:pPr>
      <w:r w:rsidRPr="00F223EA">
        <w:rPr>
          <w:rFonts w:ascii="Times New Roman" w:hAnsi="Times New Roman" w:cs="Times New Roman"/>
        </w:rPr>
        <w:t xml:space="preserve">Unfortunately, given the limited information available to assessors and the volume of accounts that must be valued each year, it is extremely difficult to truly emulate the market when valuing personal property. But it is worth noting that a professional fee appraiser would likely use either the reproduction or replacement cost approach rather than the historical cost. </w:t>
      </w:r>
    </w:p>
    <w:p w14:paraId="5FB1EB3D" w14:textId="3C444DEA" w:rsidR="002A77EF" w:rsidRPr="00F223EA" w:rsidRDefault="00EF6C7A" w:rsidP="00F223EA">
      <w:pPr>
        <w:jc w:val="both"/>
        <w:rPr>
          <w:rFonts w:ascii="Times New Roman" w:hAnsi="Times New Roman" w:cs="Times New Roman"/>
        </w:rPr>
      </w:pPr>
      <w:r w:rsidRPr="00F223EA">
        <w:rPr>
          <w:rFonts w:ascii="Times New Roman" w:hAnsi="Times New Roman" w:cs="Times New Roman"/>
        </w:rPr>
        <w:t>A second set of issues related to the cost approach relates to the concept of depreciation. Depreciation schedules are standardized assumptions about how an asset</w:t>
      </w:r>
      <w:r w:rsidR="00186A57" w:rsidRPr="00F223EA">
        <w:rPr>
          <w:rFonts w:ascii="Times New Roman" w:hAnsi="Times New Roman" w:cs="Times New Roman"/>
        </w:rPr>
        <w:t>’</w:t>
      </w:r>
      <w:r w:rsidRPr="00F223EA">
        <w:rPr>
          <w:rFonts w:ascii="Times New Roman" w:hAnsi="Times New Roman" w:cs="Times New Roman"/>
        </w:rPr>
        <w:t xml:space="preserve">s value will decline over time. The decline in value, however, may be due to one of three reasons, not all of which are captured in a depreciation schedule. First, there is physical deterioration. This is </w:t>
      </w:r>
      <w:r w:rsidR="00186A57" w:rsidRPr="00F223EA">
        <w:rPr>
          <w:rFonts w:ascii="Times New Roman" w:hAnsi="Times New Roman" w:cs="Times New Roman"/>
        </w:rPr>
        <w:t xml:space="preserve">the </w:t>
      </w:r>
      <w:r w:rsidRPr="00F223EA">
        <w:rPr>
          <w:rFonts w:ascii="Times New Roman" w:hAnsi="Times New Roman" w:cs="Times New Roman"/>
        </w:rPr>
        <w:t xml:space="preserve">concept that fits most clearly with a standard depreciation schedule. An asset is deemed to have </w:t>
      </w:r>
      <w:r w:rsidR="00186A57" w:rsidRPr="00F223EA">
        <w:rPr>
          <w:rFonts w:ascii="Times New Roman" w:hAnsi="Times New Roman" w:cs="Times New Roman"/>
        </w:rPr>
        <w:t xml:space="preserve">a </w:t>
      </w:r>
      <w:r w:rsidRPr="00F223EA">
        <w:rPr>
          <w:rFonts w:ascii="Times New Roman" w:hAnsi="Times New Roman" w:cs="Times New Roman"/>
        </w:rPr>
        <w:t>certain useful life, and consequently the value of the asset will decline over the course of that time period to reflect the fact that the remaining useful life is constantly declining. The rate of decline is often assumed to be linear, but this need not be the case. And it is generally assumed that even at the end of its useful life, the asset will have a residual salvage value.</w:t>
      </w:r>
    </w:p>
    <w:p w14:paraId="5910E755" w14:textId="47274BE5" w:rsidR="00EF6C7A" w:rsidRPr="00F223EA" w:rsidRDefault="00EF6C7A" w:rsidP="00F223EA">
      <w:pPr>
        <w:jc w:val="both"/>
        <w:rPr>
          <w:rFonts w:ascii="Times New Roman" w:hAnsi="Times New Roman" w:cs="Times New Roman"/>
        </w:rPr>
      </w:pPr>
      <w:r w:rsidRPr="00F223EA">
        <w:rPr>
          <w:rFonts w:ascii="Times New Roman" w:hAnsi="Times New Roman" w:cs="Times New Roman"/>
        </w:rPr>
        <w:t xml:space="preserve">A second type of depreciation is functional obsolescence. The asset may still have significant remaining useful life, but the function that it fills has changed. Firms are seeking for a new configuration or a new technology to meet the new functional needs. Consequently, the current asset has lower value than would be suggested by the depreciation schedule. </w:t>
      </w:r>
      <w:r w:rsidR="00186A57" w:rsidRPr="00F223EA">
        <w:rPr>
          <w:rFonts w:ascii="Times New Roman" w:hAnsi="Times New Roman" w:cs="Times New Roman"/>
        </w:rPr>
        <w:t xml:space="preserve"> An example would be the value of a reasonably new electric typewriter in an emerging age of word processors.</w:t>
      </w:r>
    </w:p>
    <w:p w14:paraId="1CA9E9DB" w14:textId="30D534A1" w:rsidR="00EF6C7A" w:rsidRPr="00F223EA" w:rsidRDefault="00EF6C7A" w:rsidP="00F223EA">
      <w:pPr>
        <w:jc w:val="both"/>
        <w:rPr>
          <w:rFonts w:ascii="Times New Roman" w:hAnsi="Times New Roman" w:cs="Times New Roman"/>
        </w:rPr>
      </w:pPr>
      <w:r w:rsidRPr="00F223EA">
        <w:rPr>
          <w:rFonts w:ascii="Times New Roman" w:hAnsi="Times New Roman" w:cs="Times New Roman"/>
        </w:rPr>
        <w:t xml:space="preserve">A third type of depreciation is perhaps the most difficult to identify and measure because it is external. This is economic obsolescence. It arises when market conditions change and the productive capacity of the asset is no longer needed. </w:t>
      </w:r>
      <w:r w:rsidR="003A769F" w:rsidRPr="00F223EA">
        <w:rPr>
          <w:rFonts w:ascii="Times New Roman" w:hAnsi="Times New Roman" w:cs="Times New Roman"/>
        </w:rPr>
        <w:t xml:space="preserve">Because economic obsolescence is a result of external market forces, it is never reflected in depreciation schedules. Appraisers and assessors must look to the market for indications that economic obsolescence may exist in a given industry. </w:t>
      </w:r>
    </w:p>
    <w:p w14:paraId="7CB66D7B" w14:textId="63FE047E" w:rsidR="003A769F" w:rsidRPr="00F223EA" w:rsidRDefault="003A769F" w:rsidP="00F223EA">
      <w:pPr>
        <w:jc w:val="both"/>
        <w:rPr>
          <w:rFonts w:ascii="Times New Roman" w:hAnsi="Times New Roman" w:cs="Times New Roman"/>
        </w:rPr>
      </w:pPr>
      <w:r w:rsidRPr="00F223EA">
        <w:rPr>
          <w:rFonts w:ascii="Times New Roman" w:hAnsi="Times New Roman" w:cs="Times New Roman"/>
        </w:rPr>
        <w:t xml:space="preserve">For example, there is an industry in Connecticut that is likely suffering from economic obsolescence, and one other that may be. The industry that is quite likely experiencing obsolescence is the chemical products manufacturing industry (NAICS code 32) or at least some of its subdivisions. Figure 5 illustrates the point. </w:t>
      </w:r>
      <w:r w:rsidRPr="00F223EA">
        <w:rPr>
          <w:rFonts w:ascii="Times New Roman" w:hAnsi="Times New Roman" w:cs="Times New Roman"/>
        </w:rPr>
        <w:lastRenderedPageBreak/>
        <w:t xml:space="preserve">The figure shows two lines representing the national </w:t>
      </w:r>
      <w:r w:rsidR="00C215CA" w:rsidRPr="00F223EA">
        <w:rPr>
          <w:rFonts w:ascii="Times New Roman" w:hAnsi="Times New Roman" w:cs="Times New Roman"/>
        </w:rPr>
        <w:t xml:space="preserve">trend </w:t>
      </w:r>
      <w:r w:rsidRPr="00F223EA">
        <w:rPr>
          <w:rFonts w:ascii="Times New Roman" w:hAnsi="Times New Roman" w:cs="Times New Roman"/>
        </w:rPr>
        <w:t>in the industry and the Connecticut trend. Nationally</w:t>
      </w:r>
      <w:r w:rsidR="00F223EA">
        <w:rPr>
          <w:rFonts w:ascii="Times New Roman" w:hAnsi="Times New Roman" w:cs="Times New Roman"/>
        </w:rPr>
        <w:t>,</w:t>
      </w:r>
      <w:r w:rsidRPr="00F223EA">
        <w:rPr>
          <w:rFonts w:ascii="Times New Roman" w:hAnsi="Times New Roman" w:cs="Times New Roman"/>
        </w:rPr>
        <w:t xml:space="preserve"> chemical products manufacturing has represented between 2.0% and 2.5% of GDP since at least 1997. During the recent recession, the percentage actually increased. Since the recession, the percentage has fall</w:t>
      </w:r>
      <w:r w:rsidR="00C215CA" w:rsidRPr="00F223EA">
        <w:rPr>
          <w:rFonts w:ascii="Times New Roman" w:hAnsi="Times New Roman" w:cs="Times New Roman"/>
        </w:rPr>
        <w:t>en</w:t>
      </w:r>
      <w:r w:rsidRPr="00F223EA">
        <w:rPr>
          <w:rFonts w:ascii="Times New Roman" w:hAnsi="Times New Roman" w:cs="Times New Roman"/>
        </w:rPr>
        <w:t xml:space="preserve"> slightly, but remains solidly above 2.0%.</w:t>
      </w:r>
    </w:p>
    <w:p w14:paraId="2B2C641D" w14:textId="3A5F3437" w:rsidR="003A769F" w:rsidRPr="00F223EA" w:rsidRDefault="003A769F" w:rsidP="00F223EA">
      <w:pPr>
        <w:jc w:val="both"/>
        <w:rPr>
          <w:rFonts w:ascii="Times New Roman" w:hAnsi="Times New Roman" w:cs="Times New Roman"/>
        </w:rPr>
      </w:pPr>
      <w:r w:rsidRPr="00F223EA">
        <w:rPr>
          <w:rFonts w:ascii="Times New Roman" w:hAnsi="Times New Roman" w:cs="Times New Roman"/>
        </w:rPr>
        <w:t xml:space="preserve">During much of the late 1990s and up to 2008, Connecticut was clearly growing as an important contributor to the national </w:t>
      </w:r>
      <w:r w:rsidR="00186A57" w:rsidRPr="00F223EA">
        <w:rPr>
          <w:rFonts w:ascii="Times New Roman" w:hAnsi="Times New Roman" w:cs="Times New Roman"/>
        </w:rPr>
        <w:t xml:space="preserve">industry </w:t>
      </w:r>
      <w:r w:rsidRPr="00F223EA">
        <w:rPr>
          <w:rFonts w:ascii="Times New Roman" w:hAnsi="Times New Roman" w:cs="Times New Roman"/>
        </w:rPr>
        <w:t xml:space="preserve">trend. In 2009, the pattern changed dramatically. </w:t>
      </w:r>
      <w:r w:rsidR="00CF7419" w:rsidRPr="00F223EA">
        <w:rPr>
          <w:rFonts w:ascii="Times New Roman" w:hAnsi="Times New Roman" w:cs="Times New Roman"/>
        </w:rPr>
        <w:t xml:space="preserve">Connecticut’s share of the national industry fell from nearly 6% to just over 2%, and has continued to decline in the years since. Something has clearly changed in the national market and Connecticut </w:t>
      </w:r>
      <w:r w:rsidR="00186A57" w:rsidRPr="00F223EA">
        <w:rPr>
          <w:rFonts w:ascii="Times New Roman" w:hAnsi="Times New Roman" w:cs="Times New Roman"/>
        </w:rPr>
        <w:t>firms have</w:t>
      </w:r>
      <w:r w:rsidR="00CF7419" w:rsidRPr="00F223EA">
        <w:rPr>
          <w:rFonts w:ascii="Times New Roman" w:hAnsi="Times New Roman" w:cs="Times New Roman"/>
        </w:rPr>
        <w:t xml:space="preserve"> yet to adapt. </w:t>
      </w:r>
    </w:p>
    <w:p w14:paraId="0A4BD2A8" w14:textId="77777777" w:rsidR="00CF7419" w:rsidRPr="00F223EA" w:rsidRDefault="00CF7419" w:rsidP="00F223EA">
      <w:pPr>
        <w:jc w:val="both"/>
        <w:rPr>
          <w:rFonts w:ascii="Times New Roman" w:hAnsi="Times New Roman" w:cs="Times New Roman"/>
        </w:rPr>
      </w:pPr>
      <w:r w:rsidRPr="00F223EA">
        <w:rPr>
          <w:rFonts w:ascii="Times New Roman" w:hAnsi="Times New Roman" w:cs="Times New Roman"/>
        </w:rPr>
        <w:t>This trend suggests that to the extent that Connecticut firms in the chemical product manufacturing sector have specialized equipment that cannot be readily converted to another use, the value of that machinery and equipment may have fallen much more than would be reflected in a standard depreciation schedule based on physical deterioration.</w:t>
      </w:r>
    </w:p>
    <w:p w14:paraId="5B094B9A" w14:textId="0D828072" w:rsidR="002A77EF" w:rsidRPr="001658A7" w:rsidRDefault="002A77EF" w:rsidP="002A77EF">
      <w:pPr>
        <w:rPr>
          <w:rFonts w:ascii="Times New Roman" w:hAnsi="Times New Roman" w:cs="Times New Roman"/>
          <w:b/>
        </w:rPr>
      </w:pPr>
      <w:r w:rsidRPr="001658A7">
        <w:rPr>
          <w:rFonts w:ascii="Times New Roman" w:hAnsi="Times New Roman" w:cs="Times New Roman"/>
          <w:b/>
        </w:rPr>
        <w:t xml:space="preserve">Figure </w:t>
      </w:r>
      <w:r w:rsidR="00EF6C7A" w:rsidRPr="001658A7">
        <w:rPr>
          <w:rFonts w:ascii="Times New Roman" w:hAnsi="Times New Roman" w:cs="Times New Roman"/>
          <w:b/>
        </w:rPr>
        <w:t>5</w:t>
      </w:r>
    </w:p>
    <w:p w14:paraId="0EA6351B" w14:textId="5F8AD9F2" w:rsidR="002A77EF" w:rsidRPr="00D77A48" w:rsidRDefault="00AF17A5" w:rsidP="002A77EF">
      <w:r>
        <w:rPr>
          <w:noProof/>
        </w:rPr>
        <w:drawing>
          <wp:inline distT="0" distB="0" distL="0" distR="0" wp14:anchorId="7882D9A4" wp14:editId="79C5BA4F">
            <wp:extent cx="5252785" cy="3810573"/>
            <wp:effectExtent l="19050" t="19050" r="24130" b="190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4084" cy="3833278"/>
                    </a:xfrm>
                    <a:prstGeom prst="rect">
                      <a:avLst/>
                    </a:prstGeom>
                    <a:noFill/>
                    <a:ln>
                      <a:solidFill>
                        <a:schemeClr val="accent1">
                          <a:lumMod val="50000"/>
                        </a:schemeClr>
                      </a:solidFill>
                    </a:ln>
                  </pic:spPr>
                </pic:pic>
              </a:graphicData>
            </a:graphic>
          </wp:inline>
        </w:drawing>
      </w:r>
    </w:p>
    <w:p w14:paraId="194FFE57" w14:textId="77777777" w:rsidR="002A77EF" w:rsidRPr="001658A7" w:rsidRDefault="002A77EF" w:rsidP="002A77EF">
      <w:pPr>
        <w:rPr>
          <w:rFonts w:ascii="Times New Roman" w:hAnsi="Times New Roman" w:cs="Times New Roman"/>
        </w:rPr>
      </w:pPr>
      <w:r w:rsidRPr="001658A7">
        <w:rPr>
          <w:rFonts w:ascii="Times New Roman" w:hAnsi="Times New Roman" w:cs="Times New Roman"/>
        </w:rPr>
        <w:t>Source: US Bureau of Economic Analysis</w:t>
      </w:r>
    </w:p>
    <w:p w14:paraId="234E3F3A" w14:textId="50AA0A30" w:rsidR="003A769F" w:rsidRPr="001658A7" w:rsidRDefault="00CF7419" w:rsidP="001658A7">
      <w:pPr>
        <w:jc w:val="both"/>
        <w:rPr>
          <w:rFonts w:ascii="Times New Roman" w:hAnsi="Times New Roman" w:cs="Times New Roman"/>
        </w:rPr>
      </w:pPr>
      <w:r w:rsidRPr="001658A7">
        <w:rPr>
          <w:rFonts w:ascii="Times New Roman" w:hAnsi="Times New Roman" w:cs="Times New Roman"/>
        </w:rPr>
        <w:t xml:space="preserve">A second industry that has also seen dramatic changes relative to the national market is the </w:t>
      </w:r>
      <w:r w:rsidR="003A769F" w:rsidRPr="001658A7">
        <w:rPr>
          <w:rFonts w:ascii="Times New Roman" w:hAnsi="Times New Roman" w:cs="Times New Roman"/>
        </w:rPr>
        <w:t>Funds, Trusts, and Other Financial Vehicles (NAICS code 55)</w:t>
      </w:r>
      <w:r w:rsidRPr="001658A7">
        <w:rPr>
          <w:rFonts w:ascii="Times New Roman" w:hAnsi="Times New Roman" w:cs="Times New Roman"/>
        </w:rPr>
        <w:t xml:space="preserve"> industry</w:t>
      </w:r>
      <w:r w:rsidR="003A769F" w:rsidRPr="001658A7">
        <w:rPr>
          <w:rFonts w:ascii="Times New Roman" w:hAnsi="Times New Roman" w:cs="Times New Roman"/>
        </w:rPr>
        <w:t>.</w:t>
      </w:r>
      <w:r w:rsidRPr="001658A7">
        <w:rPr>
          <w:rFonts w:ascii="Times New Roman" w:hAnsi="Times New Roman" w:cs="Times New Roman"/>
        </w:rPr>
        <w:t xml:space="preserve"> Figure 6 reports again both the national industry trend and Connecticut’s contribution to the national market output for that industry. Here the data indicate that the industry in Connecticut began to decline in 2010, but fell dramatically in 2011 and has continued to decline</w:t>
      </w:r>
      <w:r w:rsidR="00186A57" w:rsidRPr="001658A7">
        <w:rPr>
          <w:rFonts w:ascii="Times New Roman" w:hAnsi="Times New Roman" w:cs="Times New Roman"/>
        </w:rPr>
        <w:t xml:space="preserve"> since</w:t>
      </w:r>
      <w:r w:rsidRPr="001658A7">
        <w:rPr>
          <w:rFonts w:ascii="Times New Roman" w:hAnsi="Times New Roman" w:cs="Times New Roman"/>
        </w:rPr>
        <w:t>. But in this instance it is less clear that there is economic obsolescence. The firms m</w:t>
      </w:r>
      <w:r w:rsidR="00186A57" w:rsidRPr="001658A7">
        <w:rPr>
          <w:rFonts w:ascii="Times New Roman" w:hAnsi="Times New Roman" w:cs="Times New Roman"/>
        </w:rPr>
        <w:t>ay be less valuable, but if the</w:t>
      </w:r>
      <w:r w:rsidRPr="001658A7">
        <w:rPr>
          <w:rFonts w:ascii="Times New Roman" w:hAnsi="Times New Roman" w:cs="Times New Roman"/>
        </w:rPr>
        <w:t xml:space="preserve"> equipment and other fixtures they employ can be used productively in another industry (say, insurance or education), there may be no obsolescence. </w:t>
      </w:r>
    </w:p>
    <w:p w14:paraId="6E699F6F" w14:textId="77777777" w:rsidR="00CF7419" w:rsidRPr="001658A7" w:rsidRDefault="00CF7419" w:rsidP="001658A7">
      <w:pPr>
        <w:jc w:val="both"/>
        <w:rPr>
          <w:rFonts w:ascii="Times New Roman" w:hAnsi="Times New Roman" w:cs="Times New Roman"/>
        </w:rPr>
      </w:pPr>
      <w:r w:rsidRPr="001658A7">
        <w:rPr>
          <w:rFonts w:ascii="Times New Roman" w:hAnsi="Times New Roman" w:cs="Times New Roman"/>
        </w:rPr>
        <w:lastRenderedPageBreak/>
        <w:t>The point is that assessors charged with valuing property at market value have a responsibility to monitor larger market trends and at least consider the possibility that obsolescence may be present. The next section describes the administrative processes in use in Connecticut.</w:t>
      </w:r>
    </w:p>
    <w:p w14:paraId="2CDD058E" w14:textId="558A3A48" w:rsidR="002A77EF" w:rsidRPr="001658A7" w:rsidRDefault="00EF6C7A" w:rsidP="002A77EF">
      <w:pPr>
        <w:rPr>
          <w:rFonts w:ascii="Times New Roman" w:hAnsi="Times New Roman" w:cs="Times New Roman"/>
          <w:b/>
        </w:rPr>
      </w:pPr>
      <w:r w:rsidRPr="001658A7">
        <w:rPr>
          <w:rFonts w:ascii="Times New Roman" w:hAnsi="Times New Roman" w:cs="Times New Roman"/>
          <w:b/>
        </w:rPr>
        <w:t>Figure 6</w:t>
      </w:r>
    </w:p>
    <w:p w14:paraId="362AEA09" w14:textId="32B8F1AE" w:rsidR="002A77EF" w:rsidRPr="00D77A48" w:rsidRDefault="00AF17A5" w:rsidP="002A77EF">
      <w:r>
        <w:rPr>
          <w:noProof/>
        </w:rPr>
        <w:drawing>
          <wp:inline distT="0" distB="0" distL="0" distR="0" wp14:anchorId="28D6FE88" wp14:editId="0E467512">
            <wp:extent cx="5176019" cy="3754884"/>
            <wp:effectExtent l="19050" t="19050" r="24765" b="171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3404" cy="3767495"/>
                    </a:xfrm>
                    <a:prstGeom prst="rect">
                      <a:avLst/>
                    </a:prstGeom>
                    <a:noFill/>
                    <a:ln>
                      <a:solidFill>
                        <a:schemeClr val="accent1">
                          <a:lumMod val="50000"/>
                        </a:schemeClr>
                      </a:solidFill>
                    </a:ln>
                  </pic:spPr>
                </pic:pic>
              </a:graphicData>
            </a:graphic>
          </wp:inline>
        </w:drawing>
      </w:r>
    </w:p>
    <w:p w14:paraId="27611FC1" w14:textId="77777777" w:rsidR="002A77EF" w:rsidRPr="001658A7" w:rsidRDefault="002A77EF" w:rsidP="002A77EF">
      <w:pPr>
        <w:rPr>
          <w:rFonts w:ascii="Times New Roman" w:hAnsi="Times New Roman" w:cs="Times New Roman"/>
        </w:rPr>
      </w:pPr>
      <w:r w:rsidRPr="001658A7">
        <w:rPr>
          <w:rFonts w:ascii="Times New Roman" w:hAnsi="Times New Roman" w:cs="Times New Roman"/>
        </w:rPr>
        <w:t>Source: US Bureau of Economic Analysis</w:t>
      </w:r>
    </w:p>
    <w:p w14:paraId="47A3A346" w14:textId="0B6647F8" w:rsidR="00D07DAA" w:rsidRDefault="00D07DAA" w:rsidP="001658A7">
      <w:pPr>
        <w:pStyle w:val="Heading2"/>
        <w:rPr>
          <w:rFonts w:ascii="Times New Roman" w:hAnsi="Times New Roman" w:cs="Times New Roman"/>
        </w:rPr>
      </w:pPr>
      <w:bookmarkStart w:id="6" w:name="_Toc434358301"/>
      <w:r w:rsidRPr="001658A7">
        <w:rPr>
          <w:rFonts w:ascii="Times New Roman" w:hAnsi="Times New Roman" w:cs="Times New Roman"/>
        </w:rPr>
        <w:t>Administration of the Personal Property Tax in Connecticut</w:t>
      </w:r>
      <w:bookmarkEnd w:id="6"/>
    </w:p>
    <w:p w14:paraId="3C959C01" w14:textId="4065AE2E" w:rsidR="001658A7" w:rsidRPr="00E0240E" w:rsidRDefault="001658A7" w:rsidP="001658A7">
      <w:pPr>
        <w:jc w:val="both"/>
        <w:rPr>
          <w:rFonts w:ascii="Times New Roman" w:hAnsi="Times New Roman" w:cs="Times New Roman"/>
        </w:rPr>
      </w:pPr>
      <w:r w:rsidRPr="00E0240E">
        <w:rPr>
          <w:rFonts w:ascii="Times New Roman" w:hAnsi="Times New Roman" w:cs="Times New Roman"/>
        </w:rPr>
        <w:t xml:space="preserve">The </w:t>
      </w:r>
      <w:r>
        <w:rPr>
          <w:rFonts w:ascii="Times New Roman" w:hAnsi="Times New Roman" w:cs="Times New Roman"/>
        </w:rPr>
        <w:t>tasks inherent in the administration of any property tax involve</w:t>
      </w:r>
      <w:r w:rsidRPr="00E0240E">
        <w:rPr>
          <w:rFonts w:ascii="Times New Roman" w:hAnsi="Times New Roman" w:cs="Times New Roman"/>
        </w:rPr>
        <w:t xml:space="preserve"> several recurring steps regardless of the type of </w:t>
      </w:r>
      <w:r>
        <w:rPr>
          <w:rFonts w:ascii="Times New Roman" w:hAnsi="Times New Roman" w:cs="Times New Roman"/>
        </w:rPr>
        <w:t xml:space="preserve">property. </w:t>
      </w:r>
      <w:r w:rsidRPr="00E0240E">
        <w:rPr>
          <w:rFonts w:ascii="Times New Roman" w:hAnsi="Times New Roman" w:cs="Times New Roman"/>
        </w:rPr>
        <w:t>Tax administrators must be able to:</w:t>
      </w:r>
    </w:p>
    <w:p w14:paraId="528EAE99" w14:textId="77777777" w:rsidR="001658A7" w:rsidRPr="00E0240E" w:rsidRDefault="001658A7" w:rsidP="001658A7">
      <w:pPr>
        <w:pStyle w:val="ListParagraph"/>
        <w:numPr>
          <w:ilvl w:val="0"/>
          <w:numId w:val="17"/>
        </w:numPr>
        <w:jc w:val="both"/>
        <w:rPr>
          <w:rFonts w:ascii="Times New Roman" w:hAnsi="Times New Roman" w:cs="Times New Roman"/>
        </w:rPr>
      </w:pPr>
      <w:r w:rsidRPr="00E0240E">
        <w:rPr>
          <w:rFonts w:ascii="Times New Roman" w:hAnsi="Times New Roman" w:cs="Times New Roman"/>
        </w:rPr>
        <w:t>Identify the property that will be taxed and the appropriate taxpayer who will incur the obligation</w:t>
      </w:r>
    </w:p>
    <w:p w14:paraId="46CD146D" w14:textId="77777777" w:rsidR="001658A7" w:rsidRPr="00E0240E" w:rsidRDefault="001658A7" w:rsidP="001658A7">
      <w:pPr>
        <w:pStyle w:val="ListParagraph"/>
        <w:numPr>
          <w:ilvl w:val="0"/>
          <w:numId w:val="17"/>
        </w:numPr>
        <w:jc w:val="both"/>
        <w:rPr>
          <w:rFonts w:ascii="Times New Roman" w:hAnsi="Times New Roman" w:cs="Times New Roman"/>
        </w:rPr>
      </w:pPr>
      <w:r w:rsidRPr="00E0240E">
        <w:rPr>
          <w:rFonts w:ascii="Times New Roman" w:hAnsi="Times New Roman" w:cs="Times New Roman"/>
        </w:rPr>
        <w:t>Value the property in a fair and consistent manner as defined by law</w:t>
      </w:r>
    </w:p>
    <w:p w14:paraId="44956234" w14:textId="77777777" w:rsidR="001658A7" w:rsidRPr="00E0240E" w:rsidRDefault="001658A7" w:rsidP="001658A7">
      <w:pPr>
        <w:pStyle w:val="ListParagraph"/>
        <w:numPr>
          <w:ilvl w:val="0"/>
          <w:numId w:val="17"/>
        </w:numPr>
        <w:jc w:val="both"/>
        <w:rPr>
          <w:rFonts w:ascii="Times New Roman" w:hAnsi="Times New Roman" w:cs="Times New Roman"/>
        </w:rPr>
      </w:pPr>
      <w:r w:rsidRPr="00E0240E">
        <w:rPr>
          <w:rFonts w:ascii="Times New Roman" w:hAnsi="Times New Roman" w:cs="Times New Roman"/>
        </w:rPr>
        <w:t xml:space="preserve">Apply the appropriate tax rate to determine the tax due </w:t>
      </w:r>
    </w:p>
    <w:p w14:paraId="31E53F1B" w14:textId="77777777" w:rsidR="001658A7" w:rsidRPr="00E0240E" w:rsidRDefault="001658A7" w:rsidP="001658A7">
      <w:pPr>
        <w:pStyle w:val="ListParagraph"/>
        <w:numPr>
          <w:ilvl w:val="0"/>
          <w:numId w:val="17"/>
        </w:numPr>
        <w:jc w:val="both"/>
        <w:rPr>
          <w:rFonts w:ascii="Times New Roman" w:hAnsi="Times New Roman" w:cs="Times New Roman"/>
        </w:rPr>
      </w:pPr>
      <w:r w:rsidRPr="00E0240E">
        <w:rPr>
          <w:rFonts w:ascii="Times New Roman" w:hAnsi="Times New Roman" w:cs="Times New Roman"/>
        </w:rPr>
        <w:t>Notify taxpayers of their obligation</w:t>
      </w:r>
    </w:p>
    <w:p w14:paraId="42B2BCF5" w14:textId="77777777" w:rsidR="001658A7" w:rsidRPr="00E0240E" w:rsidRDefault="001658A7" w:rsidP="001658A7">
      <w:pPr>
        <w:pStyle w:val="ListParagraph"/>
        <w:numPr>
          <w:ilvl w:val="0"/>
          <w:numId w:val="17"/>
        </w:numPr>
        <w:jc w:val="both"/>
        <w:rPr>
          <w:rFonts w:ascii="Times New Roman" w:hAnsi="Times New Roman" w:cs="Times New Roman"/>
        </w:rPr>
      </w:pPr>
      <w:r w:rsidRPr="00E0240E">
        <w:rPr>
          <w:rFonts w:ascii="Times New Roman" w:hAnsi="Times New Roman" w:cs="Times New Roman"/>
        </w:rPr>
        <w:t>Receive and appropriately respond to inquiries and appeals from taxpayers</w:t>
      </w:r>
    </w:p>
    <w:p w14:paraId="5E07EE26" w14:textId="77777777" w:rsidR="001658A7" w:rsidRPr="00E0240E" w:rsidRDefault="001658A7" w:rsidP="001658A7">
      <w:pPr>
        <w:pStyle w:val="ListParagraph"/>
        <w:numPr>
          <w:ilvl w:val="0"/>
          <w:numId w:val="17"/>
        </w:numPr>
        <w:jc w:val="both"/>
        <w:rPr>
          <w:rFonts w:ascii="Times New Roman" w:hAnsi="Times New Roman" w:cs="Times New Roman"/>
        </w:rPr>
      </w:pPr>
      <w:r w:rsidRPr="00E0240E">
        <w:rPr>
          <w:rFonts w:ascii="Times New Roman" w:hAnsi="Times New Roman" w:cs="Times New Roman"/>
        </w:rPr>
        <w:t>Effectively collect the tax</w:t>
      </w:r>
    </w:p>
    <w:p w14:paraId="71481E43" w14:textId="16E09CFC" w:rsidR="001658A7" w:rsidRPr="00E0240E" w:rsidRDefault="001658A7" w:rsidP="001658A7">
      <w:pPr>
        <w:jc w:val="both"/>
        <w:rPr>
          <w:rFonts w:ascii="Times New Roman" w:hAnsi="Times New Roman" w:cs="Times New Roman"/>
        </w:rPr>
      </w:pPr>
      <w:r w:rsidRPr="00E0240E">
        <w:rPr>
          <w:rFonts w:ascii="Times New Roman" w:hAnsi="Times New Roman" w:cs="Times New Roman"/>
        </w:rPr>
        <w:t xml:space="preserve">This list also serves to organize the discussion of the </w:t>
      </w:r>
      <w:r>
        <w:rPr>
          <w:rFonts w:ascii="Times New Roman" w:hAnsi="Times New Roman" w:cs="Times New Roman"/>
        </w:rPr>
        <w:t>administration of the personal</w:t>
      </w:r>
      <w:r w:rsidRPr="00E0240E">
        <w:rPr>
          <w:rFonts w:ascii="Times New Roman" w:hAnsi="Times New Roman" w:cs="Times New Roman"/>
        </w:rPr>
        <w:t xml:space="preserve"> property tax in Connecticut.</w:t>
      </w:r>
    </w:p>
    <w:p w14:paraId="6DE3B561" w14:textId="53B24498" w:rsidR="00D07DAA" w:rsidRPr="001658A7" w:rsidRDefault="00D07DAA" w:rsidP="00D07DAA">
      <w:pPr>
        <w:pStyle w:val="Heading3"/>
        <w:rPr>
          <w:rFonts w:ascii="Times New Roman" w:hAnsi="Times New Roman" w:cs="Times New Roman"/>
        </w:rPr>
      </w:pPr>
      <w:bookmarkStart w:id="7" w:name="_Toc434358302"/>
      <w:r w:rsidRPr="001658A7">
        <w:rPr>
          <w:rFonts w:ascii="Times New Roman" w:hAnsi="Times New Roman" w:cs="Times New Roman"/>
        </w:rPr>
        <w:t>Discovery of personal property</w:t>
      </w:r>
      <w:bookmarkEnd w:id="7"/>
    </w:p>
    <w:p w14:paraId="095C504A" w14:textId="41B4E2D9" w:rsidR="00D07DAA" w:rsidRPr="001658A7" w:rsidRDefault="00D07DAA" w:rsidP="001658A7">
      <w:pPr>
        <w:jc w:val="both"/>
        <w:rPr>
          <w:rFonts w:ascii="Times New Roman" w:hAnsi="Times New Roman" w:cs="Times New Roman"/>
        </w:rPr>
      </w:pPr>
      <w:r w:rsidRPr="001658A7">
        <w:rPr>
          <w:rFonts w:ascii="Times New Roman" w:hAnsi="Times New Roman" w:cs="Times New Roman"/>
        </w:rPr>
        <w:t xml:space="preserve">Local assessors in Connecticut rely on self-reporting by business operators to identify taxable personal property and potential exemptions. State law requires each business to </w:t>
      </w:r>
      <w:r w:rsidR="001658A7" w:rsidRPr="001658A7">
        <w:rPr>
          <w:rFonts w:ascii="Times New Roman" w:hAnsi="Times New Roman" w:cs="Times New Roman"/>
        </w:rPr>
        <w:t>file a</w:t>
      </w:r>
      <w:r w:rsidRPr="001658A7">
        <w:rPr>
          <w:rFonts w:ascii="Times New Roman" w:hAnsi="Times New Roman" w:cs="Times New Roman"/>
        </w:rPr>
        <w:t xml:space="preserve"> personal property declaration form with the local assessor each year. Businesses with multiple locations must file separate declarations </w:t>
      </w:r>
      <w:r w:rsidRPr="001658A7">
        <w:rPr>
          <w:rFonts w:ascii="Times New Roman" w:hAnsi="Times New Roman" w:cs="Times New Roman"/>
        </w:rPr>
        <w:lastRenderedPageBreak/>
        <w:t xml:space="preserve">in each jurisdiction </w:t>
      </w:r>
      <w:r w:rsidR="0002171E" w:rsidRPr="001658A7">
        <w:rPr>
          <w:rFonts w:ascii="Times New Roman" w:hAnsi="Times New Roman" w:cs="Times New Roman"/>
        </w:rPr>
        <w:t>in which</w:t>
      </w:r>
      <w:r w:rsidRPr="001658A7">
        <w:rPr>
          <w:rFonts w:ascii="Times New Roman" w:hAnsi="Times New Roman" w:cs="Times New Roman"/>
        </w:rPr>
        <w:t xml:space="preserve"> they operate. The forms must be filed by November </w:t>
      </w:r>
      <w:r w:rsidR="00187D99" w:rsidRPr="001658A7">
        <w:rPr>
          <w:rFonts w:ascii="Times New Roman" w:hAnsi="Times New Roman" w:cs="Times New Roman"/>
        </w:rPr>
        <w:t xml:space="preserve">1 </w:t>
      </w:r>
      <w:r w:rsidRPr="001658A7">
        <w:rPr>
          <w:rFonts w:ascii="Times New Roman" w:hAnsi="Times New Roman" w:cs="Times New Roman"/>
        </w:rPr>
        <w:t xml:space="preserve">of each year for assessments as of </w:t>
      </w:r>
      <w:r w:rsidR="00187D99" w:rsidRPr="001658A7">
        <w:rPr>
          <w:rFonts w:ascii="Times New Roman" w:hAnsi="Times New Roman" w:cs="Times New Roman"/>
        </w:rPr>
        <w:t>October</w:t>
      </w:r>
      <w:r w:rsidRPr="001658A7">
        <w:rPr>
          <w:rFonts w:ascii="Times New Roman" w:hAnsi="Times New Roman" w:cs="Times New Roman"/>
        </w:rPr>
        <w:t xml:space="preserve"> 1. Those who must file include:</w:t>
      </w:r>
    </w:p>
    <w:p w14:paraId="1860B251" w14:textId="77777777" w:rsidR="00187D99" w:rsidRPr="001658A7" w:rsidRDefault="00D07DAA" w:rsidP="001658A7">
      <w:pPr>
        <w:pStyle w:val="ListParagraph"/>
        <w:numPr>
          <w:ilvl w:val="0"/>
          <w:numId w:val="14"/>
        </w:numPr>
        <w:jc w:val="both"/>
        <w:rPr>
          <w:rFonts w:ascii="Times New Roman" w:hAnsi="Times New Roman" w:cs="Times New Roman"/>
        </w:rPr>
      </w:pPr>
      <w:r w:rsidRPr="001658A7">
        <w:rPr>
          <w:rFonts w:ascii="Times New Roman" w:hAnsi="Times New Roman" w:cs="Times New Roman"/>
        </w:rPr>
        <w:t xml:space="preserve">Owners of unregistered </w:t>
      </w:r>
      <w:r w:rsidR="00187D99" w:rsidRPr="001658A7">
        <w:rPr>
          <w:rFonts w:ascii="Times New Roman" w:hAnsi="Times New Roman" w:cs="Times New Roman"/>
        </w:rPr>
        <w:t>motor vehicles;</w:t>
      </w:r>
      <w:r w:rsidRPr="001658A7">
        <w:rPr>
          <w:rFonts w:ascii="Times New Roman" w:hAnsi="Times New Roman" w:cs="Times New Roman"/>
        </w:rPr>
        <w:t xml:space="preserve"> horse, ponies and thoroughbreds</w:t>
      </w:r>
      <w:r w:rsidR="00187D99" w:rsidRPr="001658A7">
        <w:rPr>
          <w:rFonts w:ascii="Times New Roman" w:hAnsi="Times New Roman" w:cs="Times New Roman"/>
        </w:rPr>
        <w:t>; mobile manufactured homes not assessed as real estate</w:t>
      </w:r>
    </w:p>
    <w:p w14:paraId="3A32D430" w14:textId="77777777" w:rsidR="00187D99" w:rsidRPr="001658A7" w:rsidRDefault="00187D99" w:rsidP="001658A7">
      <w:pPr>
        <w:pStyle w:val="ListParagraph"/>
        <w:numPr>
          <w:ilvl w:val="0"/>
          <w:numId w:val="14"/>
        </w:numPr>
        <w:jc w:val="both"/>
        <w:rPr>
          <w:rFonts w:ascii="Times New Roman" w:hAnsi="Times New Roman" w:cs="Times New Roman"/>
        </w:rPr>
      </w:pPr>
      <w:r w:rsidRPr="001658A7">
        <w:rPr>
          <w:rFonts w:ascii="Times New Roman" w:hAnsi="Times New Roman" w:cs="Times New Roman"/>
        </w:rPr>
        <w:t>Businesses</w:t>
      </w:r>
    </w:p>
    <w:p w14:paraId="7AD00E6E" w14:textId="6A9A1E70" w:rsidR="00D07DAA" w:rsidRPr="001658A7" w:rsidRDefault="00187D99" w:rsidP="001658A7">
      <w:pPr>
        <w:pStyle w:val="ListParagraph"/>
        <w:numPr>
          <w:ilvl w:val="0"/>
          <w:numId w:val="14"/>
        </w:numPr>
        <w:jc w:val="both"/>
        <w:rPr>
          <w:rFonts w:ascii="Times New Roman" w:hAnsi="Times New Roman" w:cs="Times New Roman"/>
        </w:rPr>
      </w:pPr>
      <w:r w:rsidRPr="001658A7">
        <w:rPr>
          <w:rFonts w:ascii="Times New Roman" w:hAnsi="Times New Roman" w:cs="Times New Roman"/>
        </w:rPr>
        <w:t xml:space="preserve">Lessors and Lessees of personal property </w:t>
      </w:r>
    </w:p>
    <w:p w14:paraId="196A78EA" w14:textId="77777777" w:rsidR="0002171E" w:rsidRPr="001658A7" w:rsidRDefault="00187D99" w:rsidP="001658A7">
      <w:pPr>
        <w:jc w:val="both"/>
        <w:rPr>
          <w:rFonts w:ascii="Times New Roman" w:hAnsi="Times New Roman" w:cs="Times New Roman"/>
        </w:rPr>
      </w:pPr>
      <w:r w:rsidRPr="001658A7">
        <w:rPr>
          <w:rFonts w:ascii="Times New Roman" w:hAnsi="Times New Roman" w:cs="Times New Roman"/>
        </w:rPr>
        <w:t xml:space="preserve">Failure to file the declaration by November 1 (or by the extension deadline if granted) results in a 25% penalty being added to the assessment. </w:t>
      </w:r>
    </w:p>
    <w:p w14:paraId="62625876" w14:textId="24AD72D0" w:rsidR="00187D99" w:rsidRPr="001658A7" w:rsidRDefault="00187D99" w:rsidP="001658A7">
      <w:pPr>
        <w:jc w:val="both"/>
        <w:rPr>
          <w:rFonts w:ascii="Times New Roman" w:hAnsi="Times New Roman" w:cs="Times New Roman"/>
        </w:rPr>
      </w:pPr>
      <w:r w:rsidRPr="001658A7">
        <w:rPr>
          <w:rFonts w:ascii="Times New Roman" w:hAnsi="Times New Roman" w:cs="Times New Roman"/>
        </w:rPr>
        <w:t xml:space="preserve">Property reported is grouped by type of property. For each type of property, the aggregate </w:t>
      </w:r>
      <w:r w:rsidR="00596988" w:rsidRPr="001658A7">
        <w:rPr>
          <w:rFonts w:ascii="Times New Roman" w:hAnsi="Times New Roman" w:cs="Times New Roman"/>
        </w:rPr>
        <w:t xml:space="preserve">acquisition </w:t>
      </w:r>
      <w:r w:rsidRPr="001658A7">
        <w:rPr>
          <w:rFonts w:ascii="Times New Roman" w:hAnsi="Times New Roman" w:cs="Times New Roman"/>
        </w:rPr>
        <w:t xml:space="preserve">value of property acquired in a given year is recorded. </w:t>
      </w:r>
      <w:r w:rsidR="00B941C5" w:rsidRPr="001658A7">
        <w:rPr>
          <w:rFonts w:ascii="Times New Roman" w:hAnsi="Times New Roman" w:cs="Times New Roman"/>
        </w:rPr>
        <w:t xml:space="preserve">The property categories </w:t>
      </w:r>
      <w:r w:rsidR="00596988" w:rsidRPr="001658A7">
        <w:rPr>
          <w:rFonts w:ascii="Times New Roman" w:hAnsi="Times New Roman" w:cs="Times New Roman"/>
        </w:rPr>
        <w:t xml:space="preserve">and reporting information are shown in Table 2. </w:t>
      </w:r>
    </w:p>
    <w:p w14:paraId="01F536DA" w14:textId="26781217" w:rsidR="00596988" w:rsidRPr="001658A7" w:rsidRDefault="00596988" w:rsidP="00E24DA0">
      <w:pPr>
        <w:jc w:val="center"/>
        <w:rPr>
          <w:rFonts w:ascii="Times New Roman" w:hAnsi="Times New Roman" w:cs="Times New Roman"/>
          <w:b/>
        </w:rPr>
      </w:pPr>
      <w:r w:rsidRPr="001658A7">
        <w:rPr>
          <w:rFonts w:ascii="Times New Roman" w:hAnsi="Times New Roman" w:cs="Times New Roman"/>
          <w:b/>
        </w:rPr>
        <w:t>Table 2: Personal Property Annual Declaration Information</w:t>
      </w:r>
    </w:p>
    <w:tbl>
      <w:tblPr>
        <w:tblStyle w:val="TableGrid"/>
        <w:tblW w:w="0" w:type="auto"/>
        <w:jc w:val="center"/>
        <w:tblLook w:val="04A0" w:firstRow="1" w:lastRow="0" w:firstColumn="1" w:lastColumn="0" w:noHBand="0" w:noVBand="1"/>
      </w:tblPr>
      <w:tblGrid>
        <w:gridCol w:w="4315"/>
        <w:gridCol w:w="2267"/>
        <w:gridCol w:w="1466"/>
        <w:gridCol w:w="1302"/>
      </w:tblGrid>
      <w:tr w:rsidR="00596988" w:rsidRPr="00A80D12" w14:paraId="656A562D" w14:textId="2F54C450" w:rsidTr="00545C81">
        <w:trPr>
          <w:tblHeader/>
          <w:jc w:val="center"/>
        </w:trPr>
        <w:tc>
          <w:tcPr>
            <w:tcW w:w="0" w:type="auto"/>
            <w:vAlign w:val="center"/>
          </w:tcPr>
          <w:p w14:paraId="226DB2A0" w14:textId="3B78E313" w:rsidR="00596988" w:rsidRPr="001658A7" w:rsidRDefault="00596988" w:rsidP="00A80D12">
            <w:pPr>
              <w:jc w:val="center"/>
              <w:rPr>
                <w:rFonts w:ascii="Times New Roman" w:hAnsi="Times New Roman" w:cs="Times New Roman"/>
                <w:b/>
                <w:sz w:val="20"/>
                <w:szCs w:val="20"/>
              </w:rPr>
            </w:pPr>
            <w:r w:rsidRPr="001658A7">
              <w:rPr>
                <w:rFonts w:ascii="Times New Roman" w:hAnsi="Times New Roman" w:cs="Times New Roman"/>
                <w:b/>
                <w:sz w:val="20"/>
                <w:szCs w:val="20"/>
              </w:rPr>
              <w:t>Property category</w:t>
            </w:r>
          </w:p>
        </w:tc>
        <w:tc>
          <w:tcPr>
            <w:tcW w:w="0" w:type="auto"/>
            <w:vAlign w:val="center"/>
          </w:tcPr>
          <w:p w14:paraId="0C79005B" w14:textId="71C72A94" w:rsidR="00596988" w:rsidRPr="001658A7" w:rsidRDefault="00596988" w:rsidP="00A80D12">
            <w:pPr>
              <w:jc w:val="center"/>
              <w:rPr>
                <w:rFonts w:ascii="Times New Roman" w:hAnsi="Times New Roman" w:cs="Times New Roman"/>
                <w:b/>
                <w:sz w:val="20"/>
                <w:szCs w:val="20"/>
              </w:rPr>
            </w:pPr>
            <w:r w:rsidRPr="001658A7">
              <w:rPr>
                <w:rFonts w:ascii="Times New Roman" w:hAnsi="Times New Roman" w:cs="Times New Roman"/>
                <w:b/>
                <w:sz w:val="20"/>
                <w:szCs w:val="20"/>
              </w:rPr>
              <w:t>Required information</w:t>
            </w:r>
          </w:p>
        </w:tc>
        <w:tc>
          <w:tcPr>
            <w:tcW w:w="0" w:type="auto"/>
            <w:vAlign w:val="center"/>
          </w:tcPr>
          <w:p w14:paraId="5A3953B4" w14:textId="6CAD2126" w:rsidR="00596988" w:rsidRPr="001658A7" w:rsidRDefault="00596988" w:rsidP="00A80D12">
            <w:pPr>
              <w:jc w:val="center"/>
              <w:rPr>
                <w:rFonts w:ascii="Times New Roman" w:hAnsi="Times New Roman" w:cs="Times New Roman"/>
                <w:b/>
                <w:sz w:val="20"/>
                <w:szCs w:val="20"/>
              </w:rPr>
            </w:pPr>
            <w:r w:rsidRPr="001658A7">
              <w:rPr>
                <w:rFonts w:ascii="Times New Roman" w:hAnsi="Times New Roman" w:cs="Times New Roman"/>
                <w:b/>
                <w:sz w:val="20"/>
                <w:szCs w:val="20"/>
              </w:rPr>
              <w:t>Depreciation period</w:t>
            </w:r>
          </w:p>
        </w:tc>
        <w:tc>
          <w:tcPr>
            <w:tcW w:w="0" w:type="auto"/>
            <w:vAlign w:val="center"/>
          </w:tcPr>
          <w:p w14:paraId="61FBFD43" w14:textId="682A7520" w:rsidR="00596988" w:rsidRPr="001658A7" w:rsidRDefault="00596988" w:rsidP="00A80D12">
            <w:pPr>
              <w:jc w:val="center"/>
              <w:rPr>
                <w:rFonts w:ascii="Times New Roman" w:hAnsi="Times New Roman" w:cs="Times New Roman"/>
                <w:b/>
                <w:sz w:val="20"/>
                <w:szCs w:val="20"/>
              </w:rPr>
            </w:pPr>
            <w:r w:rsidRPr="001658A7">
              <w:rPr>
                <w:rFonts w:ascii="Times New Roman" w:hAnsi="Times New Roman" w:cs="Times New Roman"/>
                <w:b/>
                <w:sz w:val="20"/>
                <w:szCs w:val="20"/>
              </w:rPr>
              <w:t>Residual value</w:t>
            </w:r>
          </w:p>
        </w:tc>
      </w:tr>
      <w:tr w:rsidR="00596988" w:rsidRPr="00A80D12" w14:paraId="0E6AF875" w14:textId="1B2FE921" w:rsidTr="00E24DA0">
        <w:trPr>
          <w:jc w:val="center"/>
        </w:trPr>
        <w:tc>
          <w:tcPr>
            <w:tcW w:w="0" w:type="auto"/>
            <w:vAlign w:val="center"/>
          </w:tcPr>
          <w:p w14:paraId="31CC8730" w14:textId="0EB108BA" w:rsidR="00596988" w:rsidRPr="001658A7" w:rsidRDefault="00596988" w:rsidP="00EA0FDD">
            <w:pPr>
              <w:rPr>
                <w:rFonts w:ascii="Times New Roman" w:hAnsi="Times New Roman" w:cs="Times New Roman"/>
                <w:sz w:val="20"/>
                <w:szCs w:val="20"/>
              </w:rPr>
            </w:pPr>
            <w:r w:rsidRPr="001658A7">
              <w:rPr>
                <w:rFonts w:ascii="Times New Roman" w:hAnsi="Times New Roman" w:cs="Times New Roman"/>
                <w:sz w:val="20"/>
                <w:szCs w:val="20"/>
              </w:rPr>
              <w:t>(9) Unregistered motor vehicles and vehicles garaged in Connecticut b</w:t>
            </w:r>
            <w:r w:rsidR="00EA0FDD" w:rsidRPr="001658A7">
              <w:rPr>
                <w:rFonts w:ascii="Times New Roman" w:hAnsi="Times New Roman" w:cs="Times New Roman"/>
                <w:sz w:val="20"/>
                <w:szCs w:val="20"/>
              </w:rPr>
              <w:t>ut</w:t>
            </w:r>
            <w:r w:rsidRPr="001658A7">
              <w:rPr>
                <w:rFonts w:ascii="Times New Roman" w:hAnsi="Times New Roman" w:cs="Times New Roman"/>
                <w:sz w:val="20"/>
                <w:szCs w:val="20"/>
              </w:rPr>
              <w:t xml:space="preserve"> registered elsewhere</w:t>
            </w:r>
          </w:p>
        </w:tc>
        <w:tc>
          <w:tcPr>
            <w:tcW w:w="0" w:type="auto"/>
          </w:tcPr>
          <w:p w14:paraId="7FF2AF59" w14:textId="4E0E57C9" w:rsidR="00596988" w:rsidRPr="001658A7" w:rsidRDefault="00596988" w:rsidP="00596988">
            <w:pPr>
              <w:rPr>
                <w:rFonts w:ascii="Times New Roman" w:hAnsi="Times New Roman" w:cs="Times New Roman"/>
                <w:sz w:val="20"/>
                <w:szCs w:val="20"/>
              </w:rPr>
            </w:pPr>
            <w:r w:rsidRPr="001658A7">
              <w:rPr>
                <w:rFonts w:ascii="Times New Roman" w:hAnsi="Times New Roman" w:cs="Times New Roman"/>
                <w:sz w:val="20"/>
                <w:szCs w:val="20"/>
              </w:rPr>
              <w:t>Year, make, model, VIN, length, weight, purchase price, date</w:t>
            </w:r>
          </w:p>
        </w:tc>
        <w:tc>
          <w:tcPr>
            <w:tcW w:w="0" w:type="auto"/>
            <w:vAlign w:val="center"/>
          </w:tcPr>
          <w:p w14:paraId="7CDCE4EA" w14:textId="4882B155" w:rsidR="00596988" w:rsidRPr="001658A7" w:rsidRDefault="00596988" w:rsidP="00A80D12">
            <w:pPr>
              <w:rPr>
                <w:rFonts w:ascii="Times New Roman" w:hAnsi="Times New Roman" w:cs="Times New Roman"/>
                <w:sz w:val="20"/>
                <w:szCs w:val="20"/>
              </w:rPr>
            </w:pPr>
            <w:r w:rsidRPr="001658A7">
              <w:rPr>
                <w:rFonts w:ascii="Times New Roman" w:hAnsi="Times New Roman" w:cs="Times New Roman"/>
                <w:sz w:val="20"/>
                <w:szCs w:val="20"/>
              </w:rPr>
              <w:t>None</w:t>
            </w:r>
          </w:p>
        </w:tc>
        <w:tc>
          <w:tcPr>
            <w:tcW w:w="0" w:type="auto"/>
            <w:vAlign w:val="center"/>
          </w:tcPr>
          <w:p w14:paraId="180F5F26" w14:textId="4B4805E9" w:rsidR="00596988" w:rsidRPr="001658A7" w:rsidRDefault="00596988" w:rsidP="00A80D12">
            <w:pPr>
              <w:rPr>
                <w:rFonts w:ascii="Times New Roman" w:hAnsi="Times New Roman" w:cs="Times New Roman"/>
                <w:sz w:val="20"/>
                <w:szCs w:val="20"/>
              </w:rPr>
            </w:pPr>
            <w:r w:rsidRPr="001658A7">
              <w:rPr>
                <w:rFonts w:ascii="Times New Roman" w:hAnsi="Times New Roman" w:cs="Times New Roman"/>
                <w:sz w:val="20"/>
                <w:szCs w:val="20"/>
              </w:rPr>
              <w:t>Current value</w:t>
            </w:r>
          </w:p>
        </w:tc>
      </w:tr>
      <w:tr w:rsidR="00596988" w:rsidRPr="00A80D12" w14:paraId="47DBD523" w14:textId="20C1E536" w:rsidTr="00E24DA0">
        <w:trPr>
          <w:jc w:val="center"/>
        </w:trPr>
        <w:tc>
          <w:tcPr>
            <w:tcW w:w="0" w:type="auto"/>
            <w:vAlign w:val="center"/>
          </w:tcPr>
          <w:p w14:paraId="38CA66F0" w14:textId="77777777" w:rsidR="00596988" w:rsidRPr="001658A7" w:rsidRDefault="00596988" w:rsidP="00A80D12">
            <w:pPr>
              <w:rPr>
                <w:rFonts w:ascii="Times New Roman" w:hAnsi="Times New Roman" w:cs="Times New Roman"/>
                <w:sz w:val="20"/>
                <w:szCs w:val="20"/>
              </w:rPr>
            </w:pPr>
            <w:r w:rsidRPr="001658A7">
              <w:rPr>
                <w:rFonts w:ascii="Times New Roman" w:hAnsi="Times New Roman" w:cs="Times New Roman"/>
                <w:sz w:val="20"/>
                <w:szCs w:val="20"/>
              </w:rPr>
              <w:t>(10) Manufacturing machinery and equipment not eligible under CGS 12-81 (76) for exemption</w:t>
            </w:r>
          </w:p>
        </w:tc>
        <w:tc>
          <w:tcPr>
            <w:tcW w:w="0" w:type="auto"/>
          </w:tcPr>
          <w:p w14:paraId="0C691336" w14:textId="174A8FF7" w:rsidR="00596988" w:rsidRPr="001658A7" w:rsidRDefault="00596988" w:rsidP="001A1510">
            <w:pPr>
              <w:rPr>
                <w:rFonts w:ascii="Times New Roman" w:hAnsi="Times New Roman" w:cs="Times New Roman"/>
                <w:sz w:val="20"/>
                <w:szCs w:val="20"/>
              </w:rPr>
            </w:pPr>
            <w:r w:rsidRPr="001658A7">
              <w:rPr>
                <w:rFonts w:ascii="Times New Roman" w:hAnsi="Times New Roman" w:cs="Times New Roman"/>
                <w:sz w:val="20"/>
                <w:szCs w:val="20"/>
              </w:rPr>
              <w:t>Original cost, transportation and installation</w:t>
            </w:r>
          </w:p>
        </w:tc>
        <w:tc>
          <w:tcPr>
            <w:tcW w:w="0" w:type="auto"/>
            <w:vAlign w:val="center"/>
          </w:tcPr>
          <w:p w14:paraId="57B47BB6" w14:textId="2281B752" w:rsidR="00596988" w:rsidRPr="001658A7" w:rsidRDefault="00596988" w:rsidP="00A80D12">
            <w:pPr>
              <w:rPr>
                <w:rFonts w:ascii="Times New Roman" w:hAnsi="Times New Roman" w:cs="Times New Roman"/>
                <w:sz w:val="20"/>
                <w:szCs w:val="20"/>
              </w:rPr>
            </w:pPr>
            <w:r w:rsidRPr="001658A7">
              <w:rPr>
                <w:rFonts w:ascii="Times New Roman" w:hAnsi="Times New Roman" w:cs="Times New Roman"/>
                <w:sz w:val="20"/>
                <w:szCs w:val="20"/>
              </w:rPr>
              <w:t>7 years</w:t>
            </w:r>
          </w:p>
        </w:tc>
        <w:tc>
          <w:tcPr>
            <w:tcW w:w="0" w:type="auto"/>
            <w:vAlign w:val="center"/>
          </w:tcPr>
          <w:p w14:paraId="49830921" w14:textId="65628E4B" w:rsidR="00596988" w:rsidRPr="001658A7" w:rsidRDefault="00596988" w:rsidP="00A80D12">
            <w:pPr>
              <w:rPr>
                <w:rFonts w:ascii="Times New Roman" w:hAnsi="Times New Roman" w:cs="Times New Roman"/>
                <w:sz w:val="20"/>
                <w:szCs w:val="20"/>
              </w:rPr>
            </w:pPr>
            <w:r w:rsidRPr="001658A7">
              <w:rPr>
                <w:rFonts w:ascii="Times New Roman" w:hAnsi="Times New Roman" w:cs="Times New Roman"/>
                <w:sz w:val="20"/>
                <w:szCs w:val="20"/>
              </w:rPr>
              <w:t>30%</w:t>
            </w:r>
          </w:p>
        </w:tc>
      </w:tr>
      <w:tr w:rsidR="00596988" w:rsidRPr="00A80D12" w14:paraId="42093ACD" w14:textId="43021FE3" w:rsidTr="00E24DA0">
        <w:trPr>
          <w:jc w:val="center"/>
        </w:trPr>
        <w:tc>
          <w:tcPr>
            <w:tcW w:w="0" w:type="auto"/>
            <w:vAlign w:val="center"/>
          </w:tcPr>
          <w:p w14:paraId="578C7249" w14:textId="5688CA1E" w:rsidR="00596988" w:rsidRPr="001658A7" w:rsidRDefault="00596988" w:rsidP="00A80D12">
            <w:pPr>
              <w:rPr>
                <w:rFonts w:ascii="Times New Roman" w:hAnsi="Times New Roman" w:cs="Times New Roman"/>
                <w:sz w:val="20"/>
                <w:szCs w:val="20"/>
              </w:rPr>
            </w:pPr>
            <w:r w:rsidRPr="001658A7">
              <w:rPr>
                <w:rFonts w:ascii="Times New Roman" w:hAnsi="Times New Roman" w:cs="Times New Roman"/>
                <w:sz w:val="20"/>
                <w:szCs w:val="20"/>
              </w:rPr>
              <w:t>(11) Horses and ponies</w:t>
            </w:r>
            <w:r w:rsidRPr="001658A7">
              <w:rPr>
                <w:rStyle w:val="FootnoteReference"/>
                <w:rFonts w:ascii="Times New Roman" w:hAnsi="Times New Roman" w:cs="Times New Roman"/>
                <w:sz w:val="20"/>
                <w:szCs w:val="20"/>
              </w:rPr>
              <w:footnoteReference w:id="2"/>
            </w:r>
          </w:p>
        </w:tc>
        <w:tc>
          <w:tcPr>
            <w:tcW w:w="0" w:type="auto"/>
          </w:tcPr>
          <w:p w14:paraId="08551CBA" w14:textId="4CC5AFC0" w:rsidR="00596988" w:rsidRPr="001658A7" w:rsidRDefault="00596988" w:rsidP="001A1510">
            <w:pPr>
              <w:rPr>
                <w:rFonts w:ascii="Times New Roman" w:hAnsi="Times New Roman" w:cs="Times New Roman"/>
                <w:sz w:val="20"/>
                <w:szCs w:val="20"/>
              </w:rPr>
            </w:pPr>
            <w:r w:rsidRPr="001658A7">
              <w:rPr>
                <w:rFonts w:ascii="Times New Roman" w:hAnsi="Times New Roman" w:cs="Times New Roman"/>
                <w:sz w:val="20"/>
                <w:szCs w:val="20"/>
              </w:rPr>
              <w:t>Age, breed, sex, quality and value</w:t>
            </w:r>
          </w:p>
        </w:tc>
        <w:tc>
          <w:tcPr>
            <w:tcW w:w="0" w:type="auto"/>
            <w:vAlign w:val="center"/>
          </w:tcPr>
          <w:p w14:paraId="4EDC736C" w14:textId="56F441A6" w:rsidR="00596988" w:rsidRPr="001658A7" w:rsidRDefault="00596988" w:rsidP="00A80D12">
            <w:pPr>
              <w:rPr>
                <w:rFonts w:ascii="Times New Roman" w:hAnsi="Times New Roman" w:cs="Times New Roman"/>
                <w:sz w:val="20"/>
                <w:szCs w:val="20"/>
              </w:rPr>
            </w:pPr>
            <w:r w:rsidRPr="001658A7">
              <w:rPr>
                <w:rFonts w:ascii="Times New Roman" w:hAnsi="Times New Roman" w:cs="Times New Roman"/>
                <w:sz w:val="20"/>
                <w:szCs w:val="20"/>
              </w:rPr>
              <w:t>None</w:t>
            </w:r>
          </w:p>
        </w:tc>
        <w:tc>
          <w:tcPr>
            <w:tcW w:w="0" w:type="auto"/>
            <w:vAlign w:val="center"/>
          </w:tcPr>
          <w:p w14:paraId="438E2CB1" w14:textId="73876288" w:rsidR="00596988" w:rsidRPr="001658A7" w:rsidRDefault="00596988" w:rsidP="00A80D12">
            <w:pPr>
              <w:rPr>
                <w:rFonts w:ascii="Times New Roman" w:hAnsi="Times New Roman" w:cs="Times New Roman"/>
                <w:sz w:val="20"/>
                <w:szCs w:val="20"/>
              </w:rPr>
            </w:pPr>
            <w:r w:rsidRPr="001658A7">
              <w:rPr>
                <w:rFonts w:ascii="Times New Roman" w:hAnsi="Times New Roman" w:cs="Times New Roman"/>
                <w:sz w:val="20"/>
                <w:szCs w:val="20"/>
              </w:rPr>
              <w:t>None</w:t>
            </w:r>
          </w:p>
        </w:tc>
      </w:tr>
      <w:tr w:rsidR="00A80D12" w:rsidRPr="00A80D12" w14:paraId="630227B4" w14:textId="40556B5A" w:rsidTr="00E24DA0">
        <w:trPr>
          <w:jc w:val="center"/>
        </w:trPr>
        <w:tc>
          <w:tcPr>
            <w:tcW w:w="0" w:type="auto"/>
            <w:vAlign w:val="center"/>
          </w:tcPr>
          <w:p w14:paraId="7721B3F8" w14:textId="53492FF6" w:rsidR="00A80D12" w:rsidRPr="001658A7" w:rsidRDefault="00A80D12" w:rsidP="00A80D12">
            <w:pPr>
              <w:rPr>
                <w:rFonts w:ascii="Times New Roman" w:hAnsi="Times New Roman" w:cs="Times New Roman"/>
                <w:sz w:val="20"/>
                <w:szCs w:val="20"/>
              </w:rPr>
            </w:pPr>
            <w:r w:rsidRPr="001658A7">
              <w:rPr>
                <w:rFonts w:ascii="Times New Roman" w:hAnsi="Times New Roman" w:cs="Times New Roman"/>
                <w:sz w:val="20"/>
                <w:szCs w:val="20"/>
              </w:rPr>
              <w:t>(12) Commercial fishing apparatus</w:t>
            </w:r>
            <w:r w:rsidRPr="001658A7">
              <w:rPr>
                <w:rStyle w:val="FootnoteReference"/>
                <w:rFonts w:ascii="Times New Roman" w:hAnsi="Times New Roman" w:cs="Times New Roman"/>
                <w:sz w:val="20"/>
                <w:szCs w:val="20"/>
              </w:rPr>
              <w:footnoteReference w:id="3"/>
            </w:r>
          </w:p>
        </w:tc>
        <w:tc>
          <w:tcPr>
            <w:tcW w:w="0" w:type="auto"/>
            <w:vMerge w:val="restart"/>
            <w:vAlign w:val="center"/>
          </w:tcPr>
          <w:p w14:paraId="4502CB2D" w14:textId="58BB35E2" w:rsidR="00A80D12" w:rsidRPr="001658A7" w:rsidRDefault="00A80D12" w:rsidP="00A80D12">
            <w:pPr>
              <w:rPr>
                <w:rFonts w:ascii="Times New Roman" w:hAnsi="Times New Roman" w:cs="Times New Roman"/>
                <w:sz w:val="20"/>
                <w:szCs w:val="20"/>
              </w:rPr>
            </w:pPr>
            <w:r w:rsidRPr="001658A7">
              <w:rPr>
                <w:rFonts w:ascii="Times New Roman" w:hAnsi="Times New Roman" w:cs="Times New Roman"/>
                <w:sz w:val="20"/>
                <w:szCs w:val="20"/>
              </w:rPr>
              <w:t>Original cost, transportation and installation</w:t>
            </w:r>
          </w:p>
        </w:tc>
        <w:tc>
          <w:tcPr>
            <w:tcW w:w="0" w:type="auto"/>
            <w:vMerge w:val="restart"/>
            <w:vAlign w:val="center"/>
          </w:tcPr>
          <w:p w14:paraId="40A0F007" w14:textId="210F0AC7" w:rsidR="00A80D12" w:rsidRPr="001658A7" w:rsidRDefault="00A80D12" w:rsidP="00A80D12">
            <w:pPr>
              <w:rPr>
                <w:rFonts w:ascii="Times New Roman" w:hAnsi="Times New Roman" w:cs="Times New Roman"/>
                <w:sz w:val="20"/>
                <w:szCs w:val="20"/>
              </w:rPr>
            </w:pPr>
            <w:r w:rsidRPr="001658A7">
              <w:rPr>
                <w:rFonts w:ascii="Times New Roman" w:hAnsi="Times New Roman" w:cs="Times New Roman"/>
                <w:sz w:val="20"/>
                <w:szCs w:val="20"/>
              </w:rPr>
              <w:t>7 years</w:t>
            </w:r>
          </w:p>
        </w:tc>
        <w:tc>
          <w:tcPr>
            <w:tcW w:w="0" w:type="auto"/>
            <w:vMerge w:val="restart"/>
            <w:vAlign w:val="center"/>
          </w:tcPr>
          <w:p w14:paraId="28042880" w14:textId="591D2871" w:rsidR="00A80D12" w:rsidRPr="001658A7" w:rsidRDefault="00A80D12" w:rsidP="00A80D12">
            <w:pPr>
              <w:rPr>
                <w:rFonts w:ascii="Times New Roman" w:hAnsi="Times New Roman" w:cs="Times New Roman"/>
                <w:sz w:val="20"/>
                <w:szCs w:val="20"/>
              </w:rPr>
            </w:pPr>
            <w:r w:rsidRPr="001658A7">
              <w:rPr>
                <w:rFonts w:ascii="Times New Roman" w:hAnsi="Times New Roman" w:cs="Times New Roman"/>
                <w:sz w:val="20"/>
                <w:szCs w:val="20"/>
              </w:rPr>
              <w:t>30%</w:t>
            </w:r>
          </w:p>
        </w:tc>
      </w:tr>
      <w:tr w:rsidR="00A80D12" w:rsidRPr="00A80D12" w14:paraId="51744B69" w14:textId="429270F2" w:rsidTr="00E24DA0">
        <w:trPr>
          <w:jc w:val="center"/>
        </w:trPr>
        <w:tc>
          <w:tcPr>
            <w:tcW w:w="0" w:type="auto"/>
            <w:vAlign w:val="center"/>
          </w:tcPr>
          <w:p w14:paraId="64BA12E8" w14:textId="77777777" w:rsidR="00A80D12" w:rsidRPr="001658A7" w:rsidRDefault="00A80D12" w:rsidP="00A80D12">
            <w:pPr>
              <w:rPr>
                <w:rFonts w:ascii="Times New Roman" w:hAnsi="Times New Roman" w:cs="Times New Roman"/>
                <w:sz w:val="20"/>
                <w:szCs w:val="20"/>
              </w:rPr>
            </w:pPr>
            <w:r w:rsidRPr="001658A7">
              <w:rPr>
                <w:rFonts w:ascii="Times New Roman" w:hAnsi="Times New Roman" w:cs="Times New Roman"/>
                <w:sz w:val="20"/>
                <w:szCs w:val="20"/>
              </w:rPr>
              <w:t>(13) Manufacturing machinery and equipment eligible under CGS 12-81 (76) for exemption (requires a separate exemption claim form as well)</w:t>
            </w:r>
          </w:p>
        </w:tc>
        <w:tc>
          <w:tcPr>
            <w:tcW w:w="0" w:type="auto"/>
            <w:vMerge/>
          </w:tcPr>
          <w:p w14:paraId="0CDE491B" w14:textId="336CC7BF" w:rsidR="00A80D12" w:rsidRPr="001658A7" w:rsidRDefault="00A80D12" w:rsidP="001A1510">
            <w:pPr>
              <w:rPr>
                <w:rFonts w:ascii="Times New Roman" w:hAnsi="Times New Roman" w:cs="Times New Roman"/>
                <w:sz w:val="20"/>
                <w:szCs w:val="20"/>
              </w:rPr>
            </w:pPr>
          </w:p>
        </w:tc>
        <w:tc>
          <w:tcPr>
            <w:tcW w:w="0" w:type="auto"/>
            <w:vMerge/>
            <w:vAlign w:val="center"/>
          </w:tcPr>
          <w:p w14:paraId="1CD3168E" w14:textId="111D7DB8" w:rsidR="00A80D12" w:rsidRPr="001658A7" w:rsidRDefault="00A80D12" w:rsidP="00A80D12">
            <w:pPr>
              <w:rPr>
                <w:rFonts w:ascii="Times New Roman" w:hAnsi="Times New Roman" w:cs="Times New Roman"/>
                <w:sz w:val="20"/>
                <w:szCs w:val="20"/>
              </w:rPr>
            </w:pPr>
          </w:p>
        </w:tc>
        <w:tc>
          <w:tcPr>
            <w:tcW w:w="0" w:type="auto"/>
            <w:vMerge/>
            <w:vAlign w:val="center"/>
          </w:tcPr>
          <w:p w14:paraId="0703C178" w14:textId="43899B74" w:rsidR="00A80D12" w:rsidRPr="001658A7" w:rsidRDefault="00A80D12" w:rsidP="00A80D12">
            <w:pPr>
              <w:rPr>
                <w:rFonts w:ascii="Times New Roman" w:hAnsi="Times New Roman" w:cs="Times New Roman"/>
                <w:sz w:val="20"/>
                <w:szCs w:val="20"/>
              </w:rPr>
            </w:pPr>
          </w:p>
        </w:tc>
      </w:tr>
      <w:tr w:rsidR="00596988" w:rsidRPr="00A80D12" w14:paraId="7954C2B6" w14:textId="3621CBFF" w:rsidTr="00E24DA0">
        <w:trPr>
          <w:jc w:val="center"/>
        </w:trPr>
        <w:tc>
          <w:tcPr>
            <w:tcW w:w="0" w:type="auto"/>
            <w:vAlign w:val="center"/>
          </w:tcPr>
          <w:p w14:paraId="757DE205" w14:textId="77777777" w:rsidR="00596988" w:rsidRPr="001658A7" w:rsidRDefault="00596988" w:rsidP="00A80D12">
            <w:pPr>
              <w:rPr>
                <w:rFonts w:ascii="Times New Roman" w:hAnsi="Times New Roman" w:cs="Times New Roman"/>
                <w:sz w:val="20"/>
                <w:szCs w:val="20"/>
              </w:rPr>
            </w:pPr>
            <w:r w:rsidRPr="001658A7">
              <w:rPr>
                <w:rFonts w:ascii="Times New Roman" w:hAnsi="Times New Roman" w:cs="Times New Roman"/>
                <w:sz w:val="20"/>
                <w:szCs w:val="20"/>
              </w:rPr>
              <w:t>(14) Mobile manufactured homes not currently assessed as real estate</w:t>
            </w:r>
          </w:p>
        </w:tc>
        <w:tc>
          <w:tcPr>
            <w:tcW w:w="0" w:type="auto"/>
          </w:tcPr>
          <w:p w14:paraId="1AA2CE4E" w14:textId="578E5587" w:rsidR="00596988" w:rsidRPr="001658A7" w:rsidRDefault="00596988" w:rsidP="00596988">
            <w:pPr>
              <w:rPr>
                <w:rFonts w:ascii="Times New Roman" w:hAnsi="Times New Roman" w:cs="Times New Roman"/>
                <w:sz w:val="20"/>
                <w:szCs w:val="20"/>
              </w:rPr>
            </w:pPr>
            <w:r w:rsidRPr="001658A7">
              <w:rPr>
                <w:rFonts w:ascii="Times New Roman" w:hAnsi="Times New Roman" w:cs="Times New Roman"/>
                <w:sz w:val="20"/>
                <w:szCs w:val="20"/>
              </w:rPr>
              <w:t>Year, make, model, length, width, bedrooms, baths</w:t>
            </w:r>
          </w:p>
        </w:tc>
        <w:tc>
          <w:tcPr>
            <w:tcW w:w="0" w:type="auto"/>
            <w:vAlign w:val="center"/>
          </w:tcPr>
          <w:p w14:paraId="668696C1" w14:textId="1CB01380" w:rsidR="00596988" w:rsidRPr="001658A7" w:rsidRDefault="00596988" w:rsidP="00A80D12">
            <w:pPr>
              <w:rPr>
                <w:rFonts w:ascii="Times New Roman" w:hAnsi="Times New Roman" w:cs="Times New Roman"/>
                <w:sz w:val="20"/>
                <w:szCs w:val="20"/>
              </w:rPr>
            </w:pPr>
            <w:r w:rsidRPr="001658A7">
              <w:rPr>
                <w:rFonts w:ascii="Times New Roman" w:hAnsi="Times New Roman" w:cs="Times New Roman"/>
                <w:sz w:val="20"/>
                <w:szCs w:val="20"/>
              </w:rPr>
              <w:t>None</w:t>
            </w:r>
          </w:p>
        </w:tc>
        <w:tc>
          <w:tcPr>
            <w:tcW w:w="0" w:type="auto"/>
            <w:vAlign w:val="center"/>
          </w:tcPr>
          <w:p w14:paraId="499BC057" w14:textId="20ECFDAE" w:rsidR="00596988" w:rsidRPr="001658A7" w:rsidRDefault="00596988" w:rsidP="00A80D12">
            <w:pPr>
              <w:rPr>
                <w:rFonts w:ascii="Times New Roman" w:hAnsi="Times New Roman" w:cs="Times New Roman"/>
                <w:sz w:val="20"/>
                <w:szCs w:val="20"/>
              </w:rPr>
            </w:pPr>
            <w:r w:rsidRPr="001658A7">
              <w:rPr>
                <w:rFonts w:ascii="Times New Roman" w:hAnsi="Times New Roman" w:cs="Times New Roman"/>
                <w:sz w:val="20"/>
                <w:szCs w:val="20"/>
              </w:rPr>
              <w:t>Current value</w:t>
            </w:r>
          </w:p>
        </w:tc>
      </w:tr>
      <w:tr w:rsidR="00A80D12" w:rsidRPr="00A80D12" w14:paraId="0999C7E2" w14:textId="772EA71D" w:rsidTr="00E24DA0">
        <w:trPr>
          <w:jc w:val="center"/>
        </w:trPr>
        <w:tc>
          <w:tcPr>
            <w:tcW w:w="0" w:type="auto"/>
            <w:vAlign w:val="center"/>
          </w:tcPr>
          <w:p w14:paraId="43BECBB5" w14:textId="77777777" w:rsidR="00A80D12" w:rsidRPr="001658A7" w:rsidRDefault="00A80D12" w:rsidP="00A80D12">
            <w:pPr>
              <w:rPr>
                <w:rFonts w:ascii="Times New Roman" w:hAnsi="Times New Roman" w:cs="Times New Roman"/>
                <w:sz w:val="20"/>
                <w:szCs w:val="20"/>
              </w:rPr>
            </w:pPr>
            <w:r w:rsidRPr="001658A7">
              <w:rPr>
                <w:rFonts w:ascii="Times New Roman" w:hAnsi="Times New Roman" w:cs="Times New Roman"/>
                <w:sz w:val="20"/>
                <w:szCs w:val="20"/>
              </w:rPr>
              <w:t>(16) Furniture, fixtures and equipment</w:t>
            </w:r>
          </w:p>
        </w:tc>
        <w:tc>
          <w:tcPr>
            <w:tcW w:w="0" w:type="auto"/>
            <w:vMerge w:val="restart"/>
            <w:vAlign w:val="center"/>
          </w:tcPr>
          <w:p w14:paraId="6224B565" w14:textId="6EE3858C" w:rsidR="00A80D12" w:rsidRPr="001658A7" w:rsidRDefault="00A80D12" w:rsidP="00A80D12">
            <w:pPr>
              <w:rPr>
                <w:rFonts w:ascii="Times New Roman" w:hAnsi="Times New Roman" w:cs="Times New Roman"/>
                <w:sz w:val="20"/>
                <w:szCs w:val="20"/>
              </w:rPr>
            </w:pPr>
            <w:r w:rsidRPr="001658A7">
              <w:rPr>
                <w:rFonts w:ascii="Times New Roman" w:hAnsi="Times New Roman" w:cs="Times New Roman"/>
                <w:sz w:val="20"/>
                <w:szCs w:val="20"/>
              </w:rPr>
              <w:t>Original cost, transportation and installation</w:t>
            </w:r>
          </w:p>
        </w:tc>
        <w:tc>
          <w:tcPr>
            <w:tcW w:w="0" w:type="auto"/>
            <w:vMerge w:val="restart"/>
            <w:vAlign w:val="center"/>
          </w:tcPr>
          <w:p w14:paraId="786F3AF9" w14:textId="29872C85" w:rsidR="00A80D12" w:rsidRPr="001658A7" w:rsidRDefault="00A80D12" w:rsidP="00A80D12">
            <w:pPr>
              <w:rPr>
                <w:rFonts w:ascii="Times New Roman" w:hAnsi="Times New Roman" w:cs="Times New Roman"/>
                <w:sz w:val="20"/>
                <w:szCs w:val="20"/>
              </w:rPr>
            </w:pPr>
            <w:r w:rsidRPr="001658A7">
              <w:rPr>
                <w:rFonts w:ascii="Times New Roman" w:hAnsi="Times New Roman" w:cs="Times New Roman"/>
                <w:sz w:val="20"/>
                <w:szCs w:val="20"/>
              </w:rPr>
              <w:t>7 years</w:t>
            </w:r>
          </w:p>
        </w:tc>
        <w:tc>
          <w:tcPr>
            <w:tcW w:w="0" w:type="auto"/>
            <w:vMerge w:val="restart"/>
            <w:vAlign w:val="center"/>
          </w:tcPr>
          <w:p w14:paraId="53CDF7C0" w14:textId="41C3AA15" w:rsidR="00A80D12" w:rsidRPr="001658A7" w:rsidRDefault="00A80D12" w:rsidP="00A80D12">
            <w:pPr>
              <w:rPr>
                <w:rFonts w:ascii="Times New Roman" w:hAnsi="Times New Roman" w:cs="Times New Roman"/>
                <w:sz w:val="20"/>
                <w:szCs w:val="20"/>
              </w:rPr>
            </w:pPr>
            <w:r w:rsidRPr="001658A7">
              <w:rPr>
                <w:rFonts w:ascii="Times New Roman" w:hAnsi="Times New Roman" w:cs="Times New Roman"/>
                <w:sz w:val="20"/>
                <w:szCs w:val="20"/>
              </w:rPr>
              <w:t>30%</w:t>
            </w:r>
          </w:p>
        </w:tc>
      </w:tr>
      <w:tr w:rsidR="00A80D12" w:rsidRPr="00A80D12" w14:paraId="6E5315E9" w14:textId="1FA6501A" w:rsidTr="00E24DA0">
        <w:trPr>
          <w:jc w:val="center"/>
        </w:trPr>
        <w:tc>
          <w:tcPr>
            <w:tcW w:w="0" w:type="auto"/>
            <w:vAlign w:val="center"/>
          </w:tcPr>
          <w:p w14:paraId="6B95D681" w14:textId="77777777" w:rsidR="00A80D12" w:rsidRPr="001658A7" w:rsidRDefault="00A80D12" w:rsidP="00A80D12">
            <w:pPr>
              <w:rPr>
                <w:rFonts w:ascii="Times New Roman" w:hAnsi="Times New Roman" w:cs="Times New Roman"/>
                <w:sz w:val="20"/>
                <w:szCs w:val="20"/>
              </w:rPr>
            </w:pPr>
            <w:r w:rsidRPr="001658A7">
              <w:rPr>
                <w:rFonts w:ascii="Times New Roman" w:hAnsi="Times New Roman" w:cs="Times New Roman"/>
                <w:sz w:val="20"/>
                <w:szCs w:val="20"/>
              </w:rPr>
              <w:t>(17) Farm machinery</w:t>
            </w:r>
          </w:p>
        </w:tc>
        <w:tc>
          <w:tcPr>
            <w:tcW w:w="0" w:type="auto"/>
            <w:vMerge/>
          </w:tcPr>
          <w:p w14:paraId="4F5A99C0" w14:textId="64105FA9" w:rsidR="00A80D12" w:rsidRPr="001658A7" w:rsidRDefault="00A80D12" w:rsidP="00596988">
            <w:pPr>
              <w:rPr>
                <w:rFonts w:ascii="Times New Roman" w:hAnsi="Times New Roman" w:cs="Times New Roman"/>
                <w:sz w:val="20"/>
                <w:szCs w:val="20"/>
              </w:rPr>
            </w:pPr>
          </w:p>
        </w:tc>
        <w:tc>
          <w:tcPr>
            <w:tcW w:w="0" w:type="auto"/>
            <w:vMerge/>
          </w:tcPr>
          <w:p w14:paraId="68AA312C" w14:textId="7BB4D9B1" w:rsidR="00A80D12" w:rsidRPr="001658A7" w:rsidRDefault="00A80D12" w:rsidP="00596988">
            <w:pPr>
              <w:rPr>
                <w:rFonts w:ascii="Times New Roman" w:hAnsi="Times New Roman" w:cs="Times New Roman"/>
                <w:sz w:val="20"/>
                <w:szCs w:val="20"/>
              </w:rPr>
            </w:pPr>
          </w:p>
        </w:tc>
        <w:tc>
          <w:tcPr>
            <w:tcW w:w="0" w:type="auto"/>
            <w:vMerge/>
          </w:tcPr>
          <w:p w14:paraId="4A5BB6A2" w14:textId="1D30FF0A" w:rsidR="00A80D12" w:rsidRPr="001658A7" w:rsidRDefault="00A80D12" w:rsidP="00596988">
            <w:pPr>
              <w:rPr>
                <w:rFonts w:ascii="Times New Roman" w:hAnsi="Times New Roman" w:cs="Times New Roman"/>
                <w:sz w:val="20"/>
                <w:szCs w:val="20"/>
              </w:rPr>
            </w:pPr>
          </w:p>
        </w:tc>
      </w:tr>
      <w:tr w:rsidR="00A80D12" w:rsidRPr="00A80D12" w14:paraId="3747AA03" w14:textId="3B7A3FBD" w:rsidTr="00E24DA0">
        <w:trPr>
          <w:jc w:val="center"/>
        </w:trPr>
        <w:tc>
          <w:tcPr>
            <w:tcW w:w="0" w:type="auto"/>
            <w:vAlign w:val="center"/>
          </w:tcPr>
          <w:p w14:paraId="047C8003" w14:textId="09FF1D67" w:rsidR="00A80D12" w:rsidRPr="001658A7" w:rsidRDefault="00A80D12" w:rsidP="00A80D12">
            <w:pPr>
              <w:rPr>
                <w:rFonts w:ascii="Times New Roman" w:hAnsi="Times New Roman" w:cs="Times New Roman"/>
                <w:sz w:val="20"/>
                <w:szCs w:val="20"/>
              </w:rPr>
            </w:pPr>
            <w:r w:rsidRPr="001658A7">
              <w:rPr>
                <w:rFonts w:ascii="Times New Roman" w:hAnsi="Times New Roman" w:cs="Times New Roman"/>
                <w:sz w:val="20"/>
                <w:szCs w:val="20"/>
              </w:rPr>
              <w:t>(18) Farm tools</w:t>
            </w:r>
            <w:r w:rsidR="00FB1E45" w:rsidRPr="001658A7">
              <w:rPr>
                <w:rFonts w:ascii="Times New Roman" w:hAnsi="Times New Roman" w:cs="Times New Roman"/>
                <w:sz w:val="20"/>
                <w:szCs w:val="20"/>
                <w:vertAlign w:val="superscript"/>
              </w:rPr>
              <w:t>3</w:t>
            </w:r>
          </w:p>
        </w:tc>
        <w:tc>
          <w:tcPr>
            <w:tcW w:w="0" w:type="auto"/>
            <w:vMerge/>
          </w:tcPr>
          <w:p w14:paraId="7F43D2E7" w14:textId="25C3CF36" w:rsidR="00A80D12" w:rsidRPr="001658A7" w:rsidRDefault="00A80D12" w:rsidP="00596988">
            <w:pPr>
              <w:rPr>
                <w:rFonts w:ascii="Times New Roman" w:hAnsi="Times New Roman" w:cs="Times New Roman"/>
                <w:sz w:val="20"/>
                <w:szCs w:val="20"/>
              </w:rPr>
            </w:pPr>
          </w:p>
        </w:tc>
        <w:tc>
          <w:tcPr>
            <w:tcW w:w="0" w:type="auto"/>
            <w:vMerge/>
          </w:tcPr>
          <w:p w14:paraId="3A1470B1" w14:textId="2CC1E6E6" w:rsidR="00A80D12" w:rsidRPr="001658A7" w:rsidRDefault="00A80D12" w:rsidP="00596988">
            <w:pPr>
              <w:rPr>
                <w:rFonts w:ascii="Times New Roman" w:hAnsi="Times New Roman" w:cs="Times New Roman"/>
                <w:sz w:val="20"/>
                <w:szCs w:val="20"/>
              </w:rPr>
            </w:pPr>
          </w:p>
        </w:tc>
        <w:tc>
          <w:tcPr>
            <w:tcW w:w="0" w:type="auto"/>
            <w:vMerge/>
          </w:tcPr>
          <w:p w14:paraId="5BEC1C29" w14:textId="6332BE78" w:rsidR="00A80D12" w:rsidRPr="001658A7" w:rsidRDefault="00A80D12" w:rsidP="00596988">
            <w:pPr>
              <w:rPr>
                <w:rFonts w:ascii="Times New Roman" w:hAnsi="Times New Roman" w:cs="Times New Roman"/>
                <w:sz w:val="20"/>
                <w:szCs w:val="20"/>
              </w:rPr>
            </w:pPr>
          </w:p>
        </w:tc>
      </w:tr>
      <w:tr w:rsidR="00A80D12" w:rsidRPr="00A80D12" w14:paraId="0EE568B2" w14:textId="0C013D52" w:rsidTr="00E24DA0">
        <w:trPr>
          <w:jc w:val="center"/>
        </w:trPr>
        <w:tc>
          <w:tcPr>
            <w:tcW w:w="0" w:type="auto"/>
            <w:vAlign w:val="center"/>
          </w:tcPr>
          <w:p w14:paraId="53521466" w14:textId="62757E5F" w:rsidR="00A80D12" w:rsidRPr="001658A7" w:rsidRDefault="00A80D12" w:rsidP="00A80D12">
            <w:pPr>
              <w:rPr>
                <w:rFonts w:ascii="Times New Roman" w:hAnsi="Times New Roman" w:cs="Times New Roman"/>
                <w:sz w:val="20"/>
                <w:szCs w:val="20"/>
              </w:rPr>
            </w:pPr>
            <w:r w:rsidRPr="001658A7">
              <w:rPr>
                <w:rFonts w:ascii="Times New Roman" w:hAnsi="Times New Roman" w:cs="Times New Roman"/>
                <w:sz w:val="20"/>
                <w:szCs w:val="20"/>
              </w:rPr>
              <w:t>(19) Mechanics tools</w:t>
            </w:r>
            <w:r w:rsidR="00FB1E45" w:rsidRPr="001658A7">
              <w:rPr>
                <w:rFonts w:ascii="Times New Roman" w:hAnsi="Times New Roman" w:cs="Times New Roman"/>
                <w:sz w:val="20"/>
                <w:szCs w:val="20"/>
                <w:vertAlign w:val="superscript"/>
              </w:rPr>
              <w:t>3</w:t>
            </w:r>
          </w:p>
        </w:tc>
        <w:tc>
          <w:tcPr>
            <w:tcW w:w="0" w:type="auto"/>
            <w:vMerge/>
          </w:tcPr>
          <w:p w14:paraId="38FF004D" w14:textId="2D62D4C7" w:rsidR="00A80D12" w:rsidRPr="001658A7" w:rsidRDefault="00A80D12" w:rsidP="00A80D12">
            <w:pPr>
              <w:rPr>
                <w:rFonts w:ascii="Times New Roman" w:hAnsi="Times New Roman" w:cs="Times New Roman"/>
                <w:sz w:val="20"/>
                <w:szCs w:val="20"/>
              </w:rPr>
            </w:pPr>
          </w:p>
        </w:tc>
        <w:tc>
          <w:tcPr>
            <w:tcW w:w="0" w:type="auto"/>
            <w:vMerge/>
          </w:tcPr>
          <w:p w14:paraId="0FCC78BB" w14:textId="327E2BCB" w:rsidR="00A80D12" w:rsidRPr="001658A7" w:rsidRDefault="00A80D12" w:rsidP="00A80D12">
            <w:pPr>
              <w:rPr>
                <w:rFonts w:ascii="Times New Roman" w:hAnsi="Times New Roman" w:cs="Times New Roman"/>
                <w:sz w:val="20"/>
                <w:szCs w:val="20"/>
              </w:rPr>
            </w:pPr>
          </w:p>
        </w:tc>
        <w:tc>
          <w:tcPr>
            <w:tcW w:w="0" w:type="auto"/>
            <w:vMerge/>
          </w:tcPr>
          <w:p w14:paraId="269A1FE6" w14:textId="63F1134C" w:rsidR="00A80D12" w:rsidRPr="001658A7" w:rsidRDefault="00A80D12" w:rsidP="00A80D12">
            <w:pPr>
              <w:rPr>
                <w:rFonts w:ascii="Times New Roman" w:hAnsi="Times New Roman" w:cs="Times New Roman"/>
                <w:sz w:val="20"/>
                <w:szCs w:val="20"/>
              </w:rPr>
            </w:pPr>
          </w:p>
        </w:tc>
      </w:tr>
      <w:tr w:rsidR="00A80D12" w:rsidRPr="00A80D12" w14:paraId="795E550C" w14:textId="01C67B5F" w:rsidTr="00E24DA0">
        <w:trPr>
          <w:jc w:val="center"/>
        </w:trPr>
        <w:tc>
          <w:tcPr>
            <w:tcW w:w="0" w:type="auto"/>
            <w:vAlign w:val="center"/>
          </w:tcPr>
          <w:p w14:paraId="11EE2DC3" w14:textId="2D1A6C2E" w:rsidR="00E24DA0" w:rsidRPr="001658A7" w:rsidRDefault="00A80D12" w:rsidP="0002171E">
            <w:pPr>
              <w:rPr>
                <w:rFonts w:ascii="Times New Roman" w:hAnsi="Times New Roman" w:cs="Times New Roman"/>
                <w:sz w:val="20"/>
                <w:szCs w:val="20"/>
              </w:rPr>
            </w:pPr>
            <w:r w:rsidRPr="001658A7">
              <w:rPr>
                <w:rFonts w:ascii="Times New Roman" w:hAnsi="Times New Roman" w:cs="Times New Roman"/>
                <w:sz w:val="20"/>
                <w:szCs w:val="20"/>
              </w:rPr>
              <w:t>(20) Electronic data processing equipment</w:t>
            </w:r>
            <w:r w:rsidRPr="001658A7">
              <w:rPr>
                <w:rStyle w:val="FootnoteReference"/>
                <w:rFonts w:ascii="Times New Roman" w:hAnsi="Times New Roman" w:cs="Times New Roman"/>
                <w:sz w:val="20"/>
                <w:szCs w:val="20"/>
              </w:rPr>
              <w:footnoteReference w:id="4"/>
            </w:r>
          </w:p>
        </w:tc>
        <w:tc>
          <w:tcPr>
            <w:tcW w:w="0" w:type="auto"/>
            <w:vMerge/>
          </w:tcPr>
          <w:p w14:paraId="16584412" w14:textId="77777777" w:rsidR="00A80D12" w:rsidRPr="001658A7" w:rsidRDefault="00A80D12" w:rsidP="00A80D12">
            <w:pPr>
              <w:rPr>
                <w:rFonts w:ascii="Times New Roman" w:hAnsi="Times New Roman" w:cs="Times New Roman"/>
                <w:sz w:val="20"/>
                <w:szCs w:val="20"/>
              </w:rPr>
            </w:pPr>
          </w:p>
        </w:tc>
        <w:tc>
          <w:tcPr>
            <w:tcW w:w="0" w:type="auto"/>
          </w:tcPr>
          <w:p w14:paraId="680A201E" w14:textId="5D84B5FE" w:rsidR="00A80D12" w:rsidRPr="001658A7" w:rsidRDefault="00A80D12" w:rsidP="00A80D12">
            <w:pPr>
              <w:rPr>
                <w:rFonts w:ascii="Times New Roman" w:hAnsi="Times New Roman" w:cs="Times New Roman"/>
                <w:sz w:val="20"/>
                <w:szCs w:val="20"/>
              </w:rPr>
            </w:pPr>
            <w:r w:rsidRPr="001658A7">
              <w:rPr>
                <w:rFonts w:ascii="Times New Roman" w:hAnsi="Times New Roman" w:cs="Times New Roman"/>
                <w:sz w:val="20"/>
                <w:szCs w:val="20"/>
              </w:rPr>
              <w:t>4 years</w:t>
            </w:r>
          </w:p>
        </w:tc>
        <w:tc>
          <w:tcPr>
            <w:tcW w:w="0" w:type="auto"/>
          </w:tcPr>
          <w:p w14:paraId="3677A38F" w14:textId="4746CBC8" w:rsidR="00A80D12" w:rsidRPr="001658A7" w:rsidRDefault="00A80D12" w:rsidP="00A80D12">
            <w:pPr>
              <w:rPr>
                <w:rFonts w:ascii="Times New Roman" w:hAnsi="Times New Roman" w:cs="Times New Roman"/>
                <w:sz w:val="20"/>
                <w:szCs w:val="20"/>
              </w:rPr>
            </w:pPr>
            <w:r w:rsidRPr="001658A7">
              <w:rPr>
                <w:rFonts w:ascii="Times New Roman" w:hAnsi="Times New Roman" w:cs="Times New Roman"/>
                <w:sz w:val="20"/>
                <w:szCs w:val="20"/>
              </w:rPr>
              <w:t>20%</w:t>
            </w:r>
          </w:p>
        </w:tc>
      </w:tr>
      <w:tr w:rsidR="00A80D12" w:rsidRPr="00A80D12" w14:paraId="7C37A382" w14:textId="26CA79B3" w:rsidTr="00E24DA0">
        <w:trPr>
          <w:jc w:val="center"/>
        </w:trPr>
        <w:tc>
          <w:tcPr>
            <w:tcW w:w="0" w:type="auto"/>
            <w:vAlign w:val="center"/>
          </w:tcPr>
          <w:p w14:paraId="32F1AAF1" w14:textId="77777777" w:rsidR="00A80D12" w:rsidRPr="001658A7" w:rsidRDefault="00A80D12" w:rsidP="00A80D12">
            <w:pPr>
              <w:rPr>
                <w:rFonts w:ascii="Times New Roman" w:hAnsi="Times New Roman" w:cs="Times New Roman"/>
                <w:sz w:val="20"/>
                <w:szCs w:val="20"/>
              </w:rPr>
            </w:pPr>
            <w:r w:rsidRPr="001658A7">
              <w:rPr>
                <w:rFonts w:ascii="Times New Roman" w:hAnsi="Times New Roman" w:cs="Times New Roman"/>
                <w:sz w:val="20"/>
                <w:szCs w:val="20"/>
              </w:rPr>
              <w:t>(21a) Telecommunications company equipment not technologically advanced</w:t>
            </w:r>
          </w:p>
        </w:tc>
        <w:tc>
          <w:tcPr>
            <w:tcW w:w="0" w:type="auto"/>
            <w:vMerge w:val="restart"/>
            <w:vAlign w:val="center"/>
          </w:tcPr>
          <w:p w14:paraId="2D83D803" w14:textId="24DD9B88" w:rsidR="00A80D12" w:rsidRPr="001658A7" w:rsidRDefault="00A80D12" w:rsidP="00A80D12">
            <w:pPr>
              <w:rPr>
                <w:rFonts w:ascii="Times New Roman" w:hAnsi="Times New Roman" w:cs="Times New Roman"/>
                <w:sz w:val="20"/>
                <w:szCs w:val="20"/>
              </w:rPr>
            </w:pPr>
            <w:r w:rsidRPr="001658A7">
              <w:rPr>
                <w:rFonts w:ascii="Times New Roman" w:hAnsi="Times New Roman" w:cs="Times New Roman"/>
                <w:sz w:val="20"/>
                <w:szCs w:val="20"/>
              </w:rPr>
              <w:t>Original cost, transportation and installation</w:t>
            </w:r>
          </w:p>
        </w:tc>
        <w:tc>
          <w:tcPr>
            <w:tcW w:w="0" w:type="auto"/>
            <w:vAlign w:val="center"/>
          </w:tcPr>
          <w:p w14:paraId="0F5B0257" w14:textId="64A485E6" w:rsidR="00A80D12" w:rsidRPr="001658A7" w:rsidRDefault="00A80D12" w:rsidP="00A80D12">
            <w:pPr>
              <w:rPr>
                <w:rFonts w:ascii="Times New Roman" w:hAnsi="Times New Roman" w:cs="Times New Roman"/>
                <w:sz w:val="20"/>
                <w:szCs w:val="20"/>
              </w:rPr>
            </w:pPr>
            <w:r w:rsidRPr="001658A7">
              <w:rPr>
                <w:rFonts w:ascii="Times New Roman" w:hAnsi="Times New Roman" w:cs="Times New Roman"/>
                <w:sz w:val="20"/>
                <w:szCs w:val="20"/>
              </w:rPr>
              <w:t>7 years</w:t>
            </w:r>
          </w:p>
        </w:tc>
        <w:tc>
          <w:tcPr>
            <w:tcW w:w="0" w:type="auto"/>
            <w:vAlign w:val="center"/>
          </w:tcPr>
          <w:p w14:paraId="40AB7CDA" w14:textId="16B1AC10" w:rsidR="00A80D12" w:rsidRPr="001658A7" w:rsidRDefault="00A80D12" w:rsidP="00A80D12">
            <w:pPr>
              <w:rPr>
                <w:rFonts w:ascii="Times New Roman" w:hAnsi="Times New Roman" w:cs="Times New Roman"/>
                <w:sz w:val="20"/>
                <w:szCs w:val="20"/>
              </w:rPr>
            </w:pPr>
            <w:r w:rsidRPr="001658A7">
              <w:rPr>
                <w:rFonts w:ascii="Times New Roman" w:hAnsi="Times New Roman" w:cs="Times New Roman"/>
                <w:sz w:val="20"/>
                <w:szCs w:val="20"/>
              </w:rPr>
              <w:t>30%</w:t>
            </w:r>
          </w:p>
        </w:tc>
      </w:tr>
      <w:tr w:rsidR="00A80D12" w:rsidRPr="00A80D12" w14:paraId="7EBF2876" w14:textId="0DE19336" w:rsidTr="00E24DA0">
        <w:trPr>
          <w:jc w:val="center"/>
        </w:trPr>
        <w:tc>
          <w:tcPr>
            <w:tcW w:w="0" w:type="auto"/>
            <w:vAlign w:val="center"/>
          </w:tcPr>
          <w:p w14:paraId="7D88A8C2" w14:textId="77777777" w:rsidR="00A80D12" w:rsidRPr="001658A7" w:rsidRDefault="00A80D12" w:rsidP="00A80D12">
            <w:pPr>
              <w:rPr>
                <w:rFonts w:ascii="Times New Roman" w:hAnsi="Times New Roman" w:cs="Times New Roman"/>
                <w:sz w:val="20"/>
                <w:szCs w:val="20"/>
              </w:rPr>
            </w:pPr>
            <w:r w:rsidRPr="001658A7">
              <w:rPr>
                <w:rFonts w:ascii="Times New Roman" w:hAnsi="Times New Roman" w:cs="Times New Roman"/>
                <w:sz w:val="20"/>
                <w:szCs w:val="20"/>
              </w:rPr>
              <w:t>(21b) Telecommunications company equipment technologically advanced</w:t>
            </w:r>
          </w:p>
        </w:tc>
        <w:tc>
          <w:tcPr>
            <w:tcW w:w="0" w:type="auto"/>
            <w:vMerge/>
            <w:vAlign w:val="center"/>
          </w:tcPr>
          <w:p w14:paraId="1E72C7E0" w14:textId="6BD788BD" w:rsidR="00A80D12" w:rsidRPr="001658A7" w:rsidRDefault="00A80D12" w:rsidP="00A80D12">
            <w:pPr>
              <w:rPr>
                <w:rFonts w:ascii="Times New Roman" w:hAnsi="Times New Roman" w:cs="Times New Roman"/>
                <w:sz w:val="20"/>
                <w:szCs w:val="20"/>
              </w:rPr>
            </w:pPr>
          </w:p>
        </w:tc>
        <w:tc>
          <w:tcPr>
            <w:tcW w:w="0" w:type="auto"/>
            <w:vAlign w:val="center"/>
          </w:tcPr>
          <w:p w14:paraId="04ADB80D" w14:textId="49C50EAE" w:rsidR="00A80D12" w:rsidRPr="001658A7" w:rsidRDefault="00A80D12" w:rsidP="00A80D12">
            <w:pPr>
              <w:rPr>
                <w:rFonts w:ascii="Times New Roman" w:hAnsi="Times New Roman" w:cs="Times New Roman"/>
                <w:sz w:val="20"/>
                <w:szCs w:val="20"/>
              </w:rPr>
            </w:pPr>
            <w:r w:rsidRPr="001658A7">
              <w:rPr>
                <w:rFonts w:ascii="Times New Roman" w:hAnsi="Times New Roman" w:cs="Times New Roman"/>
                <w:sz w:val="20"/>
                <w:szCs w:val="20"/>
              </w:rPr>
              <w:t>4 years</w:t>
            </w:r>
          </w:p>
        </w:tc>
        <w:tc>
          <w:tcPr>
            <w:tcW w:w="0" w:type="auto"/>
            <w:vAlign w:val="center"/>
          </w:tcPr>
          <w:p w14:paraId="21D93431" w14:textId="191593E5" w:rsidR="00A80D12" w:rsidRPr="001658A7" w:rsidRDefault="00A80D12" w:rsidP="00A80D12">
            <w:pPr>
              <w:rPr>
                <w:rFonts w:ascii="Times New Roman" w:hAnsi="Times New Roman" w:cs="Times New Roman"/>
                <w:sz w:val="20"/>
                <w:szCs w:val="20"/>
              </w:rPr>
            </w:pPr>
            <w:r w:rsidRPr="001658A7">
              <w:rPr>
                <w:rFonts w:ascii="Times New Roman" w:hAnsi="Times New Roman" w:cs="Times New Roman"/>
                <w:sz w:val="20"/>
                <w:szCs w:val="20"/>
              </w:rPr>
              <w:t>20%</w:t>
            </w:r>
          </w:p>
        </w:tc>
      </w:tr>
      <w:tr w:rsidR="00A80D12" w:rsidRPr="00A80D12" w14:paraId="0103F153" w14:textId="24B410C5" w:rsidTr="00E24DA0">
        <w:trPr>
          <w:jc w:val="center"/>
        </w:trPr>
        <w:tc>
          <w:tcPr>
            <w:tcW w:w="0" w:type="auto"/>
            <w:vAlign w:val="center"/>
          </w:tcPr>
          <w:p w14:paraId="06803F2A" w14:textId="77777777" w:rsidR="00A80D12" w:rsidRPr="001658A7" w:rsidRDefault="00A80D12" w:rsidP="00A80D12">
            <w:pPr>
              <w:rPr>
                <w:rFonts w:ascii="Times New Roman" w:hAnsi="Times New Roman" w:cs="Times New Roman"/>
                <w:sz w:val="20"/>
                <w:szCs w:val="20"/>
              </w:rPr>
            </w:pPr>
            <w:r w:rsidRPr="001658A7">
              <w:rPr>
                <w:rFonts w:ascii="Times New Roman" w:hAnsi="Times New Roman" w:cs="Times New Roman"/>
                <w:sz w:val="20"/>
                <w:szCs w:val="20"/>
              </w:rPr>
              <w:t>(22) Cables, conduits, pipes, etc.</w:t>
            </w:r>
          </w:p>
        </w:tc>
        <w:tc>
          <w:tcPr>
            <w:tcW w:w="0" w:type="auto"/>
            <w:vMerge/>
          </w:tcPr>
          <w:p w14:paraId="78C3FCDA" w14:textId="77777777" w:rsidR="00A80D12" w:rsidRPr="001658A7" w:rsidRDefault="00A80D12" w:rsidP="00A80D12">
            <w:pPr>
              <w:rPr>
                <w:rFonts w:ascii="Times New Roman" w:hAnsi="Times New Roman" w:cs="Times New Roman"/>
                <w:sz w:val="20"/>
                <w:szCs w:val="20"/>
              </w:rPr>
            </w:pPr>
          </w:p>
        </w:tc>
        <w:tc>
          <w:tcPr>
            <w:tcW w:w="0" w:type="auto"/>
            <w:vAlign w:val="center"/>
          </w:tcPr>
          <w:p w14:paraId="5253902C" w14:textId="41AC3E7E" w:rsidR="00A80D12" w:rsidRPr="001658A7" w:rsidRDefault="00A80D12" w:rsidP="00A80D12">
            <w:pPr>
              <w:rPr>
                <w:rFonts w:ascii="Times New Roman" w:hAnsi="Times New Roman" w:cs="Times New Roman"/>
                <w:sz w:val="20"/>
                <w:szCs w:val="20"/>
              </w:rPr>
            </w:pPr>
            <w:r w:rsidRPr="001658A7">
              <w:rPr>
                <w:rFonts w:ascii="Times New Roman" w:hAnsi="Times New Roman" w:cs="Times New Roman"/>
                <w:sz w:val="20"/>
                <w:szCs w:val="20"/>
              </w:rPr>
              <w:t>Not specified</w:t>
            </w:r>
          </w:p>
        </w:tc>
        <w:tc>
          <w:tcPr>
            <w:tcW w:w="0" w:type="auto"/>
            <w:vAlign w:val="center"/>
          </w:tcPr>
          <w:p w14:paraId="2AF42EA8" w14:textId="282ACD4D" w:rsidR="00A80D12" w:rsidRPr="001658A7" w:rsidRDefault="00A80D12" w:rsidP="00A80D12">
            <w:pPr>
              <w:rPr>
                <w:rFonts w:ascii="Times New Roman" w:hAnsi="Times New Roman" w:cs="Times New Roman"/>
                <w:sz w:val="20"/>
                <w:szCs w:val="20"/>
              </w:rPr>
            </w:pPr>
            <w:r w:rsidRPr="001658A7">
              <w:rPr>
                <w:rFonts w:ascii="Times New Roman" w:hAnsi="Times New Roman" w:cs="Times New Roman"/>
                <w:sz w:val="20"/>
                <w:szCs w:val="20"/>
              </w:rPr>
              <w:t>Depreciated value</w:t>
            </w:r>
          </w:p>
        </w:tc>
      </w:tr>
      <w:tr w:rsidR="00A80D12" w:rsidRPr="00A80D12" w14:paraId="30029EBE" w14:textId="74AEBBBE" w:rsidTr="00E24DA0">
        <w:trPr>
          <w:jc w:val="center"/>
        </w:trPr>
        <w:tc>
          <w:tcPr>
            <w:tcW w:w="0" w:type="auto"/>
            <w:vAlign w:val="center"/>
          </w:tcPr>
          <w:p w14:paraId="0F4DA012" w14:textId="77777777" w:rsidR="00A80D12" w:rsidRPr="001658A7" w:rsidRDefault="00A80D12" w:rsidP="00A80D12">
            <w:pPr>
              <w:rPr>
                <w:rFonts w:ascii="Times New Roman" w:hAnsi="Times New Roman" w:cs="Times New Roman"/>
                <w:sz w:val="20"/>
                <w:szCs w:val="20"/>
              </w:rPr>
            </w:pPr>
            <w:r w:rsidRPr="001658A7">
              <w:rPr>
                <w:rFonts w:ascii="Times New Roman" w:hAnsi="Times New Roman" w:cs="Times New Roman"/>
                <w:sz w:val="20"/>
                <w:szCs w:val="20"/>
              </w:rPr>
              <w:t>(23) Expensed supplies</w:t>
            </w:r>
          </w:p>
        </w:tc>
        <w:tc>
          <w:tcPr>
            <w:tcW w:w="0" w:type="auto"/>
          </w:tcPr>
          <w:p w14:paraId="4A2468AA" w14:textId="1D62FC46" w:rsidR="00A80D12" w:rsidRPr="001658A7" w:rsidRDefault="00A80D12" w:rsidP="00A80D12">
            <w:pPr>
              <w:rPr>
                <w:rFonts w:ascii="Times New Roman" w:hAnsi="Times New Roman" w:cs="Times New Roman"/>
                <w:sz w:val="20"/>
                <w:szCs w:val="20"/>
              </w:rPr>
            </w:pPr>
            <w:r w:rsidRPr="001658A7">
              <w:rPr>
                <w:rFonts w:ascii="Times New Roman" w:hAnsi="Times New Roman" w:cs="Times New Roman"/>
                <w:sz w:val="20"/>
                <w:szCs w:val="20"/>
              </w:rPr>
              <w:t>Total expended, average monthly</w:t>
            </w:r>
          </w:p>
        </w:tc>
        <w:tc>
          <w:tcPr>
            <w:tcW w:w="0" w:type="auto"/>
            <w:vAlign w:val="center"/>
          </w:tcPr>
          <w:p w14:paraId="18EBAD75" w14:textId="2CFB99D9" w:rsidR="00A80D12" w:rsidRPr="001658A7" w:rsidRDefault="00A80D12" w:rsidP="00A80D12">
            <w:pPr>
              <w:rPr>
                <w:rFonts w:ascii="Times New Roman" w:hAnsi="Times New Roman" w:cs="Times New Roman"/>
                <w:sz w:val="20"/>
                <w:szCs w:val="20"/>
              </w:rPr>
            </w:pPr>
            <w:r w:rsidRPr="001658A7">
              <w:rPr>
                <w:rFonts w:ascii="Times New Roman" w:hAnsi="Times New Roman" w:cs="Times New Roman"/>
                <w:sz w:val="20"/>
                <w:szCs w:val="20"/>
              </w:rPr>
              <w:t>None</w:t>
            </w:r>
          </w:p>
        </w:tc>
        <w:tc>
          <w:tcPr>
            <w:tcW w:w="0" w:type="auto"/>
            <w:vAlign w:val="center"/>
          </w:tcPr>
          <w:p w14:paraId="6E656A9F" w14:textId="4B49E968" w:rsidR="00A80D12" w:rsidRPr="001658A7" w:rsidRDefault="00A80D12" w:rsidP="00A80D12">
            <w:pPr>
              <w:rPr>
                <w:rFonts w:ascii="Times New Roman" w:hAnsi="Times New Roman" w:cs="Times New Roman"/>
                <w:sz w:val="20"/>
                <w:szCs w:val="20"/>
              </w:rPr>
            </w:pPr>
            <w:r w:rsidRPr="001658A7">
              <w:rPr>
                <w:rFonts w:ascii="Times New Roman" w:hAnsi="Times New Roman" w:cs="Times New Roman"/>
                <w:sz w:val="20"/>
                <w:szCs w:val="20"/>
              </w:rPr>
              <w:t>None</w:t>
            </w:r>
          </w:p>
        </w:tc>
      </w:tr>
      <w:tr w:rsidR="00A80D12" w:rsidRPr="00A80D12" w14:paraId="1E3A7616" w14:textId="43B846AE" w:rsidTr="00E24DA0">
        <w:trPr>
          <w:jc w:val="center"/>
        </w:trPr>
        <w:tc>
          <w:tcPr>
            <w:tcW w:w="0" w:type="auto"/>
            <w:vAlign w:val="center"/>
          </w:tcPr>
          <w:p w14:paraId="6F90B9F2" w14:textId="77777777" w:rsidR="00A80D12" w:rsidRPr="006D57FD" w:rsidRDefault="00A80D12" w:rsidP="00A80D12">
            <w:pPr>
              <w:rPr>
                <w:rFonts w:ascii="Times New Roman" w:hAnsi="Times New Roman" w:cs="Times New Roman"/>
                <w:sz w:val="20"/>
                <w:szCs w:val="20"/>
              </w:rPr>
            </w:pPr>
            <w:r w:rsidRPr="006D57FD">
              <w:rPr>
                <w:rFonts w:ascii="Times New Roman" w:hAnsi="Times New Roman" w:cs="Times New Roman"/>
                <w:sz w:val="20"/>
                <w:szCs w:val="20"/>
              </w:rPr>
              <w:t>(24a) Other goods including leasehold improvements</w:t>
            </w:r>
          </w:p>
        </w:tc>
        <w:tc>
          <w:tcPr>
            <w:tcW w:w="0" w:type="auto"/>
            <w:vAlign w:val="center"/>
          </w:tcPr>
          <w:p w14:paraId="588BA512" w14:textId="2D6F29E2" w:rsidR="00A80D12" w:rsidRPr="006D57FD" w:rsidRDefault="00A80D12" w:rsidP="00A80D12">
            <w:pPr>
              <w:rPr>
                <w:rFonts w:ascii="Times New Roman" w:hAnsi="Times New Roman" w:cs="Times New Roman"/>
                <w:sz w:val="20"/>
                <w:szCs w:val="20"/>
              </w:rPr>
            </w:pPr>
            <w:r w:rsidRPr="006D57FD">
              <w:rPr>
                <w:rFonts w:ascii="Times New Roman" w:hAnsi="Times New Roman" w:cs="Times New Roman"/>
                <w:sz w:val="20"/>
                <w:szCs w:val="20"/>
              </w:rPr>
              <w:t>Original cost, transportation and installation</w:t>
            </w:r>
          </w:p>
        </w:tc>
        <w:tc>
          <w:tcPr>
            <w:tcW w:w="0" w:type="auto"/>
            <w:vAlign w:val="center"/>
          </w:tcPr>
          <w:p w14:paraId="15436C64" w14:textId="21C99914" w:rsidR="00A80D12" w:rsidRPr="006D57FD" w:rsidRDefault="006D57FD" w:rsidP="00A80D12">
            <w:pPr>
              <w:rPr>
                <w:rFonts w:ascii="Times New Roman" w:hAnsi="Times New Roman" w:cs="Times New Roman"/>
                <w:sz w:val="20"/>
                <w:szCs w:val="20"/>
              </w:rPr>
            </w:pPr>
            <w:r>
              <w:rPr>
                <w:rFonts w:ascii="Times New Roman" w:hAnsi="Times New Roman" w:cs="Times New Roman"/>
                <w:sz w:val="20"/>
                <w:szCs w:val="20"/>
              </w:rPr>
              <w:t>8</w:t>
            </w:r>
            <w:r w:rsidR="00A80D12" w:rsidRPr="006D57FD">
              <w:rPr>
                <w:rFonts w:ascii="Times New Roman" w:hAnsi="Times New Roman" w:cs="Times New Roman"/>
                <w:sz w:val="20"/>
                <w:szCs w:val="20"/>
              </w:rPr>
              <w:t xml:space="preserve"> years</w:t>
            </w:r>
          </w:p>
        </w:tc>
        <w:tc>
          <w:tcPr>
            <w:tcW w:w="0" w:type="auto"/>
            <w:vAlign w:val="center"/>
          </w:tcPr>
          <w:p w14:paraId="0F7C50DD" w14:textId="3B254629" w:rsidR="00A80D12" w:rsidRPr="006D57FD" w:rsidRDefault="00A80D12" w:rsidP="00A80D12">
            <w:pPr>
              <w:rPr>
                <w:rFonts w:ascii="Times New Roman" w:hAnsi="Times New Roman" w:cs="Times New Roman"/>
                <w:sz w:val="20"/>
                <w:szCs w:val="20"/>
              </w:rPr>
            </w:pPr>
            <w:r w:rsidRPr="006D57FD">
              <w:rPr>
                <w:rFonts w:ascii="Times New Roman" w:hAnsi="Times New Roman" w:cs="Times New Roman"/>
                <w:sz w:val="20"/>
                <w:szCs w:val="20"/>
              </w:rPr>
              <w:t>30%</w:t>
            </w:r>
          </w:p>
        </w:tc>
      </w:tr>
      <w:tr w:rsidR="00A80D12" w:rsidRPr="00A80D12" w14:paraId="3E6B5AAA" w14:textId="2F36E4FC" w:rsidTr="00E24DA0">
        <w:trPr>
          <w:jc w:val="center"/>
        </w:trPr>
        <w:tc>
          <w:tcPr>
            <w:tcW w:w="0" w:type="auto"/>
            <w:vAlign w:val="center"/>
          </w:tcPr>
          <w:p w14:paraId="43D0DAEC" w14:textId="19A4C7C5" w:rsidR="00A80D12" w:rsidRPr="006D57FD" w:rsidRDefault="00A80D12" w:rsidP="00A80D12">
            <w:pPr>
              <w:rPr>
                <w:rFonts w:ascii="Times New Roman" w:hAnsi="Times New Roman" w:cs="Times New Roman"/>
                <w:sz w:val="20"/>
                <w:szCs w:val="20"/>
              </w:rPr>
            </w:pPr>
            <w:r w:rsidRPr="006D57FD">
              <w:rPr>
                <w:rFonts w:ascii="Times New Roman" w:hAnsi="Times New Roman" w:cs="Times New Roman"/>
                <w:sz w:val="20"/>
                <w:szCs w:val="20"/>
              </w:rPr>
              <w:lastRenderedPageBreak/>
              <w:t>(24b) Rental entertainment medium</w:t>
            </w:r>
          </w:p>
        </w:tc>
        <w:tc>
          <w:tcPr>
            <w:tcW w:w="0" w:type="auto"/>
            <w:vAlign w:val="center"/>
          </w:tcPr>
          <w:p w14:paraId="7A156BDA" w14:textId="4DEAD85F" w:rsidR="00A80D12" w:rsidRPr="006D57FD" w:rsidRDefault="00A80D12" w:rsidP="00A80D12">
            <w:pPr>
              <w:rPr>
                <w:rFonts w:ascii="Times New Roman" w:hAnsi="Times New Roman" w:cs="Times New Roman"/>
                <w:sz w:val="20"/>
                <w:szCs w:val="20"/>
              </w:rPr>
            </w:pPr>
            <w:r w:rsidRPr="006D57FD">
              <w:rPr>
                <w:rFonts w:ascii="Times New Roman" w:hAnsi="Times New Roman" w:cs="Times New Roman"/>
                <w:sz w:val="20"/>
                <w:szCs w:val="20"/>
              </w:rPr>
              <w:t>Original cost, transportation and installation</w:t>
            </w:r>
          </w:p>
        </w:tc>
        <w:tc>
          <w:tcPr>
            <w:tcW w:w="0" w:type="auto"/>
            <w:vAlign w:val="center"/>
          </w:tcPr>
          <w:p w14:paraId="206C66A5" w14:textId="2BD9418E" w:rsidR="00A80D12" w:rsidRPr="006D57FD" w:rsidRDefault="00A80D12" w:rsidP="00A80D12">
            <w:pPr>
              <w:rPr>
                <w:rFonts w:ascii="Times New Roman" w:hAnsi="Times New Roman" w:cs="Times New Roman"/>
                <w:sz w:val="20"/>
                <w:szCs w:val="20"/>
              </w:rPr>
            </w:pPr>
            <w:r w:rsidRPr="006D57FD">
              <w:rPr>
                <w:rFonts w:ascii="Times New Roman" w:hAnsi="Times New Roman" w:cs="Times New Roman"/>
                <w:sz w:val="20"/>
                <w:szCs w:val="20"/>
              </w:rPr>
              <w:t>4 years</w:t>
            </w:r>
          </w:p>
        </w:tc>
        <w:tc>
          <w:tcPr>
            <w:tcW w:w="0" w:type="auto"/>
            <w:vAlign w:val="center"/>
          </w:tcPr>
          <w:p w14:paraId="67FB61F3" w14:textId="546B21C6" w:rsidR="00A80D12" w:rsidRPr="006D57FD" w:rsidRDefault="00A80D12" w:rsidP="00A80D12">
            <w:pPr>
              <w:rPr>
                <w:rFonts w:ascii="Times New Roman" w:hAnsi="Times New Roman" w:cs="Times New Roman"/>
                <w:sz w:val="20"/>
                <w:szCs w:val="20"/>
              </w:rPr>
            </w:pPr>
            <w:r w:rsidRPr="006D57FD">
              <w:rPr>
                <w:rFonts w:ascii="Times New Roman" w:hAnsi="Times New Roman" w:cs="Times New Roman"/>
                <w:sz w:val="20"/>
                <w:szCs w:val="20"/>
              </w:rPr>
              <w:t>20%</w:t>
            </w:r>
          </w:p>
        </w:tc>
      </w:tr>
    </w:tbl>
    <w:p w14:paraId="0AC7644F" w14:textId="450B7B29" w:rsidR="00187D99" w:rsidRPr="006D57FD" w:rsidRDefault="00FB1E45" w:rsidP="00187D99">
      <w:pPr>
        <w:rPr>
          <w:rFonts w:ascii="Times New Roman" w:hAnsi="Times New Roman" w:cs="Times New Roman"/>
        </w:rPr>
      </w:pPr>
      <w:r w:rsidRPr="006D57FD">
        <w:rPr>
          <w:rFonts w:ascii="Times New Roman" w:hAnsi="Times New Roman" w:cs="Times New Roman"/>
        </w:rPr>
        <w:t xml:space="preserve">Source: </w:t>
      </w:r>
      <w:r w:rsidR="0002171E" w:rsidRPr="006D57FD">
        <w:rPr>
          <w:rFonts w:ascii="Times New Roman" w:hAnsi="Times New Roman" w:cs="Times New Roman"/>
        </w:rPr>
        <w:t xml:space="preserve">Connecticut </w:t>
      </w:r>
      <w:r w:rsidR="006D57FD" w:rsidRPr="006D57FD">
        <w:rPr>
          <w:rFonts w:ascii="Times New Roman" w:hAnsi="Times New Roman" w:cs="Times New Roman"/>
        </w:rPr>
        <w:t xml:space="preserve">Association of Assessing Officers </w:t>
      </w:r>
      <w:r w:rsidR="006D57FD">
        <w:rPr>
          <w:rFonts w:ascii="Times New Roman" w:hAnsi="Times New Roman" w:cs="Times New Roman"/>
        </w:rPr>
        <w:t xml:space="preserve">(CAAO) </w:t>
      </w:r>
      <w:r w:rsidR="006D57FD" w:rsidRPr="006D57FD">
        <w:rPr>
          <w:rFonts w:ascii="Times New Roman" w:hAnsi="Times New Roman" w:cs="Times New Roman"/>
        </w:rPr>
        <w:t>2015</w:t>
      </w:r>
      <w:r w:rsidR="00E24DA0" w:rsidRPr="006D57FD">
        <w:rPr>
          <w:rFonts w:ascii="Times New Roman" w:hAnsi="Times New Roman" w:cs="Times New Roman"/>
        </w:rPr>
        <w:t xml:space="preserve"> Declaration of Personal Property</w:t>
      </w:r>
    </w:p>
    <w:p w14:paraId="1B17A90D" w14:textId="21756562" w:rsidR="00FB1E45" w:rsidRPr="006D57FD" w:rsidRDefault="00FB1E45" w:rsidP="006D57FD">
      <w:pPr>
        <w:jc w:val="both"/>
        <w:rPr>
          <w:rFonts w:ascii="Times New Roman" w:hAnsi="Times New Roman" w:cs="Times New Roman"/>
        </w:rPr>
      </w:pPr>
      <w:r w:rsidRPr="006D57FD">
        <w:rPr>
          <w:rFonts w:ascii="Times New Roman" w:hAnsi="Times New Roman" w:cs="Times New Roman"/>
        </w:rPr>
        <w:t xml:space="preserve">In addition, taxpayers desiring exemptions for water or air pollution control equipment, farm machinery in excess of $100,000, or a distressed municipality/enterprise zone location must file an additional form. </w:t>
      </w:r>
    </w:p>
    <w:p w14:paraId="2FBF2A1C" w14:textId="020B037C" w:rsidR="00FB1E45" w:rsidRPr="006D57FD" w:rsidRDefault="00FB1E45" w:rsidP="006D57FD">
      <w:pPr>
        <w:jc w:val="both"/>
        <w:rPr>
          <w:rFonts w:ascii="Times New Roman" w:hAnsi="Times New Roman" w:cs="Times New Roman"/>
        </w:rPr>
      </w:pPr>
      <w:r w:rsidRPr="006D57FD">
        <w:rPr>
          <w:rFonts w:ascii="Times New Roman" w:hAnsi="Times New Roman" w:cs="Times New Roman"/>
        </w:rPr>
        <w:t xml:space="preserve">The example shown in Table 3 may help clarify how the declaration form is to be completed. The example is </w:t>
      </w:r>
      <w:r w:rsidR="00344F63" w:rsidRPr="006D57FD">
        <w:rPr>
          <w:rFonts w:ascii="Times New Roman" w:hAnsi="Times New Roman" w:cs="Times New Roman"/>
        </w:rPr>
        <w:t xml:space="preserve">taken from the </w:t>
      </w:r>
      <w:r w:rsidR="006D57FD">
        <w:rPr>
          <w:rFonts w:ascii="Times New Roman" w:hAnsi="Times New Roman" w:cs="Times New Roman"/>
        </w:rPr>
        <w:t>CAAO</w:t>
      </w:r>
      <w:r w:rsidR="00344F63" w:rsidRPr="006D57FD">
        <w:rPr>
          <w:rFonts w:ascii="Times New Roman" w:hAnsi="Times New Roman" w:cs="Times New Roman"/>
        </w:rPr>
        <w:t xml:space="preserve"> declaration form </w:t>
      </w:r>
      <w:r w:rsidR="006D57FD">
        <w:rPr>
          <w:rFonts w:ascii="Times New Roman" w:hAnsi="Times New Roman" w:cs="Times New Roman"/>
        </w:rPr>
        <w:t xml:space="preserve">for 2014 </w:t>
      </w:r>
      <w:r w:rsidR="00344F63" w:rsidRPr="006D57FD">
        <w:rPr>
          <w:rFonts w:ascii="Times New Roman" w:hAnsi="Times New Roman" w:cs="Times New Roman"/>
        </w:rPr>
        <w:t xml:space="preserve">and is </w:t>
      </w:r>
      <w:r w:rsidRPr="006D57FD">
        <w:rPr>
          <w:rFonts w:ascii="Times New Roman" w:hAnsi="Times New Roman" w:cs="Times New Roman"/>
        </w:rPr>
        <w:t>described as follows:</w:t>
      </w:r>
    </w:p>
    <w:p w14:paraId="4D7091A2" w14:textId="77777777" w:rsidR="00FB1E45" w:rsidRPr="006D57FD" w:rsidRDefault="00FB1E45" w:rsidP="006D57FD">
      <w:pPr>
        <w:ind w:left="720"/>
        <w:jc w:val="both"/>
        <w:rPr>
          <w:rFonts w:ascii="Times New Roman" w:hAnsi="Times New Roman" w:cs="Times New Roman"/>
        </w:rPr>
      </w:pPr>
      <w:r w:rsidRPr="006D57FD">
        <w:rPr>
          <w:rFonts w:ascii="Times New Roman" w:hAnsi="Times New Roman" w:cs="Times New Roman"/>
        </w:rPr>
        <w:t xml:space="preserve">June 2012, you bought a desk for $300 and a chair for $80. In October of 2012 you buy a display rack for $400. You have a filing cabinet you bought 10 years ago for $100 that is being used in your business. A friend gave you a used bookcase, in February 2014, which you believe is worth $50. </w:t>
      </w:r>
    </w:p>
    <w:p w14:paraId="4E04EB9C" w14:textId="218B8D92" w:rsidR="00FB1E45" w:rsidRPr="006D57FD" w:rsidRDefault="00FB1E45" w:rsidP="006D57FD">
      <w:pPr>
        <w:jc w:val="both"/>
        <w:rPr>
          <w:rFonts w:ascii="Times New Roman" w:hAnsi="Times New Roman" w:cs="Times New Roman"/>
        </w:rPr>
      </w:pPr>
      <w:r w:rsidRPr="006D57FD">
        <w:rPr>
          <w:rFonts w:ascii="Times New Roman" w:hAnsi="Times New Roman" w:cs="Times New Roman"/>
        </w:rPr>
        <w:t>Given this description, the declaration form should be completed as shown in the table.</w:t>
      </w:r>
      <w:r w:rsidR="00E24DA0" w:rsidRPr="006D57FD">
        <w:rPr>
          <w:rFonts w:ascii="Times New Roman" w:hAnsi="Times New Roman" w:cs="Times New Roman"/>
        </w:rPr>
        <w:t xml:space="preserve"> The shaded columns are completed by the taxpayer. The other information is printed on the form. </w:t>
      </w:r>
    </w:p>
    <w:p w14:paraId="0800CB7F" w14:textId="75915941" w:rsidR="00E24DA0" w:rsidRPr="006D57FD" w:rsidRDefault="00E24DA0" w:rsidP="00E24DA0">
      <w:pPr>
        <w:jc w:val="center"/>
        <w:rPr>
          <w:rFonts w:ascii="Times New Roman" w:hAnsi="Times New Roman" w:cs="Times New Roman"/>
          <w:b/>
        </w:rPr>
      </w:pPr>
      <w:r w:rsidRPr="006D57FD">
        <w:rPr>
          <w:rFonts w:ascii="Times New Roman" w:hAnsi="Times New Roman" w:cs="Times New Roman"/>
          <w:b/>
        </w:rPr>
        <w:t xml:space="preserve">Table 3: Example </w:t>
      </w:r>
      <w:r w:rsidR="006D57FD" w:rsidRPr="006D57FD">
        <w:rPr>
          <w:rFonts w:ascii="Times New Roman" w:hAnsi="Times New Roman" w:cs="Times New Roman"/>
          <w:b/>
        </w:rPr>
        <w:t xml:space="preserve">personal property </w:t>
      </w:r>
      <w:r w:rsidRPr="006D57FD">
        <w:rPr>
          <w:rFonts w:ascii="Times New Roman" w:hAnsi="Times New Roman" w:cs="Times New Roman"/>
          <w:b/>
        </w:rPr>
        <w:t>declaration</w:t>
      </w:r>
    </w:p>
    <w:tbl>
      <w:tblPr>
        <w:tblStyle w:val="TableGrid"/>
        <w:tblW w:w="0" w:type="auto"/>
        <w:jc w:val="center"/>
        <w:tblLook w:val="04A0" w:firstRow="1" w:lastRow="0" w:firstColumn="1" w:lastColumn="0" w:noHBand="0" w:noVBand="1"/>
      </w:tblPr>
      <w:tblGrid>
        <w:gridCol w:w="1298"/>
        <w:gridCol w:w="2697"/>
        <w:gridCol w:w="944"/>
        <w:gridCol w:w="1811"/>
      </w:tblGrid>
      <w:tr w:rsidR="00E24DA0" w14:paraId="642DDB85" w14:textId="77777777" w:rsidTr="00E24DA0">
        <w:trPr>
          <w:jc w:val="center"/>
        </w:trPr>
        <w:tc>
          <w:tcPr>
            <w:tcW w:w="0" w:type="auto"/>
            <w:gridSpan w:val="4"/>
          </w:tcPr>
          <w:p w14:paraId="360475F4" w14:textId="2606E569" w:rsidR="00E24DA0" w:rsidRPr="006D57FD" w:rsidRDefault="00E24DA0" w:rsidP="00FB1E45">
            <w:pPr>
              <w:rPr>
                <w:rFonts w:ascii="Times New Roman" w:hAnsi="Times New Roman" w:cs="Times New Roman"/>
              </w:rPr>
            </w:pPr>
            <w:r w:rsidRPr="006D57FD">
              <w:rPr>
                <w:rFonts w:ascii="Times New Roman" w:hAnsi="Times New Roman" w:cs="Times New Roman"/>
              </w:rPr>
              <w:t>#16 – Furniture, fixtures and equipment</w:t>
            </w:r>
          </w:p>
        </w:tc>
      </w:tr>
      <w:tr w:rsidR="00E24DA0" w14:paraId="60519ECD" w14:textId="77777777" w:rsidTr="00E24DA0">
        <w:trPr>
          <w:jc w:val="center"/>
        </w:trPr>
        <w:tc>
          <w:tcPr>
            <w:tcW w:w="0" w:type="auto"/>
            <w:vAlign w:val="center"/>
          </w:tcPr>
          <w:p w14:paraId="4E4B5AE7" w14:textId="719BB440" w:rsidR="00E24DA0" w:rsidRPr="006D57FD" w:rsidRDefault="00E24DA0" w:rsidP="00E24DA0">
            <w:pPr>
              <w:jc w:val="center"/>
              <w:rPr>
                <w:rFonts w:ascii="Times New Roman" w:hAnsi="Times New Roman" w:cs="Times New Roman"/>
              </w:rPr>
            </w:pPr>
            <w:r w:rsidRPr="006D57FD">
              <w:rPr>
                <w:rFonts w:ascii="Times New Roman" w:hAnsi="Times New Roman" w:cs="Times New Roman"/>
              </w:rPr>
              <w:t>Year ending</w:t>
            </w:r>
          </w:p>
        </w:tc>
        <w:tc>
          <w:tcPr>
            <w:tcW w:w="0" w:type="auto"/>
            <w:vAlign w:val="center"/>
          </w:tcPr>
          <w:p w14:paraId="68F9D810" w14:textId="77777777" w:rsidR="006D57FD" w:rsidRDefault="00E24DA0" w:rsidP="00E24DA0">
            <w:pPr>
              <w:jc w:val="center"/>
              <w:rPr>
                <w:rFonts w:ascii="Times New Roman" w:hAnsi="Times New Roman" w:cs="Times New Roman"/>
              </w:rPr>
            </w:pPr>
            <w:r w:rsidRPr="006D57FD">
              <w:rPr>
                <w:rFonts w:ascii="Times New Roman" w:hAnsi="Times New Roman" w:cs="Times New Roman"/>
              </w:rPr>
              <w:t xml:space="preserve">Original cost, </w:t>
            </w:r>
          </w:p>
          <w:p w14:paraId="3BEB24BD" w14:textId="1951E827" w:rsidR="00E24DA0" w:rsidRPr="006D57FD" w:rsidRDefault="00E24DA0" w:rsidP="006D57FD">
            <w:pPr>
              <w:jc w:val="center"/>
              <w:rPr>
                <w:rFonts w:ascii="Times New Roman" w:hAnsi="Times New Roman" w:cs="Times New Roman"/>
              </w:rPr>
            </w:pPr>
            <w:r w:rsidRPr="006D57FD">
              <w:rPr>
                <w:rFonts w:ascii="Times New Roman" w:hAnsi="Times New Roman" w:cs="Times New Roman"/>
              </w:rPr>
              <w:t>transportation &amp; installation</w:t>
            </w:r>
          </w:p>
        </w:tc>
        <w:tc>
          <w:tcPr>
            <w:tcW w:w="0" w:type="auto"/>
            <w:vAlign w:val="center"/>
          </w:tcPr>
          <w:p w14:paraId="46ED31D0" w14:textId="3C4C6C11" w:rsidR="00E24DA0" w:rsidRPr="006D57FD" w:rsidRDefault="00E24DA0" w:rsidP="00E24DA0">
            <w:pPr>
              <w:jc w:val="center"/>
              <w:rPr>
                <w:rFonts w:ascii="Times New Roman" w:hAnsi="Times New Roman" w:cs="Times New Roman"/>
              </w:rPr>
            </w:pPr>
            <w:r w:rsidRPr="006D57FD">
              <w:rPr>
                <w:rFonts w:ascii="Times New Roman" w:hAnsi="Times New Roman" w:cs="Times New Roman"/>
              </w:rPr>
              <w:t>% Good</w:t>
            </w:r>
          </w:p>
        </w:tc>
        <w:tc>
          <w:tcPr>
            <w:tcW w:w="0" w:type="auto"/>
            <w:vAlign w:val="center"/>
          </w:tcPr>
          <w:p w14:paraId="149CD986" w14:textId="5ADAABE7" w:rsidR="00E24DA0" w:rsidRPr="006D57FD" w:rsidRDefault="00E24DA0" w:rsidP="00E24DA0">
            <w:pPr>
              <w:jc w:val="center"/>
              <w:rPr>
                <w:rFonts w:ascii="Times New Roman" w:hAnsi="Times New Roman" w:cs="Times New Roman"/>
              </w:rPr>
            </w:pPr>
            <w:r w:rsidRPr="006D57FD">
              <w:rPr>
                <w:rFonts w:ascii="Times New Roman" w:hAnsi="Times New Roman" w:cs="Times New Roman"/>
              </w:rPr>
              <w:t>Depreciated value</w:t>
            </w:r>
          </w:p>
        </w:tc>
      </w:tr>
      <w:tr w:rsidR="00E24DA0" w14:paraId="2A4D92FB" w14:textId="77777777" w:rsidTr="00E24DA0">
        <w:trPr>
          <w:jc w:val="center"/>
        </w:trPr>
        <w:tc>
          <w:tcPr>
            <w:tcW w:w="0" w:type="auto"/>
          </w:tcPr>
          <w:p w14:paraId="3646165C" w14:textId="23ABC9D1" w:rsidR="00E24DA0" w:rsidRPr="006D57FD" w:rsidRDefault="00E24DA0" w:rsidP="00FB1E45">
            <w:pPr>
              <w:rPr>
                <w:rFonts w:ascii="Times New Roman" w:hAnsi="Times New Roman" w:cs="Times New Roman"/>
              </w:rPr>
            </w:pPr>
            <w:r w:rsidRPr="006D57FD">
              <w:rPr>
                <w:rFonts w:ascii="Times New Roman" w:hAnsi="Times New Roman" w:cs="Times New Roman"/>
              </w:rPr>
              <w:t>10-1-14</w:t>
            </w:r>
          </w:p>
        </w:tc>
        <w:tc>
          <w:tcPr>
            <w:tcW w:w="0" w:type="auto"/>
            <w:shd w:val="clear" w:color="auto" w:fill="AEAAAA" w:themeFill="background2" w:themeFillShade="BF"/>
            <w:vAlign w:val="center"/>
          </w:tcPr>
          <w:p w14:paraId="39D492E0" w14:textId="66654F94" w:rsidR="00E24DA0" w:rsidRPr="006D57FD" w:rsidRDefault="00E24DA0" w:rsidP="006D57FD">
            <w:pPr>
              <w:ind w:right="1102"/>
              <w:jc w:val="right"/>
              <w:rPr>
                <w:rFonts w:ascii="Times New Roman" w:hAnsi="Times New Roman" w:cs="Times New Roman"/>
              </w:rPr>
            </w:pPr>
            <w:r w:rsidRPr="006D57FD">
              <w:rPr>
                <w:rFonts w:ascii="Times New Roman" w:hAnsi="Times New Roman" w:cs="Times New Roman"/>
              </w:rPr>
              <w:t>50</w:t>
            </w:r>
          </w:p>
        </w:tc>
        <w:tc>
          <w:tcPr>
            <w:tcW w:w="0" w:type="auto"/>
            <w:vAlign w:val="center"/>
          </w:tcPr>
          <w:p w14:paraId="2B1371D8" w14:textId="57AAE071" w:rsidR="00E24DA0" w:rsidRPr="006D57FD" w:rsidRDefault="00E24DA0" w:rsidP="00E24DA0">
            <w:pPr>
              <w:jc w:val="center"/>
              <w:rPr>
                <w:rFonts w:ascii="Times New Roman" w:hAnsi="Times New Roman" w:cs="Times New Roman"/>
              </w:rPr>
            </w:pPr>
            <w:r w:rsidRPr="006D57FD">
              <w:rPr>
                <w:rFonts w:ascii="Times New Roman" w:hAnsi="Times New Roman" w:cs="Times New Roman"/>
              </w:rPr>
              <w:t>95%</w:t>
            </w:r>
          </w:p>
        </w:tc>
        <w:tc>
          <w:tcPr>
            <w:tcW w:w="0" w:type="auto"/>
            <w:shd w:val="clear" w:color="auto" w:fill="AEAAAA" w:themeFill="background2" w:themeFillShade="BF"/>
            <w:vAlign w:val="center"/>
          </w:tcPr>
          <w:p w14:paraId="24033679" w14:textId="51713CAC" w:rsidR="00E24DA0" w:rsidRPr="006D57FD" w:rsidRDefault="00E24DA0" w:rsidP="00E24DA0">
            <w:pPr>
              <w:jc w:val="right"/>
              <w:rPr>
                <w:rFonts w:ascii="Times New Roman" w:hAnsi="Times New Roman" w:cs="Times New Roman"/>
              </w:rPr>
            </w:pPr>
            <w:r w:rsidRPr="006D57FD">
              <w:rPr>
                <w:rFonts w:ascii="Times New Roman" w:hAnsi="Times New Roman" w:cs="Times New Roman"/>
              </w:rPr>
              <w:t>48</w:t>
            </w:r>
          </w:p>
        </w:tc>
      </w:tr>
      <w:tr w:rsidR="00E24DA0" w14:paraId="7900324E" w14:textId="77777777" w:rsidTr="00E24DA0">
        <w:trPr>
          <w:jc w:val="center"/>
        </w:trPr>
        <w:tc>
          <w:tcPr>
            <w:tcW w:w="0" w:type="auto"/>
          </w:tcPr>
          <w:p w14:paraId="7D0C648C" w14:textId="0031625D" w:rsidR="00E24DA0" w:rsidRPr="006D57FD" w:rsidRDefault="00E24DA0" w:rsidP="00FB1E45">
            <w:pPr>
              <w:rPr>
                <w:rFonts w:ascii="Times New Roman" w:hAnsi="Times New Roman" w:cs="Times New Roman"/>
              </w:rPr>
            </w:pPr>
            <w:r w:rsidRPr="006D57FD">
              <w:rPr>
                <w:rFonts w:ascii="Times New Roman" w:hAnsi="Times New Roman" w:cs="Times New Roman"/>
              </w:rPr>
              <w:t>10-1-13</w:t>
            </w:r>
          </w:p>
        </w:tc>
        <w:tc>
          <w:tcPr>
            <w:tcW w:w="0" w:type="auto"/>
            <w:shd w:val="clear" w:color="auto" w:fill="AEAAAA" w:themeFill="background2" w:themeFillShade="BF"/>
            <w:vAlign w:val="center"/>
          </w:tcPr>
          <w:p w14:paraId="5F7A45FE" w14:textId="01972F07" w:rsidR="00E24DA0" w:rsidRPr="006D57FD" w:rsidRDefault="00E24DA0" w:rsidP="006D57FD">
            <w:pPr>
              <w:ind w:right="1102"/>
              <w:jc w:val="right"/>
              <w:rPr>
                <w:rFonts w:ascii="Times New Roman" w:hAnsi="Times New Roman" w:cs="Times New Roman"/>
              </w:rPr>
            </w:pPr>
            <w:r w:rsidRPr="006D57FD">
              <w:rPr>
                <w:rFonts w:ascii="Times New Roman" w:hAnsi="Times New Roman" w:cs="Times New Roman"/>
              </w:rPr>
              <w:t>400</w:t>
            </w:r>
          </w:p>
        </w:tc>
        <w:tc>
          <w:tcPr>
            <w:tcW w:w="0" w:type="auto"/>
            <w:vAlign w:val="center"/>
          </w:tcPr>
          <w:p w14:paraId="70DC1A48" w14:textId="1FF3DD96" w:rsidR="00E24DA0" w:rsidRPr="006D57FD" w:rsidRDefault="00E24DA0" w:rsidP="00E24DA0">
            <w:pPr>
              <w:jc w:val="center"/>
              <w:rPr>
                <w:rFonts w:ascii="Times New Roman" w:hAnsi="Times New Roman" w:cs="Times New Roman"/>
              </w:rPr>
            </w:pPr>
            <w:r w:rsidRPr="006D57FD">
              <w:rPr>
                <w:rFonts w:ascii="Times New Roman" w:hAnsi="Times New Roman" w:cs="Times New Roman"/>
              </w:rPr>
              <w:t>90%</w:t>
            </w:r>
          </w:p>
        </w:tc>
        <w:tc>
          <w:tcPr>
            <w:tcW w:w="0" w:type="auto"/>
            <w:shd w:val="clear" w:color="auto" w:fill="AEAAAA" w:themeFill="background2" w:themeFillShade="BF"/>
            <w:vAlign w:val="center"/>
          </w:tcPr>
          <w:p w14:paraId="46E92368" w14:textId="698894A0" w:rsidR="00E24DA0" w:rsidRPr="006D57FD" w:rsidRDefault="00E24DA0" w:rsidP="00E24DA0">
            <w:pPr>
              <w:jc w:val="right"/>
              <w:rPr>
                <w:rFonts w:ascii="Times New Roman" w:hAnsi="Times New Roman" w:cs="Times New Roman"/>
              </w:rPr>
            </w:pPr>
            <w:r w:rsidRPr="006D57FD">
              <w:rPr>
                <w:rFonts w:ascii="Times New Roman" w:hAnsi="Times New Roman" w:cs="Times New Roman"/>
              </w:rPr>
              <w:t>360</w:t>
            </w:r>
          </w:p>
        </w:tc>
      </w:tr>
      <w:tr w:rsidR="00E24DA0" w14:paraId="42D7E004" w14:textId="77777777" w:rsidTr="00E24DA0">
        <w:trPr>
          <w:jc w:val="center"/>
        </w:trPr>
        <w:tc>
          <w:tcPr>
            <w:tcW w:w="0" w:type="auto"/>
          </w:tcPr>
          <w:p w14:paraId="1796DF43" w14:textId="37BAA813" w:rsidR="00E24DA0" w:rsidRPr="006D57FD" w:rsidRDefault="00E24DA0" w:rsidP="00FB1E45">
            <w:pPr>
              <w:rPr>
                <w:rFonts w:ascii="Times New Roman" w:hAnsi="Times New Roman" w:cs="Times New Roman"/>
              </w:rPr>
            </w:pPr>
            <w:r w:rsidRPr="006D57FD">
              <w:rPr>
                <w:rFonts w:ascii="Times New Roman" w:hAnsi="Times New Roman" w:cs="Times New Roman"/>
              </w:rPr>
              <w:t>10-1-12</w:t>
            </w:r>
          </w:p>
        </w:tc>
        <w:tc>
          <w:tcPr>
            <w:tcW w:w="0" w:type="auto"/>
            <w:shd w:val="clear" w:color="auto" w:fill="AEAAAA" w:themeFill="background2" w:themeFillShade="BF"/>
            <w:vAlign w:val="center"/>
          </w:tcPr>
          <w:p w14:paraId="11FFC9CF" w14:textId="0ECEB49A" w:rsidR="00E24DA0" w:rsidRPr="006D57FD" w:rsidRDefault="00E24DA0" w:rsidP="006D57FD">
            <w:pPr>
              <w:ind w:right="1102"/>
              <w:jc w:val="right"/>
              <w:rPr>
                <w:rFonts w:ascii="Times New Roman" w:hAnsi="Times New Roman" w:cs="Times New Roman"/>
              </w:rPr>
            </w:pPr>
            <w:r w:rsidRPr="006D57FD">
              <w:rPr>
                <w:rFonts w:ascii="Times New Roman" w:hAnsi="Times New Roman" w:cs="Times New Roman"/>
              </w:rPr>
              <w:t>380</w:t>
            </w:r>
          </w:p>
        </w:tc>
        <w:tc>
          <w:tcPr>
            <w:tcW w:w="0" w:type="auto"/>
            <w:vAlign w:val="center"/>
          </w:tcPr>
          <w:p w14:paraId="1CEDD415" w14:textId="2AF3274D" w:rsidR="00E24DA0" w:rsidRPr="006D57FD" w:rsidRDefault="00E24DA0" w:rsidP="00E24DA0">
            <w:pPr>
              <w:jc w:val="center"/>
              <w:rPr>
                <w:rFonts w:ascii="Times New Roman" w:hAnsi="Times New Roman" w:cs="Times New Roman"/>
              </w:rPr>
            </w:pPr>
            <w:r w:rsidRPr="006D57FD">
              <w:rPr>
                <w:rFonts w:ascii="Times New Roman" w:hAnsi="Times New Roman" w:cs="Times New Roman"/>
              </w:rPr>
              <w:t>80%</w:t>
            </w:r>
          </w:p>
        </w:tc>
        <w:tc>
          <w:tcPr>
            <w:tcW w:w="0" w:type="auto"/>
            <w:shd w:val="clear" w:color="auto" w:fill="AEAAAA" w:themeFill="background2" w:themeFillShade="BF"/>
            <w:vAlign w:val="center"/>
          </w:tcPr>
          <w:p w14:paraId="6AEDE0D9" w14:textId="4D378705" w:rsidR="00E24DA0" w:rsidRPr="006D57FD" w:rsidRDefault="00E24DA0" w:rsidP="00E24DA0">
            <w:pPr>
              <w:jc w:val="right"/>
              <w:rPr>
                <w:rFonts w:ascii="Times New Roman" w:hAnsi="Times New Roman" w:cs="Times New Roman"/>
              </w:rPr>
            </w:pPr>
            <w:r w:rsidRPr="006D57FD">
              <w:rPr>
                <w:rFonts w:ascii="Times New Roman" w:hAnsi="Times New Roman" w:cs="Times New Roman"/>
              </w:rPr>
              <w:t>304</w:t>
            </w:r>
          </w:p>
        </w:tc>
      </w:tr>
      <w:tr w:rsidR="00E24DA0" w14:paraId="2A54EB63" w14:textId="77777777" w:rsidTr="00E24DA0">
        <w:trPr>
          <w:jc w:val="center"/>
        </w:trPr>
        <w:tc>
          <w:tcPr>
            <w:tcW w:w="0" w:type="auto"/>
          </w:tcPr>
          <w:p w14:paraId="6EB9C49B" w14:textId="1E80BD4D" w:rsidR="00E24DA0" w:rsidRPr="006D57FD" w:rsidRDefault="00E24DA0" w:rsidP="00FB1E45">
            <w:pPr>
              <w:rPr>
                <w:rFonts w:ascii="Times New Roman" w:hAnsi="Times New Roman" w:cs="Times New Roman"/>
              </w:rPr>
            </w:pPr>
            <w:r w:rsidRPr="006D57FD">
              <w:rPr>
                <w:rFonts w:ascii="Times New Roman" w:hAnsi="Times New Roman" w:cs="Times New Roman"/>
              </w:rPr>
              <w:t>10-1-11</w:t>
            </w:r>
          </w:p>
        </w:tc>
        <w:tc>
          <w:tcPr>
            <w:tcW w:w="0" w:type="auto"/>
            <w:shd w:val="clear" w:color="auto" w:fill="AEAAAA" w:themeFill="background2" w:themeFillShade="BF"/>
            <w:vAlign w:val="center"/>
          </w:tcPr>
          <w:p w14:paraId="67B84F44" w14:textId="77777777" w:rsidR="00E24DA0" w:rsidRPr="006D57FD" w:rsidRDefault="00E24DA0" w:rsidP="006D57FD">
            <w:pPr>
              <w:ind w:right="1102"/>
              <w:jc w:val="right"/>
              <w:rPr>
                <w:rFonts w:ascii="Times New Roman" w:hAnsi="Times New Roman" w:cs="Times New Roman"/>
              </w:rPr>
            </w:pPr>
          </w:p>
        </w:tc>
        <w:tc>
          <w:tcPr>
            <w:tcW w:w="0" w:type="auto"/>
            <w:vAlign w:val="center"/>
          </w:tcPr>
          <w:p w14:paraId="24C5BF58" w14:textId="4B78398F" w:rsidR="00E24DA0" w:rsidRPr="006D57FD" w:rsidRDefault="00E24DA0" w:rsidP="00E24DA0">
            <w:pPr>
              <w:jc w:val="center"/>
              <w:rPr>
                <w:rFonts w:ascii="Times New Roman" w:hAnsi="Times New Roman" w:cs="Times New Roman"/>
              </w:rPr>
            </w:pPr>
            <w:r w:rsidRPr="006D57FD">
              <w:rPr>
                <w:rFonts w:ascii="Times New Roman" w:hAnsi="Times New Roman" w:cs="Times New Roman"/>
              </w:rPr>
              <w:t>70%</w:t>
            </w:r>
          </w:p>
        </w:tc>
        <w:tc>
          <w:tcPr>
            <w:tcW w:w="0" w:type="auto"/>
            <w:shd w:val="clear" w:color="auto" w:fill="AEAAAA" w:themeFill="background2" w:themeFillShade="BF"/>
            <w:vAlign w:val="center"/>
          </w:tcPr>
          <w:p w14:paraId="514A4C10" w14:textId="77777777" w:rsidR="00E24DA0" w:rsidRPr="006D57FD" w:rsidRDefault="00E24DA0" w:rsidP="00E24DA0">
            <w:pPr>
              <w:jc w:val="right"/>
              <w:rPr>
                <w:rFonts w:ascii="Times New Roman" w:hAnsi="Times New Roman" w:cs="Times New Roman"/>
              </w:rPr>
            </w:pPr>
          </w:p>
        </w:tc>
      </w:tr>
      <w:tr w:rsidR="00E24DA0" w14:paraId="759ED4F6" w14:textId="77777777" w:rsidTr="00E24DA0">
        <w:trPr>
          <w:jc w:val="center"/>
        </w:trPr>
        <w:tc>
          <w:tcPr>
            <w:tcW w:w="0" w:type="auto"/>
          </w:tcPr>
          <w:p w14:paraId="16D70C2F" w14:textId="0E32D478" w:rsidR="00E24DA0" w:rsidRPr="006D57FD" w:rsidRDefault="00E24DA0" w:rsidP="00FB1E45">
            <w:pPr>
              <w:rPr>
                <w:rFonts w:ascii="Times New Roman" w:hAnsi="Times New Roman" w:cs="Times New Roman"/>
              </w:rPr>
            </w:pPr>
            <w:r w:rsidRPr="006D57FD">
              <w:rPr>
                <w:rFonts w:ascii="Times New Roman" w:hAnsi="Times New Roman" w:cs="Times New Roman"/>
              </w:rPr>
              <w:t>10-1-10</w:t>
            </w:r>
          </w:p>
        </w:tc>
        <w:tc>
          <w:tcPr>
            <w:tcW w:w="0" w:type="auto"/>
            <w:shd w:val="clear" w:color="auto" w:fill="AEAAAA" w:themeFill="background2" w:themeFillShade="BF"/>
            <w:vAlign w:val="center"/>
          </w:tcPr>
          <w:p w14:paraId="52FB2B09" w14:textId="77777777" w:rsidR="00E24DA0" w:rsidRPr="006D57FD" w:rsidRDefault="00E24DA0" w:rsidP="006D57FD">
            <w:pPr>
              <w:ind w:right="1102"/>
              <w:jc w:val="right"/>
              <w:rPr>
                <w:rFonts w:ascii="Times New Roman" w:hAnsi="Times New Roman" w:cs="Times New Roman"/>
              </w:rPr>
            </w:pPr>
          </w:p>
        </w:tc>
        <w:tc>
          <w:tcPr>
            <w:tcW w:w="0" w:type="auto"/>
            <w:vAlign w:val="center"/>
          </w:tcPr>
          <w:p w14:paraId="08AEC872" w14:textId="4F0DBA43" w:rsidR="00E24DA0" w:rsidRPr="006D57FD" w:rsidRDefault="00E24DA0" w:rsidP="00E24DA0">
            <w:pPr>
              <w:jc w:val="center"/>
              <w:rPr>
                <w:rFonts w:ascii="Times New Roman" w:hAnsi="Times New Roman" w:cs="Times New Roman"/>
              </w:rPr>
            </w:pPr>
            <w:r w:rsidRPr="006D57FD">
              <w:rPr>
                <w:rFonts w:ascii="Times New Roman" w:hAnsi="Times New Roman" w:cs="Times New Roman"/>
              </w:rPr>
              <w:t>60%</w:t>
            </w:r>
          </w:p>
        </w:tc>
        <w:tc>
          <w:tcPr>
            <w:tcW w:w="0" w:type="auto"/>
            <w:shd w:val="clear" w:color="auto" w:fill="AEAAAA" w:themeFill="background2" w:themeFillShade="BF"/>
            <w:vAlign w:val="center"/>
          </w:tcPr>
          <w:p w14:paraId="344C7E87" w14:textId="77777777" w:rsidR="00E24DA0" w:rsidRPr="006D57FD" w:rsidRDefault="00E24DA0" w:rsidP="00E24DA0">
            <w:pPr>
              <w:jc w:val="right"/>
              <w:rPr>
                <w:rFonts w:ascii="Times New Roman" w:hAnsi="Times New Roman" w:cs="Times New Roman"/>
              </w:rPr>
            </w:pPr>
          </w:p>
        </w:tc>
      </w:tr>
      <w:tr w:rsidR="00E24DA0" w14:paraId="3D843AD3" w14:textId="77777777" w:rsidTr="00E24DA0">
        <w:trPr>
          <w:jc w:val="center"/>
        </w:trPr>
        <w:tc>
          <w:tcPr>
            <w:tcW w:w="0" w:type="auto"/>
          </w:tcPr>
          <w:p w14:paraId="695CCBFD" w14:textId="5CAF7ECB" w:rsidR="00E24DA0" w:rsidRPr="006D57FD" w:rsidRDefault="00E24DA0" w:rsidP="00FB1E45">
            <w:pPr>
              <w:rPr>
                <w:rFonts w:ascii="Times New Roman" w:hAnsi="Times New Roman" w:cs="Times New Roman"/>
              </w:rPr>
            </w:pPr>
            <w:r w:rsidRPr="006D57FD">
              <w:rPr>
                <w:rFonts w:ascii="Times New Roman" w:hAnsi="Times New Roman" w:cs="Times New Roman"/>
              </w:rPr>
              <w:t>10-1-09</w:t>
            </w:r>
          </w:p>
        </w:tc>
        <w:tc>
          <w:tcPr>
            <w:tcW w:w="0" w:type="auto"/>
            <w:shd w:val="clear" w:color="auto" w:fill="AEAAAA" w:themeFill="background2" w:themeFillShade="BF"/>
            <w:vAlign w:val="center"/>
          </w:tcPr>
          <w:p w14:paraId="280A9509" w14:textId="77777777" w:rsidR="00E24DA0" w:rsidRPr="006D57FD" w:rsidRDefault="00E24DA0" w:rsidP="006D57FD">
            <w:pPr>
              <w:ind w:right="1102"/>
              <w:jc w:val="right"/>
              <w:rPr>
                <w:rFonts w:ascii="Times New Roman" w:hAnsi="Times New Roman" w:cs="Times New Roman"/>
              </w:rPr>
            </w:pPr>
          </w:p>
        </w:tc>
        <w:tc>
          <w:tcPr>
            <w:tcW w:w="0" w:type="auto"/>
            <w:vAlign w:val="center"/>
          </w:tcPr>
          <w:p w14:paraId="390431DE" w14:textId="53A02582" w:rsidR="00E24DA0" w:rsidRPr="006D57FD" w:rsidRDefault="00E24DA0" w:rsidP="00E24DA0">
            <w:pPr>
              <w:jc w:val="center"/>
              <w:rPr>
                <w:rFonts w:ascii="Times New Roman" w:hAnsi="Times New Roman" w:cs="Times New Roman"/>
              </w:rPr>
            </w:pPr>
            <w:r w:rsidRPr="006D57FD">
              <w:rPr>
                <w:rFonts w:ascii="Times New Roman" w:hAnsi="Times New Roman" w:cs="Times New Roman"/>
              </w:rPr>
              <w:t>50%</w:t>
            </w:r>
          </w:p>
        </w:tc>
        <w:tc>
          <w:tcPr>
            <w:tcW w:w="0" w:type="auto"/>
            <w:shd w:val="clear" w:color="auto" w:fill="AEAAAA" w:themeFill="background2" w:themeFillShade="BF"/>
            <w:vAlign w:val="center"/>
          </w:tcPr>
          <w:p w14:paraId="70F9E2F1" w14:textId="77777777" w:rsidR="00E24DA0" w:rsidRPr="006D57FD" w:rsidRDefault="00E24DA0" w:rsidP="00E24DA0">
            <w:pPr>
              <w:jc w:val="right"/>
              <w:rPr>
                <w:rFonts w:ascii="Times New Roman" w:hAnsi="Times New Roman" w:cs="Times New Roman"/>
              </w:rPr>
            </w:pPr>
          </w:p>
        </w:tc>
      </w:tr>
      <w:tr w:rsidR="00E24DA0" w14:paraId="1729696A" w14:textId="77777777" w:rsidTr="00E24DA0">
        <w:trPr>
          <w:jc w:val="center"/>
        </w:trPr>
        <w:tc>
          <w:tcPr>
            <w:tcW w:w="0" w:type="auto"/>
          </w:tcPr>
          <w:p w14:paraId="21334481" w14:textId="168F3C13" w:rsidR="00E24DA0" w:rsidRPr="006D57FD" w:rsidRDefault="00E24DA0" w:rsidP="00FB1E45">
            <w:pPr>
              <w:rPr>
                <w:rFonts w:ascii="Times New Roman" w:hAnsi="Times New Roman" w:cs="Times New Roman"/>
              </w:rPr>
            </w:pPr>
            <w:r w:rsidRPr="006D57FD">
              <w:rPr>
                <w:rFonts w:ascii="Times New Roman" w:hAnsi="Times New Roman" w:cs="Times New Roman"/>
              </w:rPr>
              <w:t>10-1-08</w:t>
            </w:r>
          </w:p>
        </w:tc>
        <w:tc>
          <w:tcPr>
            <w:tcW w:w="0" w:type="auto"/>
            <w:shd w:val="clear" w:color="auto" w:fill="AEAAAA" w:themeFill="background2" w:themeFillShade="BF"/>
            <w:vAlign w:val="center"/>
          </w:tcPr>
          <w:p w14:paraId="46D7BF56" w14:textId="77777777" w:rsidR="00E24DA0" w:rsidRPr="006D57FD" w:rsidRDefault="00E24DA0" w:rsidP="006D57FD">
            <w:pPr>
              <w:ind w:right="1102"/>
              <w:jc w:val="right"/>
              <w:rPr>
                <w:rFonts w:ascii="Times New Roman" w:hAnsi="Times New Roman" w:cs="Times New Roman"/>
              </w:rPr>
            </w:pPr>
          </w:p>
        </w:tc>
        <w:tc>
          <w:tcPr>
            <w:tcW w:w="0" w:type="auto"/>
            <w:vAlign w:val="center"/>
          </w:tcPr>
          <w:p w14:paraId="5DD4221A" w14:textId="1000736E" w:rsidR="00E24DA0" w:rsidRPr="006D57FD" w:rsidRDefault="00E24DA0" w:rsidP="00E24DA0">
            <w:pPr>
              <w:jc w:val="center"/>
              <w:rPr>
                <w:rFonts w:ascii="Times New Roman" w:hAnsi="Times New Roman" w:cs="Times New Roman"/>
              </w:rPr>
            </w:pPr>
            <w:r w:rsidRPr="006D57FD">
              <w:rPr>
                <w:rFonts w:ascii="Times New Roman" w:hAnsi="Times New Roman" w:cs="Times New Roman"/>
              </w:rPr>
              <w:t>40%</w:t>
            </w:r>
          </w:p>
        </w:tc>
        <w:tc>
          <w:tcPr>
            <w:tcW w:w="0" w:type="auto"/>
            <w:shd w:val="clear" w:color="auto" w:fill="AEAAAA" w:themeFill="background2" w:themeFillShade="BF"/>
            <w:vAlign w:val="center"/>
          </w:tcPr>
          <w:p w14:paraId="2E2D33CF" w14:textId="77777777" w:rsidR="00E24DA0" w:rsidRPr="006D57FD" w:rsidRDefault="00E24DA0" w:rsidP="00E24DA0">
            <w:pPr>
              <w:jc w:val="right"/>
              <w:rPr>
                <w:rFonts w:ascii="Times New Roman" w:hAnsi="Times New Roman" w:cs="Times New Roman"/>
              </w:rPr>
            </w:pPr>
          </w:p>
        </w:tc>
      </w:tr>
      <w:tr w:rsidR="00E24DA0" w14:paraId="5464870D" w14:textId="77777777" w:rsidTr="00E24DA0">
        <w:trPr>
          <w:jc w:val="center"/>
        </w:trPr>
        <w:tc>
          <w:tcPr>
            <w:tcW w:w="0" w:type="auto"/>
          </w:tcPr>
          <w:p w14:paraId="2ABDB97D" w14:textId="7C590438" w:rsidR="00E24DA0" w:rsidRPr="006D57FD" w:rsidRDefault="00E24DA0" w:rsidP="00FB1E45">
            <w:pPr>
              <w:rPr>
                <w:rFonts w:ascii="Times New Roman" w:hAnsi="Times New Roman" w:cs="Times New Roman"/>
              </w:rPr>
            </w:pPr>
            <w:r w:rsidRPr="006D57FD">
              <w:rPr>
                <w:rFonts w:ascii="Times New Roman" w:hAnsi="Times New Roman" w:cs="Times New Roman"/>
              </w:rPr>
              <w:t>Prior years</w:t>
            </w:r>
          </w:p>
        </w:tc>
        <w:tc>
          <w:tcPr>
            <w:tcW w:w="0" w:type="auto"/>
            <w:shd w:val="clear" w:color="auto" w:fill="AEAAAA" w:themeFill="background2" w:themeFillShade="BF"/>
            <w:vAlign w:val="center"/>
          </w:tcPr>
          <w:p w14:paraId="4B81A9CE" w14:textId="7E03E08F" w:rsidR="00E24DA0" w:rsidRPr="006D57FD" w:rsidRDefault="00E24DA0" w:rsidP="006D57FD">
            <w:pPr>
              <w:ind w:right="1102"/>
              <w:jc w:val="right"/>
              <w:rPr>
                <w:rFonts w:ascii="Times New Roman" w:hAnsi="Times New Roman" w:cs="Times New Roman"/>
              </w:rPr>
            </w:pPr>
            <w:r w:rsidRPr="006D57FD">
              <w:rPr>
                <w:rFonts w:ascii="Times New Roman" w:hAnsi="Times New Roman" w:cs="Times New Roman"/>
              </w:rPr>
              <w:t>100</w:t>
            </w:r>
          </w:p>
        </w:tc>
        <w:tc>
          <w:tcPr>
            <w:tcW w:w="0" w:type="auto"/>
            <w:vAlign w:val="center"/>
          </w:tcPr>
          <w:p w14:paraId="485C22EB" w14:textId="75CAD6D7" w:rsidR="00E24DA0" w:rsidRPr="006D57FD" w:rsidRDefault="00E24DA0" w:rsidP="00E24DA0">
            <w:pPr>
              <w:jc w:val="center"/>
              <w:rPr>
                <w:rFonts w:ascii="Times New Roman" w:hAnsi="Times New Roman" w:cs="Times New Roman"/>
              </w:rPr>
            </w:pPr>
            <w:r w:rsidRPr="006D57FD">
              <w:rPr>
                <w:rFonts w:ascii="Times New Roman" w:hAnsi="Times New Roman" w:cs="Times New Roman"/>
              </w:rPr>
              <w:t>30%</w:t>
            </w:r>
          </w:p>
        </w:tc>
        <w:tc>
          <w:tcPr>
            <w:tcW w:w="0" w:type="auto"/>
            <w:shd w:val="clear" w:color="auto" w:fill="AEAAAA" w:themeFill="background2" w:themeFillShade="BF"/>
            <w:vAlign w:val="center"/>
          </w:tcPr>
          <w:p w14:paraId="11B47E78" w14:textId="01A0F0EB" w:rsidR="00E24DA0" w:rsidRPr="006D57FD" w:rsidRDefault="00E24DA0" w:rsidP="00E24DA0">
            <w:pPr>
              <w:jc w:val="right"/>
              <w:rPr>
                <w:rFonts w:ascii="Times New Roman" w:hAnsi="Times New Roman" w:cs="Times New Roman"/>
              </w:rPr>
            </w:pPr>
            <w:r w:rsidRPr="006D57FD">
              <w:rPr>
                <w:rFonts w:ascii="Times New Roman" w:hAnsi="Times New Roman" w:cs="Times New Roman"/>
              </w:rPr>
              <w:t>30</w:t>
            </w:r>
          </w:p>
        </w:tc>
      </w:tr>
      <w:tr w:rsidR="00E24DA0" w14:paraId="48704837" w14:textId="77777777" w:rsidTr="00E24DA0">
        <w:trPr>
          <w:jc w:val="center"/>
        </w:trPr>
        <w:tc>
          <w:tcPr>
            <w:tcW w:w="0" w:type="auto"/>
          </w:tcPr>
          <w:p w14:paraId="2F9DE62D" w14:textId="16470FC3" w:rsidR="00E24DA0" w:rsidRPr="006D57FD" w:rsidRDefault="00E24DA0" w:rsidP="00FB1E45">
            <w:pPr>
              <w:rPr>
                <w:rFonts w:ascii="Times New Roman" w:hAnsi="Times New Roman" w:cs="Times New Roman"/>
              </w:rPr>
            </w:pPr>
            <w:r w:rsidRPr="006D57FD">
              <w:rPr>
                <w:rFonts w:ascii="Times New Roman" w:hAnsi="Times New Roman" w:cs="Times New Roman"/>
              </w:rPr>
              <w:t>Total</w:t>
            </w:r>
          </w:p>
        </w:tc>
        <w:tc>
          <w:tcPr>
            <w:tcW w:w="0" w:type="auto"/>
            <w:shd w:val="clear" w:color="auto" w:fill="AEAAAA" w:themeFill="background2" w:themeFillShade="BF"/>
            <w:vAlign w:val="center"/>
          </w:tcPr>
          <w:p w14:paraId="579407C4" w14:textId="3F345BA5" w:rsidR="00E24DA0" w:rsidRPr="006D57FD" w:rsidRDefault="00E24DA0" w:rsidP="006D57FD">
            <w:pPr>
              <w:ind w:right="1102"/>
              <w:jc w:val="right"/>
              <w:rPr>
                <w:rFonts w:ascii="Times New Roman" w:hAnsi="Times New Roman" w:cs="Times New Roman"/>
              </w:rPr>
            </w:pPr>
            <w:r w:rsidRPr="006D57FD">
              <w:rPr>
                <w:rFonts w:ascii="Times New Roman" w:hAnsi="Times New Roman" w:cs="Times New Roman"/>
              </w:rPr>
              <w:t>930</w:t>
            </w:r>
          </w:p>
        </w:tc>
        <w:tc>
          <w:tcPr>
            <w:tcW w:w="0" w:type="auto"/>
          </w:tcPr>
          <w:p w14:paraId="64FAC59D" w14:textId="56ACA9EF" w:rsidR="00E24DA0" w:rsidRPr="006D57FD" w:rsidRDefault="00E24DA0" w:rsidP="00FB1E45">
            <w:pPr>
              <w:rPr>
                <w:rFonts w:ascii="Times New Roman" w:hAnsi="Times New Roman" w:cs="Times New Roman"/>
              </w:rPr>
            </w:pPr>
            <w:r w:rsidRPr="006D57FD">
              <w:rPr>
                <w:rFonts w:ascii="Times New Roman" w:hAnsi="Times New Roman" w:cs="Times New Roman"/>
              </w:rPr>
              <w:t>Total</w:t>
            </w:r>
          </w:p>
        </w:tc>
        <w:tc>
          <w:tcPr>
            <w:tcW w:w="0" w:type="auto"/>
            <w:shd w:val="clear" w:color="auto" w:fill="AEAAAA" w:themeFill="background2" w:themeFillShade="BF"/>
            <w:vAlign w:val="center"/>
          </w:tcPr>
          <w:p w14:paraId="037C08F5" w14:textId="39002804" w:rsidR="00E24DA0" w:rsidRPr="006D57FD" w:rsidRDefault="00E24DA0" w:rsidP="00E24DA0">
            <w:pPr>
              <w:jc w:val="right"/>
              <w:rPr>
                <w:rFonts w:ascii="Times New Roman" w:hAnsi="Times New Roman" w:cs="Times New Roman"/>
              </w:rPr>
            </w:pPr>
            <w:r w:rsidRPr="006D57FD">
              <w:rPr>
                <w:rFonts w:ascii="Times New Roman" w:hAnsi="Times New Roman" w:cs="Times New Roman"/>
              </w:rPr>
              <w:t>742</w:t>
            </w:r>
          </w:p>
        </w:tc>
      </w:tr>
    </w:tbl>
    <w:p w14:paraId="37B1D985" w14:textId="56B640C0" w:rsidR="00FB1E45" w:rsidRPr="006D57FD" w:rsidRDefault="0002171E" w:rsidP="00FB1E45">
      <w:pPr>
        <w:rPr>
          <w:rFonts w:ascii="Times New Roman" w:hAnsi="Times New Roman" w:cs="Times New Roman"/>
        </w:rPr>
      </w:pPr>
      <w:r>
        <w:tab/>
      </w:r>
      <w:r>
        <w:tab/>
      </w:r>
      <w:r w:rsidRPr="006D57FD">
        <w:rPr>
          <w:rFonts w:ascii="Times New Roman" w:hAnsi="Times New Roman" w:cs="Times New Roman"/>
        </w:rPr>
        <w:t xml:space="preserve">Source: </w:t>
      </w:r>
      <w:r w:rsidR="006D57FD" w:rsidRPr="006D57FD">
        <w:rPr>
          <w:rFonts w:ascii="Times New Roman" w:hAnsi="Times New Roman" w:cs="Times New Roman"/>
        </w:rPr>
        <w:t>CAAO</w:t>
      </w:r>
      <w:r w:rsidRPr="006D57FD">
        <w:rPr>
          <w:rFonts w:ascii="Times New Roman" w:hAnsi="Times New Roman" w:cs="Times New Roman"/>
        </w:rPr>
        <w:t xml:space="preserve"> 2014 Declaration of Personal Property</w:t>
      </w:r>
    </w:p>
    <w:p w14:paraId="3A01B998" w14:textId="1A769C5F" w:rsidR="0002171E" w:rsidRPr="00E30F3F" w:rsidRDefault="0002171E" w:rsidP="00E30F3F">
      <w:pPr>
        <w:jc w:val="both"/>
        <w:rPr>
          <w:rFonts w:ascii="Times New Roman" w:hAnsi="Times New Roman" w:cs="Times New Roman"/>
        </w:rPr>
      </w:pPr>
      <w:r w:rsidRPr="00E30F3F">
        <w:rPr>
          <w:rFonts w:ascii="Times New Roman" w:hAnsi="Times New Roman" w:cs="Times New Roman"/>
        </w:rPr>
        <w:t xml:space="preserve">Declaration forms are mailed out to each business that filed in the previous year and each new business registered with city. Whether or not a business receives the declaration form does not affect their obligation to complete and file the declaration. </w:t>
      </w:r>
    </w:p>
    <w:p w14:paraId="6F39E0EB" w14:textId="57512B31" w:rsidR="0002171E" w:rsidRPr="00E30F3F" w:rsidRDefault="0002171E" w:rsidP="00E30F3F">
      <w:pPr>
        <w:jc w:val="both"/>
        <w:rPr>
          <w:rFonts w:ascii="Times New Roman" w:hAnsi="Times New Roman" w:cs="Times New Roman"/>
        </w:rPr>
      </w:pPr>
      <w:r w:rsidRPr="00E30F3F">
        <w:rPr>
          <w:rFonts w:ascii="Times New Roman" w:hAnsi="Times New Roman" w:cs="Times New Roman"/>
        </w:rPr>
        <w:t>Clearly discovering new businesses poses a burden for local assessors</w:t>
      </w:r>
      <w:r w:rsidR="00510AF9" w:rsidRPr="00E30F3F">
        <w:rPr>
          <w:rFonts w:ascii="Times New Roman" w:hAnsi="Times New Roman" w:cs="Times New Roman"/>
        </w:rPr>
        <w:t xml:space="preserve"> </w:t>
      </w:r>
      <w:r w:rsidR="00E30F3F">
        <w:rPr>
          <w:rFonts w:ascii="Times New Roman" w:hAnsi="Times New Roman" w:cs="Times New Roman"/>
        </w:rPr>
        <w:fldChar w:fldCharType="begin"/>
      </w:r>
      <w:r w:rsidR="00E30F3F">
        <w:rPr>
          <w:rFonts w:ascii="Times New Roman" w:hAnsi="Times New Roman" w:cs="Times New Roman"/>
        </w:rPr>
        <w:instrText xml:space="preserve"> ADDIN EN.CITE &lt;EndNote&gt;&lt;Cite&gt;&lt;Author&gt;Collins&lt;/Author&gt;&lt;Year&gt;2015&lt;/Year&gt;&lt;RecNum&gt;24&lt;/RecNum&gt;&lt;DisplayText&gt;(Catherine Collins 2015)&lt;/DisplayText&gt;&lt;record&gt;&lt;rec-number&gt;24&lt;/rec-number&gt;&lt;foreign-keys&gt;&lt;key app="EN" db-id="efsrp25rfad5tverv0kv2ztwvdrzzzda2pwp" timestamp="1446587710"&gt;24&lt;/key&gt;&lt;/foreign-keys&gt;&lt;ref-type name="Journal Article"&gt;17&lt;/ref-type&gt;&lt;contributors&gt;&lt;authors&gt;&lt;author&gt;Catherine Collins&lt;/author&gt;&lt;/authors&gt;&lt;/contributors&gt;&lt;titles&gt;&lt;title&gt;The shrinking personal property tax: State approaches to exempting business personal property from local property taxes&lt;/title&gt;&lt;secondary-title&gt;Tax Management Weekly State Tax Report&lt;/secondary-title&gt;&lt;/titles&gt;&lt;periodical&gt;&lt;full-title&gt;Tax Management Weekly State Tax Report&lt;/full-title&gt;&lt;/periodical&gt;&lt;volume&gt;WSTR 1/9/2015&lt;/volume&gt;&lt;dates&gt;&lt;year&gt;2015&lt;/year&gt;&lt;/dates&gt;&lt;urls&gt;&lt;/urls&gt;&lt;/record&gt;&lt;/Cite&gt;&lt;/EndNote&gt;</w:instrText>
      </w:r>
      <w:r w:rsidR="00E30F3F">
        <w:rPr>
          <w:rFonts w:ascii="Times New Roman" w:hAnsi="Times New Roman" w:cs="Times New Roman"/>
        </w:rPr>
        <w:fldChar w:fldCharType="separate"/>
      </w:r>
      <w:r w:rsidR="00E30F3F">
        <w:rPr>
          <w:rFonts w:ascii="Times New Roman" w:hAnsi="Times New Roman" w:cs="Times New Roman"/>
          <w:noProof/>
        </w:rPr>
        <w:t>(Catherine Collins 2015)</w:t>
      </w:r>
      <w:r w:rsidR="00E30F3F">
        <w:rPr>
          <w:rFonts w:ascii="Times New Roman" w:hAnsi="Times New Roman" w:cs="Times New Roman"/>
        </w:rPr>
        <w:fldChar w:fldCharType="end"/>
      </w:r>
      <w:r w:rsidR="00E30F3F">
        <w:rPr>
          <w:rFonts w:ascii="Times New Roman" w:hAnsi="Times New Roman" w:cs="Times New Roman"/>
        </w:rPr>
        <w:t xml:space="preserve"> </w:t>
      </w:r>
      <w:r w:rsidRPr="00E30F3F">
        <w:rPr>
          <w:rFonts w:ascii="Times New Roman" w:hAnsi="Times New Roman" w:cs="Times New Roman"/>
        </w:rPr>
        <w:t xml:space="preserve">and based on interviews with 11 different cities, efforts to identify such potential taxpayers vary across assessing jurisdictions. </w:t>
      </w:r>
      <w:r w:rsidR="001B28B7" w:rsidRPr="00E30F3F">
        <w:rPr>
          <w:rFonts w:ascii="Times New Roman" w:hAnsi="Times New Roman" w:cs="Times New Roman"/>
        </w:rPr>
        <w:t xml:space="preserve">When forms are completed, there is no easy way to verify the accuracy of the data provided short of an audit. And for large firms with millions of dollars in personal property, the filing can be quite lengthy. </w:t>
      </w:r>
    </w:p>
    <w:p w14:paraId="69A4A72E" w14:textId="7FD3D5AD" w:rsidR="001B28B7" w:rsidRPr="00E30F3F" w:rsidRDefault="001B28B7" w:rsidP="001B28B7">
      <w:pPr>
        <w:pStyle w:val="Heading3"/>
        <w:rPr>
          <w:rFonts w:ascii="Times New Roman" w:hAnsi="Times New Roman" w:cs="Times New Roman"/>
        </w:rPr>
      </w:pPr>
      <w:bookmarkStart w:id="8" w:name="_Toc434358303"/>
      <w:r w:rsidRPr="00E30F3F">
        <w:rPr>
          <w:rFonts w:ascii="Times New Roman" w:hAnsi="Times New Roman" w:cs="Times New Roman"/>
        </w:rPr>
        <w:t>Valuation</w:t>
      </w:r>
      <w:bookmarkEnd w:id="8"/>
    </w:p>
    <w:p w14:paraId="6CAE8FE9" w14:textId="7296D672" w:rsidR="001B28B7" w:rsidRDefault="001B28B7" w:rsidP="00E30F3F">
      <w:pPr>
        <w:jc w:val="both"/>
        <w:rPr>
          <w:rFonts w:ascii="Times New Roman" w:hAnsi="Times New Roman" w:cs="Times New Roman"/>
        </w:rPr>
      </w:pPr>
      <w:r w:rsidRPr="00E30F3F">
        <w:rPr>
          <w:rFonts w:ascii="Times New Roman" w:hAnsi="Times New Roman" w:cs="Times New Roman"/>
        </w:rPr>
        <w:t>Using the information provided by the taxpayer on the declaration form, valuation by the assessor is generally straightforward. State law requires that all property be assessed at 70% of market value. The assessor simply takes the depreciated value totals for each property category, deducts any exemptions, and multiplies the remainder by 0.7 before adding them together to arrive at the total taxable value for the firm</w:t>
      </w:r>
      <w:r w:rsidR="00344F63" w:rsidRPr="00E30F3F">
        <w:rPr>
          <w:rFonts w:ascii="Times New Roman" w:hAnsi="Times New Roman" w:cs="Times New Roman"/>
        </w:rPr>
        <w:t xml:space="preserve">’s </w:t>
      </w:r>
      <w:r w:rsidR="00344F63" w:rsidRPr="00E30F3F">
        <w:rPr>
          <w:rFonts w:ascii="Times New Roman" w:hAnsi="Times New Roman" w:cs="Times New Roman"/>
        </w:rPr>
        <w:lastRenderedPageBreak/>
        <w:t>personal property</w:t>
      </w:r>
      <w:r w:rsidRPr="00E30F3F">
        <w:rPr>
          <w:rFonts w:ascii="Times New Roman" w:hAnsi="Times New Roman" w:cs="Times New Roman"/>
        </w:rPr>
        <w:t>. In the case of motor vehicles reported on the declaration, value is verified where possible by using the National Automobile Dealers Association data available from the state. No ot</w:t>
      </w:r>
      <w:r w:rsidR="00364F39" w:rsidRPr="00E30F3F">
        <w:rPr>
          <w:rFonts w:ascii="Times New Roman" w:hAnsi="Times New Roman" w:cs="Times New Roman"/>
        </w:rPr>
        <w:t xml:space="preserve">her attempts are made to test whether or not the final value bears any connection with actual market value since for the most part the assessor has very little information on quality, condition or marketability of the assets. </w:t>
      </w:r>
    </w:p>
    <w:p w14:paraId="7F307C81" w14:textId="6FAB2CAB" w:rsidR="00873C4B" w:rsidRDefault="00873C4B" w:rsidP="00E30F3F">
      <w:pPr>
        <w:jc w:val="both"/>
        <w:rPr>
          <w:rFonts w:ascii="Times New Roman" w:hAnsi="Times New Roman" w:cs="Times New Roman"/>
        </w:rPr>
      </w:pPr>
      <w:r>
        <w:rPr>
          <w:rFonts w:ascii="Times New Roman" w:hAnsi="Times New Roman" w:cs="Times New Roman"/>
        </w:rPr>
        <w:t>The result for the 2013 Grand List was total personal property valued for tax purposes at $22,948 million before exemptions. Table 4 reports the breakdown of this total by type of property. The largest single category is the infrastructure owned by public utility companies in cable, conduits, pipes, etc. Several of the property types are very small in the aggregate. In addition the total taxable value was reduced by exemptions totaling 20.4% putting the final taxable value at $18,270 million.</w:t>
      </w:r>
    </w:p>
    <w:p w14:paraId="44DC99B7" w14:textId="299B0AF7" w:rsidR="00064492" w:rsidRPr="00873C4B" w:rsidRDefault="00873C4B" w:rsidP="00873C4B">
      <w:pPr>
        <w:jc w:val="center"/>
        <w:rPr>
          <w:rFonts w:ascii="Times New Roman" w:hAnsi="Times New Roman" w:cs="Times New Roman"/>
          <w:b/>
        </w:rPr>
      </w:pPr>
      <w:r w:rsidRPr="00873C4B">
        <w:rPr>
          <w:rFonts w:ascii="Times New Roman" w:hAnsi="Times New Roman" w:cs="Times New Roman"/>
          <w:b/>
        </w:rPr>
        <w:t>Table 4: Distribution of Personal Property Value by Type: 2013</w:t>
      </w:r>
    </w:p>
    <w:tbl>
      <w:tblPr>
        <w:tblStyle w:val="TableGrid"/>
        <w:tblW w:w="0" w:type="auto"/>
        <w:jc w:val="center"/>
        <w:tblLook w:val="04A0" w:firstRow="1" w:lastRow="0" w:firstColumn="1" w:lastColumn="0" w:noHBand="0" w:noVBand="1"/>
      </w:tblPr>
      <w:tblGrid>
        <w:gridCol w:w="5685"/>
        <w:gridCol w:w="2602"/>
      </w:tblGrid>
      <w:tr w:rsidR="00064492" w:rsidRPr="00064492" w14:paraId="43AC0DEB" w14:textId="77777777" w:rsidTr="00873C4B">
        <w:trPr>
          <w:jc w:val="center"/>
        </w:trPr>
        <w:tc>
          <w:tcPr>
            <w:tcW w:w="0" w:type="auto"/>
            <w:vAlign w:val="center"/>
          </w:tcPr>
          <w:p w14:paraId="32FDE3B6" w14:textId="77777777" w:rsidR="00064492" w:rsidRPr="00064492" w:rsidRDefault="00064492" w:rsidP="00064492">
            <w:pPr>
              <w:jc w:val="center"/>
              <w:rPr>
                <w:rFonts w:ascii="Times New Roman" w:hAnsi="Times New Roman" w:cs="Times New Roman"/>
                <w:b/>
              </w:rPr>
            </w:pPr>
            <w:r w:rsidRPr="00064492">
              <w:rPr>
                <w:rFonts w:ascii="Times New Roman" w:hAnsi="Times New Roman" w:cs="Times New Roman"/>
                <w:b/>
              </w:rPr>
              <w:t>Personal Property Type</w:t>
            </w:r>
          </w:p>
        </w:tc>
        <w:tc>
          <w:tcPr>
            <w:tcW w:w="2602" w:type="dxa"/>
            <w:vAlign w:val="center"/>
          </w:tcPr>
          <w:p w14:paraId="511592C2" w14:textId="77777777" w:rsidR="00064492" w:rsidRPr="00064492" w:rsidRDefault="00064492" w:rsidP="00064492">
            <w:pPr>
              <w:jc w:val="center"/>
              <w:rPr>
                <w:rFonts w:ascii="Times New Roman" w:hAnsi="Times New Roman" w:cs="Times New Roman"/>
                <w:b/>
              </w:rPr>
            </w:pPr>
            <w:r w:rsidRPr="00064492">
              <w:rPr>
                <w:rFonts w:ascii="Times New Roman" w:hAnsi="Times New Roman" w:cs="Times New Roman"/>
                <w:b/>
              </w:rPr>
              <w:t>Percent of State Total Personal Property</w:t>
            </w:r>
          </w:p>
        </w:tc>
      </w:tr>
      <w:tr w:rsidR="00064492" w:rsidRPr="00064492" w14:paraId="60A2030D" w14:textId="77777777" w:rsidTr="00873C4B">
        <w:trPr>
          <w:jc w:val="center"/>
        </w:trPr>
        <w:tc>
          <w:tcPr>
            <w:tcW w:w="0" w:type="auto"/>
          </w:tcPr>
          <w:p w14:paraId="3A9ECA5C" w14:textId="77777777" w:rsidR="00064492" w:rsidRPr="00064492" w:rsidRDefault="00064492" w:rsidP="00420E1D">
            <w:pPr>
              <w:jc w:val="both"/>
              <w:rPr>
                <w:rFonts w:ascii="Times New Roman" w:hAnsi="Times New Roman" w:cs="Times New Roman"/>
              </w:rPr>
            </w:pPr>
            <w:r w:rsidRPr="00064492">
              <w:rPr>
                <w:rFonts w:ascii="Times New Roman" w:hAnsi="Times New Roman" w:cs="Times New Roman"/>
              </w:rPr>
              <w:t>Non-registered MV and Snowmobiles</w:t>
            </w:r>
          </w:p>
        </w:tc>
        <w:tc>
          <w:tcPr>
            <w:tcW w:w="2602" w:type="dxa"/>
            <w:vAlign w:val="center"/>
          </w:tcPr>
          <w:p w14:paraId="78C60B07" w14:textId="77777777" w:rsidR="00064492" w:rsidRPr="00064492" w:rsidRDefault="00064492" w:rsidP="00064492">
            <w:pPr>
              <w:ind w:right="804"/>
              <w:jc w:val="right"/>
              <w:rPr>
                <w:rFonts w:ascii="Times New Roman" w:hAnsi="Times New Roman" w:cs="Times New Roman"/>
              </w:rPr>
            </w:pPr>
            <w:r w:rsidRPr="00064492">
              <w:rPr>
                <w:rFonts w:ascii="Times New Roman" w:hAnsi="Times New Roman" w:cs="Times New Roman"/>
              </w:rPr>
              <w:t>0.93%</w:t>
            </w:r>
          </w:p>
        </w:tc>
      </w:tr>
      <w:tr w:rsidR="00064492" w:rsidRPr="00064492" w14:paraId="64A3C0B3" w14:textId="77777777" w:rsidTr="00873C4B">
        <w:trPr>
          <w:jc w:val="center"/>
        </w:trPr>
        <w:tc>
          <w:tcPr>
            <w:tcW w:w="0" w:type="auto"/>
          </w:tcPr>
          <w:p w14:paraId="425BFF23" w14:textId="77777777" w:rsidR="00064492" w:rsidRPr="00064492" w:rsidRDefault="00064492" w:rsidP="00420E1D">
            <w:pPr>
              <w:jc w:val="both"/>
              <w:rPr>
                <w:rFonts w:ascii="Times New Roman" w:hAnsi="Times New Roman" w:cs="Times New Roman"/>
              </w:rPr>
            </w:pPr>
            <w:r w:rsidRPr="00064492">
              <w:rPr>
                <w:rFonts w:ascii="Times New Roman" w:hAnsi="Times New Roman" w:cs="Times New Roman"/>
              </w:rPr>
              <w:t>Industrial/Mfg. Machinery &amp; Equipment</w:t>
            </w:r>
          </w:p>
        </w:tc>
        <w:tc>
          <w:tcPr>
            <w:tcW w:w="2602" w:type="dxa"/>
            <w:vAlign w:val="center"/>
          </w:tcPr>
          <w:p w14:paraId="5E57AD64" w14:textId="77777777" w:rsidR="00064492" w:rsidRPr="00064492" w:rsidRDefault="00064492" w:rsidP="00064492">
            <w:pPr>
              <w:ind w:right="804"/>
              <w:jc w:val="right"/>
              <w:rPr>
                <w:rFonts w:ascii="Times New Roman" w:hAnsi="Times New Roman" w:cs="Times New Roman"/>
              </w:rPr>
            </w:pPr>
            <w:r w:rsidRPr="00064492">
              <w:rPr>
                <w:rFonts w:ascii="Times New Roman" w:hAnsi="Times New Roman" w:cs="Times New Roman"/>
              </w:rPr>
              <w:t>10.30%</w:t>
            </w:r>
          </w:p>
        </w:tc>
      </w:tr>
      <w:tr w:rsidR="00064492" w:rsidRPr="00064492" w14:paraId="166B8EF7" w14:textId="77777777" w:rsidTr="00873C4B">
        <w:trPr>
          <w:jc w:val="center"/>
        </w:trPr>
        <w:tc>
          <w:tcPr>
            <w:tcW w:w="0" w:type="auto"/>
          </w:tcPr>
          <w:p w14:paraId="79247807" w14:textId="77777777" w:rsidR="00064492" w:rsidRPr="00064492" w:rsidRDefault="00064492" w:rsidP="00420E1D">
            <w:pPr>
              <w:jc w:val="both"/>
              <w:rPr>
                <w:rFonts w:ascii="Times New Roman" w:hAnsi="Times New Roman" w:cs="Times New Roman"/>
              </w:rPr>
            </w:pPr>
            <w:r w:rsidRPr="00064492">
              <w:rPr>
                <w:rFonts w:ascii="Times New Roman" w:hAnsi="Times New Roman" w:cs="Times New Roman"/>
              </w:rPr>
              <w:t>Horses and Ponies</w:t>
            </w:r>
          </w:p>
        </w:tc>
        <w:tc>
          <w:tcPr>
            <w:tcW w:w="2602" w:type="dxa"/>
            <w:vAlign w:val="center"/>
          </w:tcPr>
          <w:p w14:paraId="071D9F0E" w14:textId="77777777" w:rsidR="00064492" w:rsidRPr="00064492" w:rsidRDefault="00064492" w:rsidP="00064492">
            <w:pPr>
              <w:ind w:right="804"/>
              <w:jc w:val="right"/>
              <w:rPr>
                <w:rFonts w:ascii="Times New Roman" w:hAnsi="Times New Roman" w:cs="Times New Roman"/>
              </w:rPr>
            </w:pPr>
            <w:r w:rsidRPr="00064492">
              <w:rPr>
                <w:rFonts w:ascii="Times New Roman" w:hAnsi="Times New Roman" w:cs="Times New Roman"/>
              </w:rPr>
              <w:t>0.03%</w:t>
            </w:r>
          </w:p>
        </w:tc>
      </w:tr>
      <w:tr w:rsidR="00064492" w:rsidRPr="00064492" w14:paraId="47BD07CA" w14:textId="77777777" w:rsidTr="00873C4B">
        <w:trPr>
          <w:jc w:val="center"/>
        </w:trPr>
        <w:tc>
          <w:tcPr>
            <w:tcW w:w="0" w:type="auto"/>
          </w:tcPr>
          <w:p w14:paraId="37585A05" w14:textId="77777777" w:rsidR="00064492" w:rsidRPr="00064492" w:rsidRDefault="00064492" w:rsidP="00420E1D">
            <w:pPr>
              <w:jc w:val="both"/>
              <w:rPr>
                <w:rFonts w:ascii="Times New Roman" w:hAnsi="Times New Roman" w:cs="Times New Roman"/>
              </w:rPr>
            </w:pPr>
            <w:r w:rsidRPr="00064492">
              <w:rPr>
                <w:rFonts w:ascii="Times New Roman" w:hAnsi="Times New Roman" w:cs="Times New Roman"/>
              </w:rPr>
              <w:t>Commercial Fishing Apparatus</w:t>
            </w:r>
          </w:p>
        </w:tc>
        <w:tc>
          <w:tcPr>
            <w:tcW w:w="2602" w:type="dxa"/>
            <w:vAlign w:val="center"/>
          </w:tcPr>
          <w:p w14:paraId="538245CF" w14:textId="40E78ADF" w:rsidR="00064492" w:rsidRPr="00064492" w:rsidRDefault="00064492" w:rsidP="00064492">
            <w:pPr>
              <w:ind w:right="804"/>
              <w:jc w:val="right"/>
              <w:rPr>
                <w:rFonts w:ascii="Times New Roman" w:hAnsi="Times New Roman" w:cs="Times New Roman"/>
              </w:rPr>
            </w:pPr>
            <w:r w:rsidRPr="00064492">
              <w:rPr>
                <w:rFonts w:ascii="Times New Roman" w:hAnsi="Times New Roman" w:cs="Times New Roman"/>
              </w:rPr>
              <w:t>0.00</w:t>
            </w:r>
            <w:r w:rsidR="00873C4B">
              <w:rPr>
                <w:rFonts w:ascii="Times New Roman" w:hAnsi="Times New Roman" w:cs="Times New Roman"/>
              </w:rPr>
              <w:t>2</w:t>
            </w:r>
            <w:r w:rsidRPr="00064492">
              <w:rPr>
                <w:rFonts w:ascii="Times New Roman" w:hAnsi="Times New Roman" w:cs="Times New Roman"/>
              </w:rPr>
              <w:t>%</w:t>
            </w:r>
          </w:p>
        </w:tc>
      </w:tr>
      <w:tr w:rsidR="00064492" w:rsidRPr="00064492" w14:paraId="3E230C13" w14:textId="77777777" w:rsidTr="00873C4B">
        <w:trPr>
          <w:jc w:val="center"/>
        </w:trPr>
        <w:tc>
          <w:tcPr>
            <w:tcW w:w="0" w:type="auto"/>
          </w:tcPr>
          <w:p w14:paraId="39E0B84F" w14:textId="77777777" w:rsidR="00064492" w:rsidRPr="00064492" w:rsidRDefault="00064492" w:rsidP="00420E1D">
            <w:pPr>
              <w:jc w:val="both"/>
              <w:rPr>
                <w:rFonts w:ascii="Times New Roman" w:hAnsi="Times New Roman" w:cs="Times New Roman"/>
              </w:rPr>
            </w:pPr>
            <w:r w:rsidRPr="00064492">
              <w:rPr>
                <w:rFonts w:ascii="Times New Roman" w:hAnsi="Times New Roman" w:cs="Times New Roman"/>
              </w:rPr>
              <w:t>Manufacturing &amp; Biotechnology Machinery &amp; Equipment</w:t>
            </w:r>
          </w:p>
        </w:tc>
        <w:tc>
          <w:tcPr>
            <w:tcW w:w="2602" w:type="dxa"/>
            <w:vAlign w:val="center"/>
          </w:tcPr>
          <w:p w14:paraId="7D0B8610" w14:textId="77777777" w:rsidR="00064492" w:rsidRPr="00064492" w:rsidRDefault="00064492" w:rsidP="00064492">
            <w:pPr>
              <w:ind w:right="804"/>
              <w:jc w:val="right"/>
              <w:rPr>
                <w:rFonts w:ascii="Times New Roman" w:hAnsi="Times New Roman" w:cs="Times New Roman"/>
              </w:rPr>
            </w:pPr>
            <w:r w:rsidRPr="00064492">
              <w:rPr>
                <w:rFonts w:ascii="Times New Roman" w:hAnsi="Times New Roman" w:cs="Times New Roman"/>
              </w:rPr>
              <w:t>17.64%</w:t>
            </w:r>
          </w:p>
        </w:tc>
      </w:tr>
      <w:tr w:rsidR="00064492" w:rsidRPr="00064492" w14:paraId="3478F414" w14:textId="77777777" w:rsidTr="00873C4B">
        <w:trPr>
          <w:jc w:val="center"/>
        </w:trPr>
        <w:tc>
          <w:tcPr>
            <w:tcW w:w="0" w:type="auto"/>
          </w:tcPr>
          <w:p w14:paraId="6192FCE8" w14:textId="77777777" w:rsidR="00064492" w:rsidRPr="00064492" w:rsidRDefault="00064492" w:rsidP="00420E1D">
            <w:pPr>
              <w:jc w:val="both"/>
              <w:rPr>
                <w:rFonts w:ascii="Times New Roman" w:hAnsi="Times New Roman" w:cs="Times New Roman"/>
              </w:rPr>
            </w:pPr>
            <w:r w:rsidRPr="00064492">
              <w:rPr>
                <w:rFonts w:ascii="Times New Roman" w:hAnsi="Times New Roman" w:cs="Times New Roman"/>
              </w:rPr>
              <w:t>Mobile Manufactured Homes</w:t>
            </w:r>
          </w:p>
        </w:tc>
        <w:tc>
          <w:tcPr>
            <w:tcW w:w="2602" w:type="dxa"/>
            <w:vAlign w:val="center"/>
          </w:tcPr>
          <w:p w14:paraId="5EFD3F79" w14:textId="77777777" w:rsidR="00064492" w:rsidRPr="00064492" w:rsidRDefault="00064492" w:rsidP="00064492">
            <w:pPr>
              <w:ind w:right="804"/>
              <w:jc w:val="right"/>
              <w:rPr>
                <w:rFonts w:ascii="Times New Roman" w:hAnsi="Times New Roman" w:cs="Times New Roman"/>
              </w:rPr>
            </w:pPr>
            <w:r w:rsidRPr="00064492">
              <w:rPr>
                <w:rFonts w:ascii="Times New Roman" w:hAnsi="Times New Roman" w:cs="Times New Roman"/>
              </w:rPr>
              <w:t>0.01%</w:t>
            </w:r>
          </w:p>
        </w:tc>
      </w:tr>
      <w:tr w:rsidR="00064492" w:rsidRPr="00064492" w14:paraId="2565EF2C" w14:textId="77777777" w:rsidTr="00873C4B">
        <w:trPr>
          <w:jc w:val="center"/>
        </w:trPr>
        <w:tc>
          <w:tcPr>
            <w:tcW w:w="0" w:type="auto"/>
          </w:tcPr>
          <w:p w14:paraId="1F38650E" w14:textId="77777777" w:rsidR="00064492" w:rsidRPr="00064492" w:rsidRDefault="00064492" w:rsidP="00420E1D">
            <w:pPr>
              <w:jc w:val="both"/>
              <w:rPr>
                <w:rFonts w:ascii="Times New Roman" w:hAnsi="Times New Roman" w:cs="Times New Roman"/>
              </w:rPr>
            </w:pPr>
            <w:r w:rsidRPr="00064492">
              <w:rPr>
                <w:rFonts w:ascii="Times New Roman" w:hAnsi="Times New Roman" w:cs="Times New Roman"/>
              </w:rPr>
              <w:t>Commercial Furniture &amp; Fixtures</w:t>
            </w:r>
          </w:p>
        </w:tc>
        <w:tc>
          <w:tcPr>
            <w:tcW w:w="2602" w:type="dxa"/>
            <w:vAlign w:val="center"/>
          </w:tcPr>
          <w:p w14:paraId="51898FFE" w14:textId="77777777" w:rsidR="00064492" w:rsidRPr="00064492" w:rsidRDefault="00064492" w:rsidP="00064492">
            <w:pPr>
              <w:ind w:right="804"/>
              <w:jc w:val="right"/>
              <w:rPr>
                <w:rFonts w:ascii="Times New Roman" w:hAnsi="Times New Roman" w:cs="Times New Roman"/>
              </w:rPr>
            </w:pPr>
            <w:r w:rsidRPr="00064492">
              <w:rPr>
                <w:rFonts w:ascii="Times New Roman" w:hAnsi="Times New Roman" w:cs="Times New Roman"/>
              </w:rPr>
              <w:t>21.23%</w:t>
            </w:r>
          </w:p>
        </w:tc>
      </w:tr>
      <w:tr w:rsidR="00064492" w:rsidRPr="00064492" w14:paraId="5BA7B608" w14:textId="77777777" w:rsidTr="00873C4B">
        <w:trPr>
          <w:jc w:val="center"/>
        </w:trPr>
        <w:tc>
          <w:tcPr>
            <w:tcW w:w="0" w:type="auto"/>
          </w:tcPr>
          <w:p w14:paraId="5295340A" w14:textId="77777777" w:rsidR="00064492" w:rsidRPr="00064492" w:rsidRDefault="00064492" w:rsidP="00420E1D">
            <w:pPr>
              <w:jc w:val="both"/>
              <w:rPr>
                <w:rFonts w:ascii="Times New Roman" w:hAnsi="Times New Roman" w:cs="Times New Roman"/>
              </w:rPr>
            </w:pPr>
            <w:r w:rsidRPr="00064492">
              <w:rPr>
                <w:rFonts w:ascii="Times New Roman" w:hAnsi="Times New Roman" w:cs="Times New Roman"/>
              </w:rPr>
              <w:t>Farm Machinery</w:t>
            </w:r>
          </w:p>
        </w:tc>
        <w:tc>
          <w:tcPr>
            <w:tcW w:w="2602" w:type="dxa"/>
            <w:vAlign w:val="center"/>
          </w:tcPr>
          <w:p w14:paraId="40FA414B" w14:textId="77777777" w:rsidR="00064492" w:rsidRPr="00064492" w:rsidRDefault="00064492" w:rsidP="00064492">
            <w:pPr>
              <w:ind w:right="804"/>
              <w:jc w:val="right"/>
              <w:rPr>
                <w:rFonts w:ascii="Times New Roman" w:hAnsi="Times New Roman" w:cs="Times New Roman"/>
              </w:rPr>
            </w:pPr>
            <w:r w:rsidRPr="00064492">
              <w:rPr>
                <w:rFonts w:ascii="Times New Roman" w:hAnsi="Times New Roman" w:cs="Times New Roman"/>
              </w:rPr>
              <w:t>0.41%</w:t>
            </w:r>
          </w:p>
        </w:tc>
      </w:tr>
      <w:tr w:rsidR="00064492" w:rsidRPr="00064492" w14:paraId="7107154D" w14:textId="77777777" w:rsidTr="00873C4B">
        <w:trPr>
          <w:jc w:val="center"/>
        </w:trPr>
        <w:tc>
          <w:tcPr>
            <w:tcW w:w="0" w:type="auto"/>
          </w:tcPr>
          <w:p w14:paraId="4BFF3E4D" w14:textId="77777777" w:rsidR="00064492" w:rsidRPr="00064492" w:rsidRDefault="00064492" w:rsidP="00420E1D">
            <w:pPr>
              <w:jc w:val="both"/>
              <w:rPr>
                <w:rFonts w:ascii="Times New Roman" w:hAnsi="Times New Roman" w:cs="Times New Roman"/>
              </w:rPr>
            </w:pPr>
            <w:r w:rsidRPr="00064492">
              <w:rPr>
                <w:rFonts w:ascii="Times New Roman" w:hAnsi="Times New Roman" w:cs="Times New Roman"/>
              </w:rPr>
              <w:t>Farming Tools</w:t>
            </w:r>
          </w:p>
        </w:tc>
        <w:tc>
          <w:tcPr>
            <w:tcW w:w="2602" w:type="dxa"/>
            <w:vAlign w:val="center"/>
          </w:tcPr>
          <w:p w14:paraId="1A05F14F" w14:textId="77777777" w:rsidR="00064492" w:rsidRPr="00064492" w:rsidRDefault="00064492" w:rsidP="00064492">
            <w:pPr>
              <w:ind w:right="804"/>
              <w:jc w:val="right"/>
              <w:rPr>
                <w:rFonts w:ascii="Times New Roman" w:hAnsi="Times New Roman" w:cs="Times New Roman"/>
              </w:rPr>
            </w:pPr>
            <w:r w:rsidRPr="00064492">
              <w:rPr>
                <w:rFonts w:ascii="Times New Roman" w:hAnsi="Times New Roman" w:cs="Times New Roman"/>
              </w:rPr>
              <w:t>0.01%</w:t>
            </w:r>
          </w:p>
        </w:tc>
      </w:tr>
      <w:tr w:rsidR="00064492" w:rsidRPr="00064492" w14:paraId="7911E247" w14:textId="77777777" w:rsidTr="00873C4B">
        <w:trPr>
          <w:jc w:val="center"/>
        </w:trPr>
        <w:tc>
          <w:tcPr>
            <w:tcW w:w="0" w:type="auto"/>
          </w:tcPr>
          <w:p w14:paraId="37C90E41" w14:textId="77777777" w:rsidR="00064492" w:rsidRPr="00064492" w:rsidRDefault="00064492" w:rsidP="00420E1D">
            <w:pPr>
              <w:jc w:val="both"/>
              <w:rPr>
                <w:rFonts w:ascii="Times New Roman" w:hAnsi="Times New Roman" w:cs="Times New Roman"/>
              </w:rPr>
            </w:pPr>
            <w:r w:rsidRPr="00064492">
              <w:rPr>
                <w:rFonts w:ascii="Times New Roman" w:hAnsi="Times New Roman" w:cs="Times New Roman"/>
              </w:rPr>
              <w:t>Mechanics Tools</w:t>
            </w:r>
          </w:p>
        </w:tc>
        <w:tc>
          <w:tcPr>
            <w:tcW w:w="2602" w:type="dxa"/>
            <w:vAlign w:val="center"/>
          </w:tcPr>
          <w:p w14:paraId="3734A104" w14:textId="77777777" w:rsidR="00064492" w:rsidRPr="00064492" w:rsidRDefault="00064492" w:rsidP="00064492">
            <w:pPr>
              <w:ind w:right="804"/>
              <w:jc w:val="right"/>
              <w:rPr>
                <w:rFonts w:ascii="Times New Roman" w:hAnsi="Times New Roman" w:cs="Times New Roman"/>
              </w:rPr>
            </w:pPr>
            <w:r w:rsidRPr="00064492">
              <w:rPr>
                <w:rFonts w:ascii="Times New Roman" w:hAnsi="Times New Roman" w:cs="Times New Roman"/>
              </w:rPr>
              <w:t>0.20%</w:t>
            </w:r>
          </w:p>
        </w:tc>
      </w:tr>
      <w:tr w:rsidR="00064492" w:rsidRPr="00064492" w14:paraId="6056CF04" w14:textId="77777777" w:rsidTr="00873C4B">
        <w:trPr>
          <w:jc w:val="center"/>
        </w:trPr>
        <w:tc>
          <w:tcPr>
            <w:tcW w:w="0" w:type="auto"/>
          </w:tcPr>
          <w:p w14:paraId="3E22B71A" w14:textId="77777777" w:rsidR="00064492" w:rsidRPr="00064492" w:rsidRDefault="00064492" w:rsidP="00420E1D">
            <w:pPr>
              <w:jc w:val="both"/>
              <w:rPr>
                <w:rFonts w:ascii="Times New Roman" w:hAnsi="Times New Roman" w:cs="Times New Roman"/>
              </w:rPr>
            </w:pPr>
            <w:r w:rsidRPr="00064492">
              <w:rPr>
                <w:rFonts w:ascii="Times New Roman" w:hAnsi="Times New Roman" w:cs="Times New Roman"/>
              </w:rPr>
              <w:t>Electronic Data Processing Equipment</w:t>
            </w:r>
          </w:p>
        </w:tc>
        <w:tc>
          <w:tcPr>
            <w:tcW w:w="2602" w:type="dxa"/>
            <w:vAlign w:val="center"/>
          </w:tcPr>
          <w:p w14:paraId="54D73D48" w14:textId="77777777" w:rsidR="00064492" w:rsidRPr="00064492" w:rsidRDefault="00064492" w:rsidP="00064492">
            <w:pPr>
              <w:ind w:right="804"/>
              <w:jc w:val="right"/>
              <w:rPr>
                <w:rFonts w:ascii="Times New Roman" w:hAnsi="Times New Roman" w:cs="Times New Roman"/>
              </w:rPr>
            </w:pPr>
            <w:r w:rsidRPr="00064492">
              <w:rPr>
                <w:rFonts w:ascii="Times New Roman" w:hAnsi="Times New Roman" w:cs="Times New Roman"/>
              </w:rPr>
              <w:t>8.77%</w:t>
            </w:r>
          </w:p>
        </w:tc>
      </w:tr>
      <w:tr w:rsidR="00064492" w:rsidRPr="00064492" w14:paraId="4B3FEA0E" w14:textId="77777777" w:rsidTr="00873C4B">
        <w:trPr>
          <w:jc w:val="center"/>
        </w:trPr>
        <w:tc>
          <w:tcPr>
            <w:tcW w:w="0" w:type="auto"/>
          </w:tcPr>
          <w:p w14:paraId="7D50C0D0" w14:textId="77777777" w:rsidR="00064492" w:rsidRPr="00064492" w:rsidRDefault="00064492" w:rsidP="00420E1D">
            <w:pPr>
              <w:jc w:val="both"/>
              <w:rPr>
                <w:rFonts w:ascii="Times New Roman" w:hAnsi="Times New Roman" w:cs="Times New Roman"/>
              </w:rPr>
            </w:pPr>
            <w:r w:rsidRPr="00064492">
              <w:rPr>
                <w:rFonts w:ascii="Times New Roman" w:hAnsi="Times New Roman" w:cs="Times New Roman"/>
              </w:rPr>
              <w:t>Telecommunications Equipment</w:t>
            </w:r>
          </w:p>
        </w:tc>
        <w:tc>
          <w:tcPr>
            <w:tcW w:w="2602" w:type="dxa"/>
            <w:vAlign w:val="center"/>
          </w:tcPr>
          <w:p w14:paraId="1E01EF24" w14:textId="77777777" w:rsidR="00064492" w:rsidRPr="00064492" w:rsidRDefault="00064492" w:rsidP="00064492">
            <w:pPr>
              <w:ind w:right="804"/>
              <w:jc w:val="right"/>
              <w:rPr>
                <w:rFonts w:ascii="Times New Roman" w:hAnsi="Times New Roman" w:cs="Times New Roman"/>
              </w:rPr>
            </w:pPr>
            <w:r w:rsidRPr="00064492">
              <w:rPr>
                <w:rFonts w:ascii="Times New Roman" w:hAnsi="Times New Roman" w:cs="Times New Roman"/>
              </w:rPr>
              <w:t>2.02%</w:t>
            </w:r>
          </w:p>
        </w:tc>
      </w:tr>
      <w:tr w:rsidR="00064492" w:rsidRPr="00064492" w14:paraId="4A878165" w14:textId="77777777" w:rsidTr="00873C4B">
        <w:trPr>
          <w:jc w:val="center"/>
        </w:trPr>
        <w:tc>
          <w:tcPr>
            <w:tcW w:w="0" w:type="auto"/>
          </w:tcPr>
          <w:p w14:paraId="6E02FAD8" w14:textId="77777777" w:rsidR="00064492" w:rsidRPr="00064492" w:rsidRDefault="00064492" w:rsidP="00420E1D">
            <w:pPr>
              <w:jc w:val="both"/>
              <w:rPr>
                <w:rFonts w:ascii="Times New Roman" w:hAnsi="Times New Roman" w:cs="Times New Roman"/>
              </w:rPr>
            </w:pPr>
            <w:r w:rsidRPr="00064492">
              <w:rPr>
                <w:rFonts w:ascii="Times New Roman" w:hAnsi="Times New Roman" w:cs="Times New Roman"/>
              </w:rPr>
              <w:t>Cable, Conduits, Pipes, Poles, Towers, Telephone, Water, etc.</w:t>
            </w:r>
          </w:p>
        </w:tc>
        <w:tc>
          <w:tcPr>
            <w:tcW w:w="2602" w:type="dxa"/>
            <w:vAlign w:val="center"/>
          </w:tcPr>
          <w:p w14:paraId="035E0F8F" w14:textId="77777777" w:rsidR="00064492" w:rsidRPr="00064492" w:rsidRDefault="00064492" w:rsidP="00064492">
            <w:pPr>
              <w:ind w:right="804"/>
              <w:jc w:val="right"/>
              <w:rPr>
                <w:rFonts w:ascii="Times New Roman" w:hAnsi="Times New Roman" w:cs="Times New Roman"/>
              </w:rPr>
            </w:pPr>
            <w:r w:rsidRPr="00064492">
              <w:rPr>
                <w:rFonts w:ascii="Times New Roman" w:hAnsi="Times New Roman" w:cs="Times New Roman"/>
              </w:rPr>
              <w:t>26.53%</w:t>
            </w:r>
          </w:p>
        </w:tc>
      </w:tr>
      <w:tr w:rsidR="00064492" w:rsidRPr="00064492" w14:paraId="62E7B639" w14:textId="77777777" w:rsidTr="00873C4B">
        <w:trPr>
          <w:jc w:val="center"/>
        </w:trPr>
        <w:tc>
          <w:tcPr>
            <w:tcW w:w="0" w:type="auto"/>
          </w:tcPr>
          <w:p w14:paraId="4B7BCC1E" w14:textId="7341F44F" w:rsidR="00064492" w:rsidRPr="00064492" w:rsidRDefault="00064492" w:rsidP="00420E1D">
            <w:pPr>
              <w:jc w:val="both"/>
              <w:rPr>
                <w:rFonts w:ascii="Times New Roman" w:hAnsi="Times New Roman" w:cs="Times New Roman"/>
              </w:rPr>
            </w:pPr>
            <w:r w:rsidRPr="00064492">
              <w:rPr>
                <w:rFonts w:ascii="Times New Roman" w:hAnsi="Times New Roman" w:cs="Times New Roman"/>
              </w:rPr>
              <w:t>Monthly average quantity of supplies</w:t>
            </w:r>
          </w:p>
        </w:tc>
        <w:tc>
          <w:tcPr>
            <w:tcW w:w="2602" w:type="dxa"/>
            <w:vAlign w:val="center"/>
          </w:tcPr>
          <w:p w14:paraId="67527F3A" w14:textId="77777777" w:rsidR="00064492" w:rsidRPr="00064492" w:rsidRDefault="00064492" w:rsidP="00064492">
            <w:pPr>
              <w:ind w:right="804"/>
              <w:jc w:val="right"/>
              <w:rPr>
                <w:rFonts w:ascii="Times New Roman" w:hAnsi="Times New Roman" w:cs="Times New Roman"/>
              </w:rPr>
            </w:pPr>
            <w:r w:rsidRPr="00064492">
              <w:rPr>
                <w:rFonts w:ascii="Times New Roman" w:hAnsi="Times New Roman" w:cs="Times New Roman"/>
              </w:rPr>
              <w:t>0.33%</w:t>
            </w:r>
          </w:p>
        </w:tc>
      </w:tr>
      <w:tr w:rsidR="00064492" w:rsidRPr="00064492" w14:paraId="75B36FA8" w14:textId="77777777" w:rsidTr="00873C4B">
        <w:trPr>
          <w:jc w:val="center"/>
        </w:trPr>
        <w:tc>
          <w:tcPr>
            <w:tcW w:w="0" w:type="auto"/>
          </w:tcPr>
          <w:p w14:paraId="6E46A6F5" w14:textId="77777777" w:rsidR="00064492" w:rsidRPr="00064492" w:rsidRDefault="00064492" w:rsidP="00420E1D">
            <w:pPr>
              <w:jc w:val="both"/>
              <w:rPr>
                <w:rFonts w:ascii="Times New Roman" w:hAnsi="Times New Roman" w:cs="Times New Roman"/>
              </w:rPr>
            </w:pPr>
            <w:r w:rsidRPr="00064492">
              <w:rPr>
                <w:rFonts w:ascii="Times New Roman" w:hAnsi="Times New Roman" w:cs="Times New Roman"/>
              </w:rPr>
              <w:t>All other taxable property, chattels &amp; effects</w:t>
            </w:r>
          </w:p>
        </w:tc>
        <w:tc>
          <w:tcPr>
            <w:tcW w:w="2602" w:type="dxa"/>
            <w:vAlign w:val="center"/>
          </w:tcPr>
          <w:p w14:paraId="278007AE" w14:textId="77777777" w:rsidR="00064492" w:rsidRPr="00064492" w:rsidRDefault="00064492" w:rsidP="00064492">
            <w:pPr>
              <w:ind w:right="804"/>
              <w:jc w:val="right"/>
              <w:rPr>
                <w:rFonts w:ascii="Times New Roman" w:hAnsi="Times New Roman" w:cs="Times New Roman"/>
              </w:rPr>
            </w:pPr>
            <w:r w:rsidRPr="00064492">
              <w:rPr>
                <w:rFonts w:ascii="Times New Roman" w:hAnsi="Times New Roman" w:cs="Times New Roman"/>
              </w:rPr>
              <w:t>10.51%</w:t>
            </w:r>
          </w:p>
        </w:tc>
      </w:tr>
      <w:tr w:rsidR="00064492" w:rsidRPr="00064492" w14:paraId="75D264F5" w14:textId="77777777" w:rsidTr="00873C4B">
        <w:trPr>
          <w:jc w:val="center"/>
        </w:trPr>
        <w:tc>
          <w:tcPr>
            <w:tcW w:w="0" w:type="auto"/>
          </w:tcPr>
          <w:p w14:paraId="7FCF6AE0" w14:textId="77777777" w:rsidR="00064492" w:rsidRPr="00064492" w:rsidRDefault="00064492" w:rsidP="00420E1D">
            <w:pPr>
              <w:jc w:val="both"/>
              <w:rPr>
                <w:rFonts w:ascii="Times New Roman" w:hAnsi="Times New Roman" w:cs="Times New Roman"/>
              </w:rPr>
            </w:pPr>
            <w:r w:rsidRPr="00064492">
              <w:rPr>
                <w:rFonts w:ascii="Times New Roman" w:hAnsi="Times New Roman" w:cs="Times New Roman"/>
              </w:rPr>
              <w:t>25% Penalty</w:t>
            </w:r>
          </w:p>
        </w:tc>
        <w:tc>
          <w:tcPr>
            <w:tcW w:w="2602" w:type="dxa"/>
            <w:vAlign w:val="center"/>
          </w:tcPr>
          <w:p w14:paraId="5344147A" w14:textId="77777777" w:rsidR="00064492" w:rsidRPr="00064492" w:rsidRDefault="00064492" w:rsidP="00064492">
            <w:pPr>
              <w:ind w:right="804"/>
              <w:jc w:val="right"/>
              <w:rPr>
                <w:rFonts w:ascii="Times New Roman" w:hAnsi="Times New Roman" w:cs="Times New Roman"/>
              </w:rPr>
            </w:pPr>
            <w:r w:rsidRPr="00064492">
              <w:rPr>
                <w:rFonts w:ascii="Times New Roman" w:hAnsi="Times New Roman" w:cs="Times New Roman"/>
              </w:rPr>
              <w:t>1.08%</w:t>
            </w:r>
          </w:p>
        </w:tc>
      </w:tr>
      <w:tr w:rsidR="00064492" w:rsidRPr="00064492" w14:paraId="6E24FEE5" w14:textId="77777777" w:rsidTr="00873C4B">
        <w:trPr>
          <w:jc w:val="center"/>
        </w:trPr>
        <w:tc>
          <w:tcPr>
            <w:tcW w:w="0" w:type="auto"/>
          </w:tcPr>
          <w:p w14:paraId="237806A3" w14:textId="77777777" w:rsidR="00064492" w:rsidRPr="00064492" w:rsidRDefault="00064492" w:rsidP="00420E1D">
            <w:pPr>
              <w:jc w:val="both"/>
              <w:rPr>
                <w:rFonts w:ascii="Times New Roman" w:hAnsi="Times New Roman" w:cs="Times New Roman"/>
              </w:rPr>
            </w:pPr>
            <w:r w:rsidRPr="00064492">
              <w:rPr>
                <w:rFonts w:ascii="Times New Roman" w:hAnsi="Times New Roman" w:cs="Times New Roman"/>
              </w:rPr>
              <w:t>Total</w:t>
            </w:r>
          </w:p>
        </w:tc>
        <w:tc>
          <w:tcPr>
            <w:tcW w:w="2602" w:type="dxa"/>
            <w:vAlign w:val="center"/>
          </w:tcPr>
          <w:p w14:paraId="4EA369F7" w14:textId="13D6F48D" w:rsidR="00064492" w:rsidRPr="00064492" w:rsidRDefault="00873C4B" w:rsidP="00064492">
            <w:pPr>
              <w:ind w:right="804"/>
              <w:jc w:val="right"/>
              <w:rPr>
                <w:rFonts w:ascii="Times New Roman" w:hAnsi="Times New Roman" w:cs="Times New Roman"/>
              </w:rPr>
            </w:pPr>
            <w:r>
              <w:rPr>
                <w:rFonts w:ascii="Times New Roman" w:hAnsi="Times New Roman" w:cs="Times New Roman"/>
              </w:rPr>
              <w:t>100</w:t>
            </w:r>
            <w:r w:rsidR="00545C81">
              <w:rPr>
                <w:rFonts w:ascii="Times New Roman" w:hAnsi="Times New Roman" w:cs="Times New Roman"/>
              </w:rPr>
              <w:t>.0</w:t>
            </w:r>
            <w:r w:rsidR="00064492" w:rsidRPr="00064492">
              <w:rPr>
                <w:rFonts w:ascii="Times New Roman" w:hAnsi="Times New Roman" w:cs="Times New Roman"/>
              </w:rPr>
              <w:t>%</w:t>
            </w:r>
          </w:p>
        </w:tc>
      </w:tr>
    </w:tbl>
    <w:p w14:paraId="750313DF" w14:textId="121E41A8" w:rsidR="00873C4B" w:rsidRDefault="00873C4B" w:rsidP="00873C4B">
      <w:pPr>
        <w:jc w:val="center"/>
        <w:rPr>
          <w:rFonts w:ascii="Times New Roman" w:hAnsi="Times New Roman" w:cs="Times New Roman"/>
        </w:rPr>
      </w:pPr>
      <w:r>
        <w:rPr>
          <w:rFonts w:ascii="Times New Roman" w:hAnsi="Times New Roman" w:cs="Times New Roman"/>
        </w:rPr>
        <w:t>Source: Office of Policy and Management, Grand List by Town: 2013 and calculations by the author</w:t>
      </w:r>
    </w:p>
    <w:p w14:paraId="11609C03" w14:textId="7BF7E917" w:rsidR="00364F39" w:rsidRPr="00E30F3F" w:rsidRDefault="00364F39" w:rsidP="00E30F3F">
      <w:pPr>
        <w:jc w:val="both"/>
        <w:rPr>
          <w:rFonts w:ascii="Times New Roman" w:hAnsi="Times New Roman" w:cs="Times New Roman"/>
        </w:rPr>
      </w:pPr>
      <w:r w:rsidRPr="00E30F3F">
        <w:rPr>
          <w:rFonts w:ascii="Times New Roman" w:hAnsi="Times New Roman" w:cs="Times New Roman"/>
        </w:rPr>
        <w:t xml:space="preserve">Interviews with both assessors and taxpayer representatives indicated that there is substantial dissatisfaction with a 30% residual value for most property categories. The view expressed was that this value is too high in many cases. </w:t>
      </w:r>
    </w:p>
    <w:p w14:paraId="3D68E3CC" w14:textId="78DEFD38" w:rsidR="00364F39" w:rsidRPr="00E30F3F" w:rsidRDefault="00364F39" w:rsidP="00E30F3F">
      <w:pPr>
        <w:jc w:val="both"/>
        <w:rPr>
          <w:rFonts w:ascii="Times New Roman" w:hAnsi="Times New Roman" w:cs="Times New Roman"/>
        </w:rPr>
      </w:pPr>
      <w:r w:rsidRPr="00E30F3F">
        <w:rPr>
          <w:rFonts w:ascii="Times New Roman" w:hAnsi="Times New Roman" w:cs="Times New Roman"/>
        </w:rPr>
        <w:t xml:space="preserve">There is also concern that the property categories on the </w:t>
      </w:r>
      <w:r w:rsidR="00E30F3F" w:rsidRPr="00E30F3F">
        <w:rPr>
          <w:rFonts w:ascii="Times New Roman" w:hAnsi="Times New Roman" w:cs="Times New Roman"/>
        </w:rPr>
        <w:t>CAAO</w:t>
      </w:r>
      <w:r w:rsidRPr="00E30F3F">
        <w:rPr>
          <w:rFonts w:ascii="Times New Roman" w:hAnsi="Times New Roman" w:cs="Times New Roman"/>
        </w:rPr>
        <w:t>’s standard form are too broad for some types of specialized properties. This has led some jurisdictions to develop their own declaration forms.</w:t>
      </w:r>
    </w:p>
    <w:p w14:paraId="1C183A5E" w14:textId="17271088" w:rsidR="002A77EF" w:rsidRPr="00064492" w:rsidRDefault="009E40A5" w:rsidP="00064492">
      <w:pPr>
        <w:jc w:val="both"/>
        <w:rPr>
          <w:rFonts w:ascii="Times New Roman" w:hAnsi="Times New Roman" w:cs="Times New Roman"/>
        </w:rPr>
      </w:pPr>
      <w:r w:rsidRPr="00064492">
        <w:rPr>
          <w:rFonts w:ascii="Times New Roman" w:hAnsi="Times New Roman" w:cs="Times New Roman"/>
        </w:rPr>
        <w:t xml:space="preserve">An issue that affects personal property valuations in Connecticut relative to real property has to do with the valuation cycle for each. </w:t>
      </w:r>
      <w:r w:rsidR="002A77EF" w:rsidRPr="00064492">
        <w:rPr>
          <w:rFonts w:ascii="Times New Roman" w:hAnsi="Times New Roman" w:cs="Times New Roman"/>
        </w:rPr>
        <w:t>P</w:t>
      </w:r>
      <w:r w:rsidRPr="00064492">
        <w:rPr>
          <w:rFonts w:ascii="Times New Roman" w:hAnsi="Times New Roman" w:cs="Times New Roman"/>
        </w:rPr>
        <w:t>ersonal property</w:t>
      </w:r>
      <w:r w:rsidR="002A77EF" w:rsidRPr="00064492">
        <w:rPr>
          <w:rFonts w:ascii="Times New Roman" w:hAnsi="Times New Roman" w:cs="Times New Roman"/>
        </w:rPr>
        <w:t xml:space="preserve"> is valued every year</w:t>
      </w:r>
      <w:r w:rsidRPr="00064492">
        <w:rPr>
          <w:rFonts w:ascii="Times New Roman" w:hAnsi="Times New Roman" w:cs="Times New Roman"/>
        </w:rPr>
        <w:t xml:space="preserve"> using the standard forms</w:t>
      </w:r>
      <w:r w:rsidR="002A77EF" w:rsidRPr="00064492">
        <w:rPr>
          <w:rFonts w:ascii="Times New Roman" w:hAnsi="Times New Roman" w:cs="Times New Roman"/>
        </w:rPr>
        <w:t xml:space="preserve">, but real property is revalued every </w:t>
      </w:r>
      <w:r w:rsidR="00EA0FDD" w:rsidRPr="00064492">
        <w:rPr>
          <w:rFonts w:ascii="Times New Roman" w:hAnsi="Times New Roman" w:cs="Times New Roman"/>
        </w:rPr>
        <w:t>5</w:t>
      </w:r>
      <w:r w:rsidR="002A77EF" w:rsidRPr="00064492">
        <w:rPr>
          <w:rFonts w:ascii="Times New Roman" w:hAnsi="Times New Roman" w:cs="Times New Roman"/>
        </w:rPr>
        <w:t xml:space="preserve"> years. </w:t>
      </w:r>
      <w:r w:rsidRPr="00064492">
        <w:rPr>
          <w:rFonts w:ascii="Times New Roman" w:hAnsi="Times New Roman" w:cs="Times New Roman"/>
        </w:rPr>
        <w:t>This mismatch in the valuation cycle means that the effective assessment ratio of real and personal property may differ over the course of the real property valuation cycle.</w:t>
      </w:r>
      <w:r w:rsidR="002A77EF" w:rsidRPr="00064492">
        <w:rPr>
          <w:rFonts w:ascii="Times New Roman" w:hAnsi="Times New Roman" w:cs="Times New Roman"/>
        </w:rPr>
        <w:t xml:space="preserve"> </w:t>
      </w:r>
    </w:p>
    <w:p w14:paraId="5B0335B9" w14:textId="16BA9E28" w:rsidR="00EE02AF" w:rsidRPr="00EB4382" w:rsidRDefault="00364F39" w:rsidP="00EB4382">
      <w:pPr>
        <w:pStyle w:val="Heading3"/>
        <w:rPr>
          <w:rFonts w:ascii="Times New Roman" w:hAnsi="Times New Roman" w:cs="Times New Roman"/>
        </w:rPr>
      </w:pPr>
      <w:bookmarkStart w:id="9" w:name="_Toc434358304"/>
      <w:r w:rsidRPr="00EB4382">
        <w:rPr>
          <w:rFonts w:ascii="Times New Roman" w:hAnsi="Times New Roman" w:cs="Times New Roman"/>
        </w:rPr>
        <w:t>Billing and Collection</w:t>
      </w:r>
      <w:bookmarkEnd w:id="9"/>
    </w:p>
    <w:p w14:paraId="26F5134B" w14:textId="2C4826FC" w:rsidR="003B3580" w:rsidRPr="00EB4382" w:rsidRDefault="00364F39" w:rsidP="00EB4382">
      <w:pPr>
        <w:jc w:val="both"/>
        <w:rPr>
          <w:rFonts w:ascii="Times New Roman" w:hAnsi="Times New Roman" w:cs="Times New Roman"/>
        </w:rPr>
      </w:pPr>
      <w:r w:rsidRPr="00EB4382">
        <w:rPr>
          <w:rFonts w:ascii="Times New Roman" w:hAnsi="Times New Roman" w:cs="Times New Roman"/>
        </w:rPr>
        <w:t xml:space="preserve">Assessments are done as of October 1. Tax bills are mailed out </w:t>
      </w:r>
      <w:r w:rsidR="00EB4382">
        <w:rPr>
          <w:rFonts w:ascii="Times New Roman" w:hAnsi="Times New Roman" w:cs="Times New Roman"/>
        </w:rPr>
        <w:t xml:space="preserve">by all jurisdictions </w:t>
      </w:r>
      <w:r w:rsidRPr="00EB4382">
        <w:rPr>
          <w:rFonts w:ascii="Times New Roman" w:hAnsi="Times New Roman" w:cs="Times New Roman"/>
        </w:rPr>
        <w:t xml:space="preserve">generally the following </w:t>
      </w:r>
      <w:r w:rsidR="003B3580" w:rsidRPr="00EB4382">
        <w:rPr>
          <w:rFonts w:ascii="Times New Roman" w:hAnsi="Times New Roman" w:cs="Times New Roman"/>
        </w:rPr>
        <w:t xml:space="preserve">June. By law, however, there is no legal obligation for a municipality to notify a taxpayer of their specific obligation. The law only requires that municipalities publish, at specified intervals, a general notification to the public that taxes are due and payable at a certain date. </w:t>
      </w:r>
      <w:r w:rsidR="00EB4382" w:rsidRPr="00EB4382">
        <w:rPr>
          <w:rFonts w:ascii="Times New Roman" w:hAnsi="Times New Roman" w:cs="Times New Roman"/>
        </w:rPr>
        <w:t>(CGS §12-145)</w:t>
      </w:r>
    </w:p>
    <w:p w14:paraId="4EB1D163" w14:textId="22F1E06A" w:rsidR="00364F39" w:rsidRPr="00EB4382" w:rsidRDefault="003B3580" w:rsidP="00EB4382">
      <w:pPr>
        <w:jc w:val="both"/>
        <w:rPr>
          <w:rFonts w:ascii="Times New Roman" w:hAnsi="Times New Roman" w:cs="Times New Roman"/>
        </w:rPr>
      </w:pPr>
      <w:r w:rsidRPr="00EB4382">
        <w:rPr>
          <w:rFonts w:ascii="Times New Roman" w:hAnsi="Times New Roman" w:cs="Times New Roman"/>
        </w:rPr>
        <w:lastRenderedPageBreak/>
        <w:t xml:space="preserve">The personal property tax is due </w:t>
      </w:r>
      <w:r w:rsidR="00364F39" w:rsidRPr="00EB4382">
        <w:rPr>
          <w:rFonts w:ascii="Times New Roman" w:hAnsi="Times New Roman" w:cs="Times New Roman"/>
        </w:rPr>
        <w:t xml:space="preserve">July </w:t>
      </w:r>
      <w:r w:rsidRPr="00EB4382">
        <w:rPr>
          <w:rFonts w:ascii="Times New Roman" w:hAnsi="Times New Roman" w:cs="Times New Roman"/>
        </w:rPr>
        <w:t xml:space="preserve">1, </w:t>
      </w:r>
      <w:r w:rsidR="00364F39" w:rsidRPr="00EB4382">
        <w:rPr>
          <w:rFonts w:ascii="Times New Roman" w:hAnsi="Times New Roman" w:cs="Times New Roman"/>
        </w:rPr>
        <w:t xml:space="preserve">after the local government has adopted their mill rate and new budget. </w:t>
      </w:r>
      <w:r w:rsidRPr="00EB4382">
        <w:rPr>
          <w:rFonts w:ascii="Times New Roman" w:hAnsi="Times New Roman" w:cs="Times New Roman"/>
        </w:rPr>
        <w:t>The tax payment is delinquent after August 1. (Some elements of the property tax can be paid in quarterly or biannual installments in some jurisdictions.)</w:t>
      </w:r>
    </w:p>
    <w:p w14:paraId="3D5B463E" w14:textId="5194C64A" w:rsidR="001A1510" w:rsidRPr="00EB4382" w:rsidRDefault="00EB4382" w:rsidP="00EB4382">
      <w:pPr>
        <w:jc w:val="both"/>
        <w:rPr>
          <w:rFonts w:ascii="Times New Roman" w:hAnsi="Times New Roman" w:cs="Times New Roman"/>
        </w:rPr>
      </w:pPr>
      <w:r>
        <w:rPr>
          <w:rFonts w:ascii="Times New Roman" w:hAnsi="Times New Roman" w:cs="Times New Roman"/>
        </w:rPr>
        <w:t>While collection rates for the property tax are generally high in Connecticut, c</w:t>
      </w:r>
      <w:r w:rsidR="001A1510" w:rsidRPr="00EB4382">
        <w:rPr>
          <w:rFonts w:ascii="Times New Roman" w:hAnsi="Times New Roman" w:cs="Times New Roman"/>
        </w:rPr>
        <w:t xml:space="preserve">ollection of the personal property tax </w:t>
      </w:r>
      <w:r>
        <w:rPr>
          <w:rFonts w:ascii="Times New Roman" w:hAnsi="Times New Roman" w:cs="Times New Roman"/>
        </w:rPr>
        <w:t>may pose</w:t>
      </w:r>
      <w:r w:rsidR="001A1510" w:rsidRPr="00EB4382">
        <w:rPr>
          <w:rFonts w:ascii="Times New Roman" w:hAnsi="Times New Roman" w:cs="Times New Roman"/>
        </w:rPr>
        <w:t xml:space="preserve"> a problem for local tax collectors. In February, 2015, one local newspaper reported that a Councilman who happened to be running for the state Senate owed over $140,000 in personal property taxes that had not been paid since 2002. The city finance director reported that the personal property tax is the hardest property tax to collect because of the rate of business turnover. </w:t>
      </w:r>
      <w:r>
        <w:rPr>
          <w:rFonts w:ascii="Times New Roman" w:hAnsi="Times New Roman" w:cs="Times New Roman"/>
        </w:rPr>
        <w:fldChar w:fldCharType="begin"/>
      </w:r>
      <w:r w:rsidR="00445CB6">
        <w:rPr>
          <w:rFonts w:ascii="Times New Roman" w:hAnsi="Times New Roman" w:cs="Times New Roman"/>
        </w:rPr>
        <w:instrText xml:space="preserve"> ADDIN EN.CITE &lt;EndNote&gt;&lt;Cite&gt;&lt;Author&gt;Lockhart&lt;/Author&gt;&lt;Year&gt;2015&lt;/Year&gt;&lt;RecNum&gt;29&lt;/RecNum&gt;&lt;DisplayText&gt;(Lockhart 2015)&lt;/DisplayText&gt;&lt;record&gt;&lt;rec-number&gt;29&lt;/rec-number&gt;&lt;foreign-keys&gt;&lt;key app="EN" db-id="efsrp25rfad5tverv0kv2ztwvdrzzzda2pwp" timestamp="1446588249"&gt;29&lt;/key&gt;&lt;/foreign-keys&gt;&lt;ref-type name="Web Page"&gt;12&lt;/ref-type&gt;&lt;contributors&gt;&lt;authors&gt;&lt;author&gt;Brian Lockhart&lt;/author&gt;&lt;/authors&gt;&lt;/contributors&gt;&lt;titles&gt;&lt;title&gt;Bridgeport working to catch tax scofflaws&lt;/title&gt;&lt;/titles&gt;&lt;volume&gt;2015&lt;/volume&gt;&lt;number&gt;October, 2015&lt;/number&gt;&lt;dates&gt;&lt;year&gt;2015&lt;/year&gt;&lt;pub-dates&gt;&lt;date&gt;21 February 2015&lt;/date&gt;&lt;/pub-dates&gt;&lt;/dates&gt;&lt;publisher&gt;CTPost&lt;/publisher&gt;&lt;urls&gt;&lt;related-urls&gt;&lt;url&gt;http://www.ctpost.com/local/article/Bridgeport-working-to-catch-tax-scofflaws-6094594.php&lt;/url&gt;&lt;/related-urls&gt;&lt;/urls&gt;&lt;/record&gt;&lt;/Cite&gt;&lt;/EndNote&gt;</w:instrText>
      </w:r>
      <w:r>
        <w:rPr>
          <w:rFonts w:ascii="Times New Roman" w:hAnsi="Times New Roman" w:cs="Times New Roman"/>
        </w:rPr>
        <w:fldChar w:fldCharType="separate"/>
      </w:r>
      <w:r>
        <w:rPr>
          <w:rFonts w:ascii="Times New Roman" w:hAnsi="Times New Roman" w:cs="Times New Roman"/>
          <w:noProof/>
        </w:rPr>
        <w:t>(Lockhart 2015)</w:t>
      </w:r>
      <w:r>
        <w:rPr>
          <w:rFonts w:ascii="Times New Roman" w:hAnsi="Times New Roman" w:cs="Times New Roman"/>
        </w:rPr>
        <w:fldChar w:fldCharType="end"/>
      </w:r>
      <w:r w:rsidR="001A1510" w:rsidRPr="00EB4382">
        <w:rPr>
          <w:rFonts w:ascii="Times New Roman" w:hAnsi="Times New Roman" w:cs="Times New Roman"/>
        </w:rPr>
        <w:t xml:space="preserve">  </w:t>
      </w:r>
    </w:p>
    <w:p w14:paraId="025ED39F" w14:textId="13813E4A" w:rsidR="003D2A52" w:rsidRPr="00EB4382" w:rsidRDefault="003D2A52" w:rsidP="00EB4382">
      <w:pPr>
        <w:jc w:val="both"/>
        <w:rPr>
          <w:rFonts w:ascii="Times New Roman" w:hAnsi="Times New Roman" w:cs="Times New Roman"/>
        </w:rPr>
      </w:pPr>
      <w:r w:rsidRPr="00EB4382">
        <w:rPr>
          <w:rFonts w:ascii="Times New Roman" w:hAnsi="Times New Roman" w:cs="Times New Roman"/>
        </w:rPr>
        <w:t xml:space="preserve">Cities do have legal options for pursuing delinquent accounts, but they often lack the resources for effective enforcement. </w:t>
      </w:r>
    </w:p>
    <w:p w14:paraId="603F6A52" w14:textId="28D0E443" w:rsidR="003D2A52" w:rsidRPr="00EB4382" w:rsidRDefault="003D2A52" w:rsidP="003D2A52">
      <w:pPr>
        <w:pStyle w:val="Heading3"/>
        <w:rPr>
          <w:rFonts w:ascii="Times New Roman" w:hAnsi="Times New Roman" w:cs="Times New Roman"/>
        </w:rPr>
      </w:pPr>
      <w:bookmarkStart w:id="10" w:name="_Toc434358305"/>
      <w:r w:rsidRPr="00EB4382">
        <w:rPr>
          <w:rFonts w:ascii="Times New Roman" w:hAnsi="Times New Roman" w:cs="Times New Roman"/>
        </w:rPr>
        <w:t>Auditing</w:t>
      </w:r>
      <w:bookmarkEnd w:id="10"/>
    </w:p>
    <w:p w14:paraId="7BDEAE47" w14:textId="0D1BC49B" w:rsidR="003D2A52" w:rsidRPr="00EB4382" w:rsidRDefault="003D2A52" w:rsidP="00EB4382">
      <w:pPr>
        <w:jc w:val="both"/>
        <w:rPr>
          <w:rFonts w:ascii="Times New Roman" w:hAnsi="Times New Roman" w:cs="Times New Roman"/>
        </w:rPr>
      </w:pPr>
      <w:r w:rsidRPr="00EB4382">
        <w:rPr>
          <w:rFonts w:ascii="Times New Roman" w:hAnsi="Times New Roman" w:cs="Times New Roman"/>
        </w:rPr>
        <w:t xml:space="preserve">Limited resources also limit the ability of many cities to audit personal property accounts. It is clear from the </w:t>
      </w:r>
      <w:r w:rsidR="00EB4382" w:rsidRPr="00EB4382">
        <w:rPr>
          <w:rFonts w:ascii="Times New Roman" w:hAnsi="Times New Roman" w:cs="Times New Roman"/>
        </w:rPr>
        <w:t xml:space="preserve">CAAO </w:t>
      </w:r>
      <w:r w:rsidRPr="00EB4382">
        <w:rPr>
          <w:rFonts w:ascii="Times New Roman" w:hAnsi="Times New Roman" w:cs="Times New Roman"/>
        </w:rPr>
        <w:t xml:space="preserve">declaration form </w:t>
      </w:r>
      <w:r w:rsidR="00EB4382" w:rsidRPr="00EB4382">
        <w:rPr>
          <w:rFonts w:ascii="Times New Roman" w:hAnsi="Times New Roman" w:cs="Times New Roman"/>
        </w:rPr>
        <w:t xml:space="preserve">used by most jurisdictions </w:t>
      </w:r>
      <w:r w:rsidRPr="00EB4382">
        <w:rPr>
          <w:rFonts w:ascii="Times New Roman" w:hAnsi="Times New Roman" w:cs="Times New Roman"/>
        </w:rPr>
        <w:t>that the information provided by a taxpayer is very general and could easily be misrepresented. Comparisons of declarations across years may reveal significant changes or taxpayer inconsistencies. But even such variations may not trigger an audit.</w:t>
      </w:r>
    </w:p>
    <w:p w14:paraId="2FF4E209" w14:textId="4861E91C" w:rsidR="003D2A52" w:rsidRDefault="003D2A52" w:rsidP="00EB4382">
      <w:pPr>
        <w:jc w:val="both"/>
        <w:rPr>
          <w:rFonts w:ascii="Times New Roman" w:hAnsi="Times New Roman" w:cs="Times New Roman"/>
        </w:rPr>
      </w:pPr>
      <w:r w:rsidRPr="00EB4382">
        <w:rPr>
          <w:rFonts w:ascii="Times New Roman" w:hAnsi="Times New Roman" w:cs="Times New Roman"/>
        </w:rPr>
        <w:t xml:space="preserve">Audits do take place, but generally at very low rates. Some jurisdictions have sought outside help for audits, including using contingency contracts with private auditors. For the most part, taxpayers and many assessors are uncomfortable with contingency audits. Nonetheless, there are cities using this approach. The effectiveness of in-house, contracted or contingency audits is not known. But given the size of most personal property accounts, it seems likely that audits will focus on larger businesses </w:t>
      </w:r>
      <w:r w:rsidR="00C16898" w:rsidRPr="00EB4382">
        <w:rPr>
          <w:rFonts w:ascii="Times New Roman" w:hAnsi="Times New Roman" w:cs="Times New Roman"/>
        </w:rPr>
        <w:t>and will ignore the majority of personal property taxpayers.</w:t>
      </w:r>
    </w:p>
    <w:p w14:paraId="7CE8B12E" w14:textId="0A0DA1B9" w:rsidR="00A47D75" w:rsidRDefault="00A47D75" w:rsidP="00EB4382">
      <w:pPr>
        <w:jc w:val="both"/>
        <w:rPr>
          <w:rFonts w:ascii="Times New Roman" w:hAnsi="Times New Roman" w:cs="Times New Roman"/>
        </w:rPr>
      </w:pPr>
      <w:r>
        <w:rPr>
          <w:rFonts w:ascii="Times New Roman" w:hAnsi="Times New Roman" w:cs="Times New Roman"/>
        </w:rPr>
        <w:t xml:space="preserve">There is also evidence suggesting that </w:t>
      </w:r>
      <w:r w:rsidR="009321CA">
        <w:rPr>
          <w:rFonts w:ascii="Times New Roman" w:hAnsi="Times New Roman" w:cs="Times New Roman"/>
        </w:rPr>
        <w:t>assessors across the state may not be consistent in how</w:t>
      </w:r>
      <w:r>
        <w:rPr>
          <w:rFonts w:ascii="Times New Roman" w:hAnsi="Times New Roman" w:cs="Times New Roman"/>
        </w:rPr>
        <w:t xml:space="preserve"> aggressive</w:t>
      </w:r>
      <w:r w:rsidR="009321CA">
        <w:rPr>
          <w:rFonts w:ascii="Times New Roman" w:hAnsi="Times New Roman" w:cs="Times New Roman"/>
        </w:rPr>
        <w:t>ly</w:t>
      </w:r>
      <w:r>
        <w:rPr>
          <w:rFonts w:ascii="Times New Roman" w:hAnsi="Times New Roman" w:cs="Times New Roman"/>
        </w:rPr>
        <w:t xml:space="preserve"> </w:t>
      </w:r>
      <w:r w:rsidR="009321CA">
        <w:rPr>
          <w:rFonts w:ascii="Times New Roman" w:hAnsi="Times New Roman" w:cs="Times New Roman"/>
        </w:rPr>
        <w:t>they administer</w:t>
      </w:r>
      <w:r>
        <w:rPr>
          <w:rFonts w:ascii="Times New Roman" w:hAnsi="Times New Roman" w:cs="Times New Roman"/>
        </w:rPr>
        <w:t xml:space="preserve"> the personal property tax. Table 4 reported the total personal property penalties assessed across the state at just over 1% of total personal property assessed value. </w:t>
      </w:r>
      <w:r w:rsidR="009321CA">
        <w:rPr>
          <w:rFonts w:ascii="Times New Roman" w:hAnsi="Times New Roman" w:cs="Times New Roman"/>
        </w:rPr>
        <w:t xml:space="preserve">But this percentage varies substantially across jurisdictions and in some instances is over 15% of total personal property. Table 5 reports a simple comparison between the level of penalties as a percentage of total personal property value and the total personal property </w:t>
      </w:r>
      <w:r w:rsidR="00C86CA8">
        <w:rPr>
          <w:rFonts w:ascii="Times New Roman" w:hAnsi="Times New Roman" w:cs="Times New Roman"/>
        </w:rPr>
        <w:t xml:space="preserve">value </w:t>
      </w:r>
      <w:r w:rsidR="009321CA">
        <w:rPr>
          <w:rFonts w:ascii="Times New Roman" w:hAnsi="Times New Roman" w:cs="Times New Roman"/>
        </w:rPr>
        <w:t xml:space="preserve">per capita. It is clear from the table that jurisdictions with personal property value per capita above the state median are much less likely to </w:t>
      </w:r>
      <w:r w:rsidR="00C86CA8">
        <w:rPr>
          <w:rFonts w:ascii="Times New Roman" w:hAnsi="Times New Roman" w:cs="Times New Roman"/>
        </w:rPr>
        <w:t>assess penalties. Those communities with value per capita below the median are much more likely to assess penalties. While it is possible that in jurisdictions with relatively high personal property per capita there is also a higher level of compliance overall, it seems more likely that the pattern shown in Table 5 indicates variations in administrative practices regarding auditing and enforcement.</w:t>
      </w:r>
    </w:p>
    <w:p w14:paraId="48175734" w14:textId="62920C1C" w:rsidR="009321CA" w:rsidRPr="00C86CA8" w:rsidRDefault="009321CA" w:rsidP="00C86CA8">
      <w:pPr>
        <w:jc w:val="center"/>
        <w:rPr>
          <w:rFonts w:ascii="Times New Roman" w:hAnsi="Times New Roman" w:cs="Times New Roman"/>
          <w:b/>
        </w:rPr>
      </w:pPr>
      <w:r w:rsidRPr="00C86CA8">
        <w:rPr>
          <w:rFonts w:ascii="Times New Roman" w:hAnsi="Times New Roman" w:cs="Times New Roman"/>
          <w:b/>
        </w:rPr>
        <w:t xml:space="preserve">Table 5: </w:t>
      </w:r>
      <w:r w:rsidR="00C86CA8" w:rsidRPr="00C86CA8">
        <w:rPr>
          <w:rFonts w:ascii="Times New Roman" w:hAnsi="Times New Roman" w:cs="Times New Roman"/>
          <w:b/>
        </w:rPr>
        <w:t>Personal Property per Capita and Personal Property Penalties Assessed</w:t>
      </w:r>
    </w:p>
    <w:tbl>
      <w:tblPr>
        <w:tblStyle w:val="TableGrid"/>
        <w:tblW w:w="0" w:type="auto"/>
        <w:jc w:val="center"/>
        <w:tblLook w:val="04A0" w:firstRow="1" w:lastRow="0" w:firstColumn="1" w:lastColumn="0" w:noHBand="0" w:noVBand="1"/>
      </w:tblPr>
      <w:tblGrid>
        <w:gridCol w:w="1774"/>
        <w:gridCol w:w="1829"/>
        <w:gridCol w:w="1817"/>
        <w:gridCol w:w="1829"/>
        <w:gridCol w:w="681"/>
      </w:tblGrid>
      <w:tr w:rsidR="009321CA" w:rsidRPr="009321CA" w14:paraId="7CF370EB" w14:textId="77777777" w:rsidTr="00C86CA8">
        <w:trPr>
          <w:jc w:val="center"/>
        </w:trPr>
        <w:tc>
          <w:tcPr>
            <w:tcW w:w="0" w:type="auto"/>
            <w:gridSpan w:val="2"/>
            <w:vMerge w:val="restart"/>
            <w:vAlign w:val="center"/>
          </w:tcPr>
          <w:p w14:paraId="537D1745" w14:textId="319F51F1" w:rsidR="009321CA" w:rsidRPr="009321CA" w:rsidRDefault="009321CA" w:rsidP="009321CA">
            <w:pPr>
              <w:rPr>
                <w:rFonts w:ascii="Times New Roman" w:hAnsi="Times New Roman" w:cs="Times New Roman"/>
              </w:rPr>
            </w:pPr>
            <w:r>
              <w:rPr>
                <w:rFonts w:ascii="Times New Roman" w:hAnsi="Times New Roman" w:cs="Times New Roman"/>
              </w:rPr>
              <w:t>Number of assessing jurisdictions</w:t>
            </w:r>
          </w:p>
        </w:tc>
        <w:tc>
          <w:tcPr>
            <w:tcW w:w="0" w:type="auto"/>
            <w:gridSpan w:val="3"/>
            <w:vAlign w:val="center"/>
          </w:tcPr>
          <w:p w14:paraId="7713556F" w14:textId="77777777" w:rsidR="00C86CA8" w:rsidRDefault="009321CA" w:rsidP="009321CA">
            <w:pPr>
              <w:jc w:val="center"/>
              <w:rPr>
                <w:rFonts w:ascii="Times New Roman" w:hAnsi="Times New Roman" w:cs="Times New Roman"/>
              </w:rPr>
            </w:pPr>
            <w:r w:rsidRPr="009321CA">
              <w:rPr>
                <w:rFonts w:ascii="Times New Roman" w:hAnsi="Times New Roman" w:cs="Times New Roman"/>
              </w:rPr>
              <w:t xml:space="preserve">Personal property penalties assessed </w:t>
            </w:r>
          </w:p>
          <w:p w14:paraId="4E17AA77" w14:textId="3BC184BA" w:rsidR="009321CA" w:rsidRPr="009321CA" w:rsidRDefault="009321CA" w:rsidP="009321CA">
            <w:pPr>
              <w:jc w:val="center"/>
              <w:rPr>
                <w:rFonts w:ascii="Times New Roman" w:hAnsi="Times New Roman" w:cs="Times New Roman"/>
              </w:rPr>
            </w:pPr>
            <w:r w:rsidRPr="009321CA">
              <w:rPr>
                <w:rFonts w:ascii="Times New Roman" w:hAnsi="Times New Roman" w:cs="Times New Roman"/>
              </w:rPr>
              <w:t>as a percent of total personal property</w:t>
            </w:r>
          </w:p>
        </w:tc>
      </w:tr>
      <w:tr w:rsidR="009321CA" w:rsidRPr="009321CA" w14:paraId="4BAB1291" w14:textId="77777777" w:rsidTr="00C86CA8">
        <w:trPr>
          <w:jc w:val="center"/>
        </w:trPr>
        <w:tc>
          <w:tcPr>
            <w:tcW w:w="0" w:type="auto"/>
            <w:gridSpan w:val="2"/>
            <w:vMerge/>
          </w:tcPr>
          <w:p w14:paraId="0553CA3B" w14:textId="09D9794E" w:rsidR="009321CA" w:rsidRPr="009321CA" w:rsidRDefault="009321CA" w:rsidP="00420E1D">
            <w:pPr>
              <w:jc w:val="both"/>
              <w:rPr>
                <w:rFonts w:ascii="Times New Roman" w:hAnsi="Times New Roman" w:cs="Times New Roman"/>
              </w:rPr>
            </w:pPr>
          </w:p>
        </w:tc>
        <w:tc>
          <w:tcPr>
            <w:tcW w:w="0" w:type="auto"/>
            <w:vAlign w:val="center"/>
          </w:tcPr>
          <w:p w14:paraId="7A81E08B" w14:textId="77777777" w:rsidR="009321CA" w:rsidRPr="009321CA" w:rsidRDefault="009321CA" w:rsidP="009321CA">
            <w:pPr>
              <w:jc w:val="center"/>
              <w:rPr>
                <w:rFonts w:ascii="Times New Roman" w:hAnsi="Times New Roman" w:cs="Times New Roman"/>
              </w:rPr>
            </w:pPr>
            <w:r w:rsidRPr="009321CA">
              <w:rPr>
                <w:rFonts w:ascii="Times New Roman" w:hAnsi="Times New Roman" w:cs="Times New Roman"/>
              </w:rPr>
              <w:t>Below the median</w:t>
            </w:r>
          </w:p>
        </w:tc>
        <w:tc>
          <w:tcPr>
            <w:tcW w:w="0" w:type="auto"/>
            <w:vAlign w:val="center"/>
          </w:tcPr>
          <w:p w14:paraId="63902DA7" w14:textId="77777777" w:rsidR="009321CA" w:rsidRPr="009321CA" w:rsidRDefault="009321CA" w:rsidP="009321CA">
            <w:pPr>
              <w:jc w:val="center"/>
              <w:rPr>
                <w:rFonts w:ascii="Times New Roman" w:hAnsi="Times New Roman" w:cs="Times New Roman"/>
              </w:rPr>
            </w:pPr>
            <w:r w:rsidRPr="009321CA">
              <w:rPr>
                <w:rFonts w:ascii="Times New Roman" w:hAnsi="Times New Roman" w:cs="Times New Roman"/>
              </w:rPr>
              <w:t>Above the median</w:t>
            </w:r>
          </w:p>
        </w:tc>
        <w:tc>
          <w:tcPr>
            <w:tcW w:w="0" w:type="auto"/>
            <w:vAlign w:val="center"/>
          </w:tcPr>
          <w:p w14:paraId="2D3454EF" w14:textId="77777777" w:rsidR="009321CA" w:rsidRPr="009321CA" w:rsidRDefault="009321CA" w:rsidP="009321CA">
            <w:pPr>
              <w:jc w:val="center"/>
              <w:rPr>
                <w:rFonts w:ascii="Times New Roman" w:hAnsi="Times New Roman" w:cs="Times New Roman"/>
              </w:rPr>
            </w:pPr>
            <w:r w:rsidRPr="009321CA">
              <w:rPr>
                <w:rFonts w:ascii="Times New Roman" w:hAnsi="Times New Roman" w:cs="Times New Roman"/>
              </w:rPr>
              <w:t>Total</w:t>
            </w:r>
          </w:p>
        </w:tc>
      </w:tr>
      <w:tr w:rsidR="009321CA" w:rsidRPr="009321CA" w14:paraId="16F9DD56" w14:textId="77777777" w:rsidTr="00C86CA8">
        <w:trPr>
          <w:jc w:val="center"/>
        </w:trPr>
        <w:tc>
          <w:tcPr>
            <w:tcW w:w="0" w:type="auto"/>
            <w:vMerge w:val="restart"/>
            <w:vAlign w:val="center"/>
          </w:tcPr>
          <w:p w14:paraId="6AB70A47" w14:textId="77777777" w:rsidR="009321CA" w:rsidRDefault="009321CA" w:rsidP="009321CA">
            <w:pPr>
              <w:rPr>
                <w:rFonts w:ascii="Times New Roman" w:hAnsi="Times New Roman" w:cs="Times New Roman"/>
              </w:rPr>
            </w:pPr>
            <w:r w:rsidRPr="009321CA">
              <w:rPr>
                <w:rFonts w:ascii="Times New Roman" w:hAnsi="Times New Roman" w:cs="Times New Roman"/>
              </w:rPr>
              <w:t xml:space="preserve">Personal property </w:t>
            </w:r>
          </w:p>
          <w:p w14:paraId="7CF411EC" w14:textId="0B123657" w:rsidR="009321CA" w:rsidRPr="009321CA" w:rsidRDefault="009321CA" w:rsidP="009321CA">
            <w:pPr>
              <w:rPr>
                <w:rFonts w:ascii="Times New Roman" w:hAnsi="Times New Roman" w:cs="Times New Roman"/>
              </w:rPr>
            </w:pPr>
            <w:r w:rsidRPr="009321CA">
              <w:rPr>
                <w:rFonts w:ascii="Times New Roman" w:hAnsi="Times New Roman" w:cs="Times New Roman"/>
              </w:rPr>
              <w:t>value per capita</w:t>
            </w:r>
          </w:p>
        </w:tc>
        <w:tc>
          <w:tcPr>
            <w:tcW w:w="0" w:type="auto"/>
            <w:vAlign w:val="center"/>
          </w:tcPr>
          <w:p w14:paraId="3A60955A" w14:textId="77777777" w:rsidR="009321CA" w:rsidRPr="009321CA" w:rsidRDefault="009321CA" w:rsidP="009321CA">
            <w:pPr>
              <w:rPr>
                <w:rFonts w:ascii="Times New Roman" w:hAnsi="Times New Roman" w:cs="Times New Roman"/>
              </w:rPr>
            </w:pPr>
            <w:r w:rsidRPr="009321CA">
              <w:rPr>
                <w:rFonts w:ascii="Times New Roman" w:hAnsi="Times New Roman" w:cs="Times New Roman"/>
              </w:rPr>
              <w:t>Above the median</w:t>
            </w:r>
          </w:p>
        </w:tc>
        <w:tc>
          <w:tcPr>
            <w:tcW w:w="0" w:type="auto"/>
            <w:vAlign w:val="center"/>
          </w:tcPr>
          <w:p w14:paraId="264E7909" w14:textId="77777777" w:rsidR="009321CA" w:rsidRPr="009321CA" w:rsidRDefault="009321CA" w:rsidP="009321CA">
            <w:pPr>
              <w:jc w:val="center"/>
              <w:rPr>
                <w:rFonts w:ascii="Times New Roman" w:hAnsi="Times New Roman" w:cs="Times New Roman"/>
              </w:rPr>
            </w:pPr>
            <w:r w:rsidRPr="009321CA">
              <w:rPr>
                <w:rFonts w:ascii="Times New Roman" w:hAnsi="Times New Roman" w:cs="Times New Roman"/>
              </w:rPr>
              <w:t>61</w:t>
            </w:r>
          </w:p>
        </w:tc>
        <w:tc>
          <w:tcPr>
            <w:tcW w:w="0" w:type="auto"/>
            <w:vAlign w:val="center"/>
          </w:tcPr>
          <w:p w14:paraId="2B8611DB" w14:textId="77777777" w:rsidR="009321CA" w:rsidRPr="009321CA" w:rsidRDefault="009321CA" w:rsidP="009321CA">
            <w:pPr>
              <w:jc w:val="center"/>
              <w:rPr>
                <w:rFonts w:ascii="Times New Roman" w:hAnsi="Times New Roman" w:cs="Times New Roman"/>
              </w:rPr>
            </w:pPr>
            <w:r w:rsidRPr="009321CA">
              <w:rPr>
                <w:rFonts w:ascii="Times New Roman" w:hAnsi="Times New Roman" w:cs="Times New Roman"/>
              </w:rPr>
              <w:t>24</w:t>
            </w:r>
          </w:p>
        </w:tc>
        <w:tc>
          <w:tcPr>
            <w:tcW w:w="0" w:type="auto"/>
            <w:vAlign w:val="center"/>
          </w:tcPr>
          <w:p w14:paraId="5167D241" w14:textId="77777777" w:rsidR="009321CA" w:rsidRPr="009321CA" w:rsidRDefault="009321CA" w:rsidP="009321CA">
            <w:pPr>
              <w:jc w:val="center"/>
              <w:rPr>
                <w:rFonts w:ascii="Times New Roman" w:hAnsi="Times New Roman" w:cs="Times New Roman"/>
              </w:rPr>
            </w:pPr>
            <w:r w:rsidRPr="009321CA">
              <w:rPr>
                <w:rFonts w:ascii="Times New Roman" w:hAnsi="Times New Roman" w:cs="Times New Roman"/>
              </w:rPr>
              <w:t>85</w:t>
            </w:r>
          </w:p>
        </w:tc>
      </w:tr>
      <w:tr w:rsidR="009321CA" w:rsidRPr="009321CA" w14:paraId="11370415" w14:textId="77777777" w:rsidTr="00C86CA8">
        <w:trPr>
          <w:jc w:val="center"/>
        </w:trPr>
        <w:tc>
          <w:tcPr>
            <w:tcW w:w="0" w:type="auto"/>
            <w:vMerge/>
          </w:tcPr>
          <w:p w14:paraId="0AACD7EE" w14:textId="77777777" w:rsidR="009321CA" w:rsidRPr="009321CA" w:rsidRDefault="009321CA" w:rsidP="00420E1D">
            <w:pPr>
              <w:jc w:val="both"/>
              <w:rPr>
                <w:rFonts w:ascii="Times New Roman" w:hAnsi="Times New Roman" w:cs="Times New Roman"/>
              </w:rPr>
            </w:pPr>
          </w:p>
        </w:tc>
        <w:tc>
          <w:tcPr>
            <w:tcW w:w="0" w:type="auto"/>
            <w:vAlign w:val="center"/>
          </w:tcPr>
          <w:p w14:paraId="23E474F8" w14:textId="77777777" w:rsidR="009321CA" w:rsidRPr="009321CA" w:rsidRDefault="009321CA" w:rsidP="009321CA">
            <w:pPr>
              <w:rPr>
                <w:rFonts w:ascii="Times New Roman" w:hAnsi="Times New Roman" w:cs="Times New Roman"/>
              </w:rPr>
            </w:pPr>
            <w:r w:rsidRPr="009321CA">
              <w:rPr>
                <w:rFonts w:ascii="Times New Roman" w:hAnsi="Times New Roman" w:cs="Times New Roman"/>
              </w:rPr>
              <w:t>Below the median</w:t>
            </w:r>
          </w:p>
        </w:tc>
        <w:tc>
          <w:tcPr>
            <w:tcW w:w="0" w:type="auto"/>
            <w:vAlign w:val="center"/>
          </w:tcPr>
          <w:p w14:paraId="0E6807B8" w14:textId="77777777" w:rsidR="009321CA" w:rsidRPr="009321CA" w:rsidRDefault="009321CA" w:rsidP="009321CA">
            <w:pPr>
              <w:jc w:val="center"/>
              <w:rPr>
                <w:rFonts w:ascii="Times New Roman" w:hAnsi="Times New Roman" w:cs="Times New Roman"/>
              </w:rPr>
            </w:pPr>
            <w:r w:rsidRPr="009321CA">
              <w:rPr>
                <w:rFonts w:ascii="Times New Roman" w:hAnsi="Times New Roman" w:cs="Times New Roman"/>
              </w:rPr>
              <w:t>23</w:t>
            </w:r>
          </w:p>
        </w:tc>
        <w:tc>
          <w:tcPr>
            <w:tcW w:w="0" w:type="auto"/>
            <w:vAlign w:val="center"/>
          </w:tcPr>
          <w:p w14:paraId="47FCC51B" w14:textId="77777777" w:rsidR="009321CA" w:rsidRPr="009321CA" w:rsidRDefault="009321CA" w:rsidP="009321CA">
            <w:pPr>
              <w:jc w:val="center"/>
              <w:rPr>
                <w:rFonts w:ascii="Times New Roman" w:hAnsi="Times New Roman" w:cs="Times New Roman"/>
              </w:rPr>
            </w:pPr>
            <w:r w:rsidRPr="009321CA">
              <w:rPr>
                <w:rFonts w:ascii="Times New Roman" w:hAnsi="Times New Roman" w:cs="Times New Roman"/>
              </w:rPr>
              <w:t>61</w:t>
            </w:r>
          </w:p>
        </w:tc>
        <w:tc>
          <w:tcPr>
            <w:tcW w:w="0" w:type="auto"/>
            <w:vAlign w:val="center"/>
          </w:tcPr>
          <w:p w14:paraId="47227D8A" w14:textId="77777777" w:rsidR="009321CA" w:rsidRPr="009321CA" w:rsidRDefault="009321CA" w:rsidP="009321CA">
            <w:pPr>
              <w:jc w:val="center"/>
              <w:rPr>
                <w:rFonts w:ascii="Times New Roman" w:hAnsi="Times New Roman" w:cs="Times New Roman"/>
              </w:rPr>
            </w:pPr>
            <w:r w:rsidRPr="009321CA">
              <w:rPr>
                <w:rFonts w:ascii="Times New Roman" w:hAnsi="Times New Roman" w:cs="Times New Roman"/>
              </w:rPr>
              <w:t>84</w:t>
            </w:r>
          </w:p>
        </w:tc>
      </w:tr>
      <w:tr w:rsidR="009321CA" w:rsidRPr="009321CA" w14:paraId="350347F3" w14:textId="77777777" w:rsidTr="00C86CA8">
        <w:trPr>
          <w:jc w:val="center"/>
        </w:trPr>
        <w:tc>
          <w:tcPr>
            <w:tcW w:w="0" w:type="auto"/>
            <w:vMerge/>
          </w:tcPr>
          <w:p w14:paraId="06A45128" w14:textId="77777777" w:rsidR="009321CA" w:rsidRPr="009321CA" w:rsidRDefault="009321CA" w:rsidP="00420E1D">
            <w:pPr>
              <w:jc w:val="both"/>
              <w:rPr>
                <w:rFonts w:ascii="Times New Roman" w:hAnsi="Times New Roman" w:cs="Times New Roman"/>
              </w:rPr>
            </w:pPr>
          </w:p>
        </w:tc>
        <w:tc>
          <w:tcPr>
            <w:tcW w:w="0" w:type="auto"/>
            <w:vAlign w:val="center"/>
          </w:tcPr>
          <w:p w14:paraId="68CA0F7F" w14:textId="77777777" w:rsidR="009321CA" w:rsidRPr="009321CA" w:rsidRDefault="009321CA" w:rsidP="009321CA">
            <w:pPr>
              <w:rPr>
                <w:rFonts w:ascii="Times New Roman" w:hAnsi="Times New Roman" w:cs="Times New Roman"/>
              </w:rPr>
            </w:pPr>
            <w:r w:rsidRPr="009321CA">
              <w:rPr>
                <w:rFonts w:ascii="Times New Roman" w:hAnsi="Times New Roman" w:cs="Times New Roman"/>
              </w:rPr>
              <w:t>Total</w:t>
            </w:r>
          </w:p>
        </w:tc>
        <w:tc>
          <w:tcPr>
            <w:tcW w:w="0" w:type="auto"/>
            <w:vAlign w:val="center"/>
          </w:tcPr>
          <w:p w14:paraId="2AC15C2C" w14:textId="77777777" w:rsidR="009321CA" w:rsidRPr="009321CA" w:rsidRDefault="009321CA" w:rsidP="009321CA">
            <w:pPr>
              <w:jc w:val="center"/>
              <w:rPr>
                <w:rFonts w:ascii="Times New Roman" w:hAnsi="Times New Roman" w:cs="Times New Roman"/>
              </w:rPr>
            </w:pPr>
            <w:r w:rsidRPr="009321CA">
              <w:rPr>
                <w:rFonts w:ascii="Times New Roman" w:hAnsi="Times New Roman" w:cs="Times New Roman"/>
              </w:rPr>
              <w:t>84</w:t>
            </w:r>
          </w:p>
        </w:tc>
        <w:tc>
          <w:tcPr>
            <w:tcW w:w="0" w:type="auto"/>
            <w:vAlign w:val="center"/>
          </w:tcPr>
          <w:p w14:paraId="56F9C013" w14:textId="77777777" w:rsidR="009321CA" w:rsidRPr="009321CA" w:rsidRDefault="009321CA" w:rsidP="009321CA">
            <w:pPr>
              <w:jc w:val="center"/>
              <w:rPr>
                <w:rFonts w:ascii="Times New Roman" w:hAnsi="Times New Roman" w:cs="Times New Roman"/>
              </w:rPr>
            </w:pPr>
            <w:r w:rsidRPr="009321CA">
              <w:rPr>
                <w:rFonts w:ascii="Times New Roman" w:hAnsi="Times New Roman" w:cs="Times New Roman"/>
              </w:rPr>
              <w:t>85</w:t>
            </w:r>
          </w:p>
        </w:tc>
        <w:tc>
          <w:tcPr>
            <w:tcW w:w="0" w:type="auto"/>
            <w:vAlign w:val="center"/>
          </w:tcPr>
          <w:p w14:paraId="464A8CAB" w14:textId="77777777" w:rsidR="009321CA" w:rsidRPr="009321CA" w:rsidRDefault="009321CA" w:rsidP="009321CA">
            <w:pPr>
              <w:jc w:val="center"/>
              <w:rPr>
                <w:rFonts w:ascii="Times New Roman" w:hAnsi="Times New Roman" w:cs="Times New Roman"/>
              </w:rPr>
            </w:pPr>
            <w:r w:rsidRPr="009321CA">
              <w:rPr>
                <w:rFonts w:ascii="Times New Roman" w:hAnsi="Times New Roman" w:cs="Times New Roman"/>
              </w:rPr>
              <w:t>169</w:t>
            </w:r>
          </w:p>
        </w:tc>
      </w:tr>
    </w:tbl>
    <w:p w14:paraId="7E2471F4" w14:textId="6FB1122E" w:rsidR="00C86CA8" w:rsidRPr="00382500" w:rsidRDefault="00C86CA8" w:rsidP="00C86CA8">
      <w:pPr>
        <w:jc w:val="center"/>
        <w:rPr>
          <w:rFonts w:ascii="Times New Roman" w:hAnsi="Times New Roman" w:cs="Times New Roman"/>
        </w:rPr>
      </w:pPr>
      <w:r w:rsidRPr="00382500">
        <w:rPr>
          <w:rFonts w:ascii="Times New Roman" w:hAnsi="Times New Roman" w:cs="Times New Roman"/>
        </w:rPr>
        <w:t>Source: Office of Policy and Management, Grand List by Town: 2013, and calculations by the author</w:t>
      </w:r>
    </w:p>
    <w:p w14:paraId="62A3FE5C" w14:textId="21BEE49B" w:rsidR="00C16898" w:rsidRPr="00C86CA8" w:rsidRDefault="00C16898" w:rsidP="00EB4382">
      <w:pPr>
        <w:pStyle w:val="Heading2"/>
        <w:rPr>
          <w:rFonts w:ascii="Times New Roman" w:hAnsi="Times New Roman" w:cs="Times New Roman"/>
        </w:rPr>
      </w:pPr>
      <w:bookmarkStart w:id="11" w:name="_Toc434358306"/>
      <w:r w:rsidRPr="00C86CA8">
        <w:rPr>
          <w:rFonts w:ascii="Times New Roman" w:hAnsi="Times New Roman" w:cs="Times New Roman"/>
        </w:rPr>
        <w:lastRenderedPageBreak/>
        <w:t>Trends and patterns in the Connecticut personal property tax</w:t>
      </w:r>
      <w:bookmarkEnd w:id="11"/>
    </w:p>
    <w:p w14:paraId="2C077045" w14:textId="2BA7184E" w:rsidR="00EA6D2C" w:rsidRPr="00382500" w:rsidRDefault="00B60CA7" w:rsidP="00382500">
      <w:pPr>
        <w:jc w:val="both"/>
        <w:rPr>
          <w:rFonts w:ascii="Times New Roman" w:hAnsi="Times New Roman" w:cs="Times New Roman"/>
        </w:rPr>
      </w:pPr>
      <w:r w:rsidRPr="00382500">
        <w:rPr>
          <w:rFonts w:ascii="Times New Roman" w:hAnsi="Times New Roman" w:cs="Times New Roman"/>
        </w:rPr>
        <w:t xml:space="preserve">As noted in the introduction, taxable personal property represents just over five percent of Connecticut’s total property tax base after all exemptions are included. But this summary statistic masks the significant variation that exists between Connecticut’s </w:t>
      </w:r>
      <w:r w:rsidR="00382500" w:rsidRPr="00382500">
        <w:rPr>
          <w:rFonts w:ascii="Times New Roman" w:hAnsi="Times New Roman" w:cs="Times New Roman"/>
        </w:rPr>
        <w:t xml:space="preserve">towns and </w:t>
      </w:r>
      <w:r w:rsidRPr="00382500">
        <w:rPr>
          <w:rFonts w:ascii="Times New Roman" w:hAnsi="Times New Roman" w:cs="Times New Roman"/>
        </w:rPr>
        <w:t>cities. The range is from 0.88% in New Canaan to 24.3% in Waterford. The full dist</w:t>
      </w:r>
      <w:r w:rsidR="006E6F9C" w:rsidRPr="00382500">
        <w:rPr>
          <w:rFonts w:ascii="Times New Roman" w:hAnsi="Times New Roman" w:cs="Times New Roman"/>
        </w:rPr>
        <w:t>ribution is reported in Figure 7</w:t>
      </w:r>
      <w:r w:rsidRPr="00382500">
        <w:rPr>
          <w:rFonts w:ascii="Times New Roman" w:hAnsi="Times New Roman" w:cs="Times New Roman"/>
        </w:rPr>
        <w:t xml:space="preserve">. </w:t>
      </w:r>
      <w:r w:rsidR="00EA6D2C" w:rsidRPr="00382500">
        <w:rPr>
          <w:rFonts w:ascii="Times New Roman" w:hAnsi="Times New Roman" w:cs="Times New Roman"/>
        </w:rPr>
        <w:t>Clearly variations in the value of the tax base do not tell the whole story since tax rate</w:t>
      </w:r>
      <w:r w:rsidR="00510AF9" w:rsidRPr="00382500">
        <w:rPr>
          <w:rFonts w:ascii="Times New Roman" w:hAnsi="Times New Roman" w:cs="Times New Roman"/>
        </w:rPr>
        <w:t>s</w:t>
      </w:r>
      <w:r w:rsidR="00EA6D2C" w:rsidRPr="00382500">
        <w:rPr>
          <w:rFonts w:ascii="Times New Roman" w:hAnsi="Times New Roman" w:cs="Times New Roman"/>
        </w:rPr>
        <w:t xml:space="preserve"> vary substantially by community as well. For 2016, mill rates</w:t>
      </w:r>
      <w:r w:rsidR="00EA6D2C" w:rsidRPr="00382500">
        <w:rPr>
          <w:rStyle w:val="FootnoteReference"/>
          <w:rFonts w:ascii="Times New Roman" w:hAnsi="Times New Roman" w:cs="Times New Roman"/>
        </w:rPr>
        <w:footnoteReference w:id="5"/>
      </w:r>
      <w:r w:rsidR="00EA6D2C" w:rsidRPr="00382500">
        <w:rPr>
          <w:rFonts w:ascii="Times New Roman" w:hAnsi="Times New Roman" w:cs="Times New Roman"/>
        </w:rPr>
        <w:t xml:space="preserve"> vary between 10.70 in Salisbury and 74.29 in Hartford</w:t>
      </w:r>
      <w:r w:rsidR="00510AF9" w:rsidRPr="00382500">
        <w:rPr>
          <w:rFonts w:ascii="Times New Roman" w:hAnsi="Times New Roman" w:cs="Times New Roman"/>
        </w:rPr>
        <w:t>, with an average across the state of 29.47</w:t>
      </w:r>
      <w:r w:rsidR="00EA6D2C" w:rsidRPr="00382500">
        <w:rPr>
          <w:rFonts w:ascii="Times New Roman" w:hAnsi="Times New Roman" w:cs="Times New Roman"/>
        </w:rPr>
        <w:t xml:space="preserve">. </w:t>
      </w:r>
    </w:p>
    <w:p w14:paraId="41EEFA23" w14:textId="7CAF6AB0" w:rsidR="00B60CA7" w:rsidRPr="00382500" w:rsidRDefault="006E6F9C" w:rsidP="00364F39">
      <w:pPr>
        <w:rPr>
          <w:rFonts w:ascii="Times New Roman" w:hAnsi="Times New Roman" w:cs="Times New Roman"/>
          <w:b/>
        </w:rPr>
      </w:pPr>
      <w:r w:rsidRPr="00382500">
        <w:rPr>
          <w:rFonts w:ascii="Times New Roman" w:hAnsi="Times New Roman" w:cs="Times New Roman"/>
          <w:b/>
        </w:rPr>
        <w:t>Figure 7</w:t>
      </w:r>
    </w:p>
    <w:p w14:paraId="418F2834" w14:textId="0F2A3507" w:rsidR="00EE02AF" w:rsidRDefault="00B60CA7">
      <w:pPr>
        <w:rPr>
          <w:b/>
        </w:rPr>
      </w:pPr>
      <w:r>
        <w:rPr>
          <w:noProof/>
        </w:rPr>
        <w:drawing>
          <wp:inline distT="0" distB="0" distL="0" distR="0" wp14:anchorId="61410D75" wp14:editId="5E4F49B7">
            <wp:extent cx="5216525" cy="3489306"/>
            <wp:effectExtent l="0" t="0" r="3175" b="1651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424FE20" w14:textId="0A35F249" w:rsidR="0095635A" w:rsidRPr="0051013C" w:rsidRDefault="0095635A">
      <w:pPr>
        <w:rPr>
          <w:rFonts w:ascii="Times New Roman" w:hAnsi="Times New Roman" w:cs="Times New Roman"/>
        </w:rPr>
      </w:pPr>
      <w:r w:rsidRPr="0051013C">
        <w:rPr>
          <w:rFonts w:ascii="Times New Roman" w:hAnsi="Times New Roman" w:cs="Times New Roman"/>
        </w:rPr>
        <w:t>Source: Calculations by the author</w:t>
      </w:r>
    </w:p>
    <w:p w14:paraId="6FC3A776" w14:textId="77777777" w:rsidR="0051013C" w:rsidRDefault="004E61B5" w:rsidP="0051013C">
      <w:pPr>
        <w:jc w:val="both"/>
        <w:rPr>
          <w:rFonts w:ascii="Times New Roman" w:hAnsi="Times New Roman" w:cs="Times New Roman"/>
        </w:rPr>
      </w:pPr>
      <w:r w:rsidRPr="0051013C">
        <w:rPr>
          <w:rFonts w:ascii="Times New Roman" w:hAnsi="Times New Roman" w:cs="Times New Roman"/>
        </w:rPr>
        <w:t>One</w:t>
      </w:r>
      <w:r w:rsidR="00510AF9" w:rsidRPr="0051013C">
        <w:rPr>
          <w:rFonts w:ascii="Times New Roman" w:hAnsi="Times New Roman" w:cs="Times New Roman"/>
        </w:rPr>
        <w:t xml:space="preserve"> way to compare cities is to apply the local mill rate to a standardiz</w:t>
      </w:r>
      <w:r w:rsidR="00E81C7C" w:rsidRPr="0051013C">
        <w:rPr>
          <w:rFonts w:ascii="Times New Roman" w:hAnsi="Times New Roman" w:cs="Times New Roman"/>
        </w:rPr>
        <w:t>ed value. F</w:t>
      </w:r>
      <w:r w:rsidR="006E6F9C" w:rsidRPr="0051013C">
        <w:rPr>
          <w:rFonts w:ascii="Times New Roman" w:hAnsi="Times New Roman" w:cs="Times New Roman"/>
        </w:rPr>
        <w:t>igure 8</w:t>
      </w:r>
      <w:r w:rsidR="00E81C7C" w:rsidRPr="0051013C">
        <w:rPr>
          <w:rFonts w:ascii="Times New Roman" w:hAnsi="Times New Roman" w:cs="Times New Roman"/>
        </w:rPr>
        <w:t xml:space="preserve"> shows the personal property tax obligation due for a company </w:t>
      </w:r>
      <w:r w:rsidR="00344F63" w:rsidRPr="0051013C">
        <w:rPr>
          <w:rFonts w:ascii="Times New Roman" w:hAnsi="Times New Roman" w:cs="Times New Roman"/>
        </w:rPr>
        <w:t>owning</w:t>
      </w:r>
      <w:r w:rsidR="00E81C7C" w:rsidRPr="0051013C">
        <w:rPr>
          <w:rFonts w:ascii="Times New Roman" w:hAnsi="Times New Roman" w:cs="Times New Roman"/>
        </w:rPr>
        <w:t xml:space="preserve"> personal property with a depreciated value of $1 million. Using the state assessment ratio of 70% of market value, and community-specific mill rates, the tax obligation in each community is calculated. The median obligation is $20,409, and 36% of communities are within 10% of the median. The range is from $7,490 in Salisbury to $40,754 in Waterbury and $52,003 in Hartford. </w:t>
      </w:r>
      <w:r w:rsidRPr="0051013C">
        <w:rPr>
          <w:rFonts w:ascii="Times New Roman" w:hAnsi="Times New Roman" w:cs="Times New Roman"/>
        </w:rPr>
        <w:t xml:space="preserve">Thus, there are outliers on both the high and low end with the result that the tax burden for a given amount of personal property varies substantially across the state. But most jurisdictions cluster around the median value. </w:t>
      </w:r>
    </w:p>
    <w:p w14:paraId="4F79F1E3" w14:textId="77777777" w:rsidR="0051013C" w:rsidRDefault="0051013C" w:rsidP="0051013C">
      <w:pPr>
        <w:jc w:val="both"/>
        <w:rPr>
          <w:rFonts w:ascii="Times New Roman" w:hAnsi="Times New Roman" w:cs="Times New Roman"/>
        </w:rPr>
      </w:pPr>
    </w:p>
    <w:p w14:paraId="14417F2A" w14:textId="77777777" w:rsidR="0051013C" w:rsidRDefault="0051013C" w:rsidP="0051013C">
      <w:pPr>
        <w:jc w:val="both"/>
        <w:rPr>
          <w:rFonts w:ascii="Times New Roman" w:hAnsi="Times New Roman" w:cs="Times New Roman"/>
        </w:rPr>
      </w:pPr>
    </w:p>
    <w:p w14:paraId="49290DF2" w14:textId="3FFC5C9E" w:rsidR="00E81C7C" w:rsidRPr="0051013C" w:rsidRDefault="006E6F9C" w:rsidP="00E81C7C">
      <w:pPr>
        <w:rPr>
          <w:rFonts w:ascii="Times New Roman" w:hAnsi="Times New Roman" w:cs="Times New Roman"/>
          <w:b/>
        </w:rPr>
      </w:pPr>
      <w:r w:rsidRPr="0051013C">
        <w:rPr>
          <w:rFonts w:ascii="Times New Roman" w:hAnsi="Times New Roman" w:cs="Times New Roman"/>
          <w:b/>
        </w:rPr>
        <w:lastRenderedPageBreak/>
        <w:t>Figure 8</w:t>
      </w:r>
    </w:p>
    <w:p w14:paraId="1FBF325A" w14:textId="510175AF" w:rsidR="00E81C7C" w:rsidRDefault="00E81C7C" w:rsidP="00E81C7C">
      <w:r>
        <w:rPr>
          <w:noProof/>
        </w:rPr>
        <w:drawing>
          <wp:inline distT="0" distB="0" distL="0" distR="0" wp14:anchorId="400C9709" wp14:editId="316A6F4A">
            <wp:extent cx="5200299" cy="3876383"/>
            <wp:effectExtent l="0" t="0" r="635"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38E99BA" w14:textId="2912A21F" w:rsidR="004E61B5" w:rsidRPr="009F5B16" w:rsidRDefault="004E61B5" w:rsidP="009F5B16">
      <w:pPr>
        <w:jc w:val="both"/>
        <w:rPr>
          <w:rFonts w:ascii="Times New Roman" w:hAnsi="Times New Roman" w:cs="Times New Roman"/>
        </w:rPr>
      </w:pPr>
      <w:r w:rsidRPr="009F5B16">
        <w:rPr>
          <w:rFonts w:ascii="Times New Roman" w:hAnsi="Times New Roman" w:cs="Times New Roman"/>
        </w:rPr>
        <w:t xml:space="preserve">A more careful examination of the burden of the personal property tax yields a richer picture. The personal property grand list was obtained from </w:t>
      </w:r>
      <w:r w:rsidR="00F263C3">
        <w:rPr>
          <w:rFonts w:ascii="Times New Roman" w:hAnsi="Times New Roman" w:cs="Times New Roman"/>
        </w:rPr>
        <w:t>13</w:t>
      </w:r>
      <w:r w:rsidRPr="009F5B16">
        <w:rPr>
          <w:rFonts w:ascii="Times New Roman" w:hAnsi="Times New Roman" w:cs="Times New Roman"/>
        </w:rPr>
        <w:t xml:space="preserve"> </w:t>
      </w:r>
      <w:r w:rsidR="0051013C" w:rsidRPr="009F5B16">
        <w:rPr>
          <w:rFonts w:ascii="Times New Roman" w:hAnsi="Times New Roman" w:cs="Times New Roman"/>
        </w:rPr>
        <w:t>towns</w:t>
      </w:r>
      <w:r w:rsidRPr="009F5B16">
        <w:rPr>
          <w:rStyle w:val="FootnoteReference"/>
          <w:rFonts w:ascii="Times New Roman" w:hAnsi="Times New Roman" w:cs="Times New Roman"/>
        </w:rPr>
        <w:footnoteReference w:id="6"/>
      </w:r>
      <w:r w:rsidR="00F263C3">
        <w:rPr>
          <w:rFonts w:ascii="Times New Roman" w:hAnsi="Times New Roman" w:cs="Times New Roman"/>
        </w:rPr>
        <w:t>, totaling 30,195</w:t>
      </w:r>
      <w:r w:rsidRPr="009F5B16">
        <w:rPr>
          <w:rFonts w:ascii="Times New Roman" w:hAnsi="Times New Roman" w:cs="Times New Roman"/>
        </w:rPr>
        <w:t xml:space="preserve"> personal property accounts. </w:t>
      </w:r>
      <w:r w:rsidR="008E69BA" w:rsidRPr="009F5B16">
        <w:rPr>
          <w:rFonts w:ascii="Times New Roman" w:hAnsi="Times New Roman" w:cs="Times New Roman"/>
        </w:rPr>
        <w:t>The cities were selected because the</w:t>
      </w:r>
      <w:r w:rsidR="00344F63" w:rsidRPr="009F5B16">
        <w:rPr>
          <w:rFonts w:ascii="Times New Roman" w:hAnsi="Times New Roman" w:cs="Times New Roman"/>
        </w:rPr>
        <w:t>y</w:t>
      </w:r>
      <w:r w:rsidR="008E69BA" w:rsidRPr="009F5B16">
        <w:rPr>
          <w:rFonts w:ascii="Times New Roman" w:hAnsi="Times New Roman" w:cs="Times New Roman"/>
        </w:rPr>
        <w:t xml:space="preserve"> represe</w:t>
      </w:r>
      <w:r w:rsidR="0051013C" w:rsidRPr="009F5B16">
        <w:rPr>
          <w:rFonts w:ascii="Times New Roman" w:hAnsi="Times New Roman" w:cs="Times New Roman"/>
        </w:rPr>
        <w:t>nt</w:t>
      </w:r>
      <w:r w:rsidR="008E69BA" w:rsidRPr="009F5B16">
        <w:rPr>
          <w:rFonts w:ascii="Times New Roman" w:hAnsi="Times New Roman" w:cs="Times New Roman"/>
        </w:rPr>
        <w:t xml:space="preserve"> both extremes in the distribution of personal property as a percent of total grand list. </w:t>
      </w:r>
      <w:r w:rsidRPr="009F5B16">
        <w:rPr>
          <w:rFonts w:ascii="Times New Roman" w:hAnsi="Times New Roman" w:cs="Times New Roman"/>
        </w:rPr>
        <w:t xml:space="preserve">A comparison between the </w:t>
      </w:r>
      <w:r w:rsidR="004C0795" w:rsidRPr="009F5B16">
        <w:rPr>
          <w:rFonts w:ascii="Times New Roman" w:hAnsi="Times New Roman" w:cs="Times New Roman"/>
        </w:rPr>
        <w:t>1</w:t>
      </w:r>
      <w:r w:rsidR="00F263C3">
        <w:rPr>
          <w:rFonts w:ascii="Times New Roman" w:hAnsi="Times New Roman" w:cs="Times New Roman"/>
        </w:rPr>
        <w:t>3</w:t>
      </w:r>
      <w:r w:rsidRPr="009F5B16">
        <w:rPr>
          <w:rFonts w:ascii="Times New Roman" w:hAnsi="Times New Roman" w:cs="Times New Roman"/>
        </w:rPr>
        <w:t xml:space="preserve"> indicates that the distribution of accounts by total taxable value is virtually identical. This appears to be a reasonable sample for accounts statewide. </w:t>
      </w:r>
    </w:p>
    <w:p w14:paraId="2146920A" w14:textId="05D60CE9" w:rsidR="00930405" w:rsidRPr="009F5B16" w:rsidRDefault="004C0795" w:rsidP="009F5B16">
      <w:pPr>
        <w:jc w:val="both"/>
        <w:rPr>
          <w:rFonts w:ascii="Times New Roman" w:hAnsi="Times New Roman" w:cs="Times New Roman"/>
        </w:rPr>
      </w:pPr>
      <w:r w:rsidRPr="009F5B16">
        <w:rPr>
          <w:rFonts w:ascii="Times New Roman" w:hAnsi="Times New Roman" w:cs="Times New Roman"/>
        </w:rPr>
        <w:t>Table 6</w:t>
      </w:r>
      <w:r w:rsidR="008E69BA" w:rsidRPr="009F5B16">
        <w:rPr>
          <w:rFonts w:ascii="Times New Roman" w:hAnsi="Times New Roman" w:cs="Times New Roman"/>
        </w:rPr>
        <w:t xml:space="preserve"> reports the number and percent of personal property accounts by value range. The table also shows the proportion of total personal property taxable value represented by each value range. The table shows that </w:t>
      </w:r>
      <w:r w:rsidR="009F5B16" w:rsidRPr="009F5B16">
        <w:rPr>
          <w:rFonts w:ascii="Times New Roman" w:hAnsi="Times New Roman" w:cs="Times New Roman"/>
        </w:rPr>
        <w:t xml:space="preserve">nearly </w:t>
      </w:r>
      <w:r w:rsidR="008E69BA" w:rsidRPr="009F5B16">
        <w:rPr>
          <w:rFonts w:ascii="Times New Roman" w:hAnsi="Times New Roman" w:cs="Times New Roman"/>
        </w:rPr>
        <w:t>89% of the taxable personal pro</w:t>
      </w:r>
      <w:r w:rsidR="00F263C3">
        <w:rPr>
          <w:rFonts w:ascii="Times New Roman" w:hAnsi="Times New Roman" w:cs="Times New Roman"/>
        </w:rPr>
        <w:t>perty value is found in only 7.2</w:t>
      </w:r>
      <w:r w:rsidR="008E69BA" w:rsidRPr="009F5B16">
        <w:rPr>
          <w:rFonts w:ascii="Times New Roman" w:hAnsi="Times New Roman" w:cs="Times New Roman"/>
        </w:rPr>
        <w:t xml:space="preserve">% of personal property accounts. In fact, over 52% of the value is found in only </w:t>
      </w:r>
      <w:r w:rsidR="00F263C3">
        <w:rPr>
          <w:rFonts w:ascii="Times New Roman" w:hAnsi="Times New Roman" w:cs="Times New Roman"/>
        </w:rPr>
        <w:t>0.22</w:t>
      </w:r>
      <w:r w:rsidR="008E69BA" w:rsidRPr="009F5B16">
        <w:rPr>
          <w:rFonts w:ascii="Times New Roman" w:hAnsi="Times New Roman" w:cs="Times New Roman"/>
        </w:rPr>
        <w:t>% of the accounts. It is striking that nearly 93% of all tax accounts total only 11</w:t>
      </w:r>
      <w:r w:rsidR="009F5B16" w:rsidRPr="009F5B16">
        <w:rPr>
          <w:rFonts w:ascii="Times New Roman" w:hAnsi="Times New Roman" w:cs="Times New Roman"/>
        </w:rPr>
        <w:t>.5</w:t>
      </w:r>
      <w:r w:rsidR="008E69BA" w:rsidRPr="009F5B16">
        <w:rPr>
          <w:rFonts w:ascii="Times New Roman" w:hAnsi="Times New Roman" w:cs="Times New Roman"/>
        </w:rPr>
        <w:t xml:space="preserve">% of taxable value. </w:t>
      </w:r>
    </w:p>
    <w:p w14:paraId="64BAD94D" w14:textId="7AE4D86B" w:rsidR="008E69BA" w:rsidRDefault="008E69BA" w:rsidP="009F5B16">
      <w:pPr>
        <w:jc w:val="both"/>
        <w:rPr>
          <w:rFonts w:ascii="Times New Roman" w:hAnsi="Times New Roman" w:cs="Times New Roman"/>
        </w:rPr>
      </w:pPr>
      <w:r w:rsidRPr="009F5B16">
        <w:rPr>
          <w:rFonts w:ascii="Times New Roman" w:hAnsi="Times New Roman" w:cs="Times New Roman"/>
        </w:rPr>
        <w:t>Excluding all accounts with a taxable value in exces</w:t>
      </w:r>
      <w:r w:rsidR="00930405" w:rsidRPr="009F5B16">
        <w:rPr>
          <w:rFonts w:ascii="Times New Roman" w:hAnsi="Times New Roman" w:cs="Times New Roman"/>
        </w:rPr>
        <w:t>s of $1 million, the median tax obligation</w:t>
      </w:r>
      <w:r w:rsidR="006F5FD7" w:rsidRPr="009F5B16">
        <w:rPr>
          <w:rFonts w:ascii="Times New Roman" w:hAnsi="Times New Roman" w:cs="Times New Roman"/>
        </w:rPr>
        <w:t xml:space="preserve"> for remaining firms</w:t>
      </w:r>
      <w:r w:rsidR="00930405" w:rsidRPr="009F5B16">
        <w:rPr>
          <w:rFonts w:ascii="Times New Roman" w:hAnsi="Times New Roman" w:cs="Times New Roman"/>
        </w:rPr>
        <w:t xml:space="preserve">, using 2014 mill rates, is $251. This analysis of actual personal property accounts indicates that the personal property tax in Connecticut is a tax on large businesses. For the majority of businesses, it is more nuisance than financial burden. It is likely that it costs firms more to comply and cities more to administer the tax than can be justified by the amount of revenue collected from the large majority of taxpayers.  </w:t>
      </w:r>
    </w:p>
    <w:p w14:paraId="46B21CBF" w14:textId="77777777" w:rsidR="009F5B16" w:rsidRDefault="009F5B16" w:rsidP="009F5B16">
      <w:pPr>
        <w:jc w:val="both"/>
        <w:rPr>
          <w:rFonts w:ascii="Times New Roman" w:hAnsi="Times New Roman" w:cs="Times New Roman"/>
        </w:rPr>
      </w:pPr>
    </w:p>
    <w:p w14:paraId="3A05B1D0" w14:textId="77777777" w:rsidR="009F5B16" w:rsidRPr="009F5B16" w:rsidRDefault="009F5B16" w:rsidP="009F5B16">
      <w:pPr>
        <w:jc w:val="both"/>
        <w:rPr>
          <w:rFonts w:ascii="Times New Roman" w:hAnsi="Times New Roman" w:cs="Times New Roman"/>
        </w:rPr>
      </w:pPr>
    </w:p>
    <w:p w14:paraId="50AC603E" w14:textId="628C1BFF" w:rsidR="004E61B5" w:rsidRPr="009F5B16" w:rsidRDefault="004C0795" w:rsidP="004E61B5">
      <w:pPr>
        <w:rPr>
          <w:rFonts w:ascii="Times New Roman" w:hAnsi="Times New Roman" w:cs="Times New Roman"/>
          <w:b/>
        </w:rPr>
      </w:pPr>
      <w:r w:rsidRPr="009F5B16">
        <w:rPr>
          <w:rFonts w:ascii="Times New Roman" w:hAnsi="Times New Roman" w:cs="Times New Roman"/>
          <w:b/>
        </w:rPr>
        <w:lastRenderedPageBreak/>
        <w:t>Table 6</w:t>
      </w:r>
      <w:r w:rsidR="004E61B5" w:rsidRPr="009F5B16">
        <w:rPr>
          <w:rFonts w:ascii="Times New Roman" w:hAnsi="Times New Roman" w:cs="Times New Roman"/>
          <w:b/>
        </w:rPr>
        <w:t>: Distribution of P</w:t>
      </w:r>
      <w:r w:rsidR="008E69BA" w:rsidRPr="009F5B16">
        <w:rPr>
          <w:rFonts w:ascii="Times New Roman" w:hAnsi="Times New Roman" w:cs="Times New Roman"/>
          <w:b/>
        </w:rPr>
        <w:t xml:space="preserve">ersonal </w:t>
      </w:r>
      <w:r w:rsidR="004E61B5" w:rsidRPr="009F5B16">
        <w:rPr>
          <w:rFonts w:ascii="Times New Roman" w:hAnsi="Times New Roman" w:cs="Times New Roman"/>
          <w:b/>
        </w:rPr>
        <w:t>P</w:t>
      </w:r>
      <w:r w:rsidR="008E69BA" w:rsidRPr="009F5B16">
        <w:rPr>
          <w:rFonts w:ascii="Times New Roman" w:hAnsi="Times New Roman" w:cs="Times New Roman"/>
          <w:b/>
        </w:rPr>
        <w:t>roperty Taxable V</w:t>
      </w:r>
      <w:r w:rsidR="004E61B5" w:rsidRPr="009F5B16">
        <w:rPr>
          <w:rFonts w:ascii="Times New Roman" w:hAnsi="Times New Roman" w:cs="Times New Roman"/>
          <w:b/>
        </w:rPr>
        <w:t>alues</w:t>
      </w:r>
      <w:r w:rsidR="009F5B16" w:rsidRPr="009F5B16">
        <w:rPr>
          <w:rFonts w:ascii="Times New Roman" w:hAnsi="Times New Roman" w:cs="Times New Roman"/>
          <w:b/>
        </w:rPr>
        <w:t>: 2014</w:t>
      </w:r>
      <w:r w:rsidR="004E61B5" w:rsidRPr="009F5B16">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2358"/>
        <w:gridCol w:w="1270"/>
        <w:gridCol w:w="1340"/>
        <w:gridCol w:w="1890"/>
        <w:gridCol w:w="1800"/>
      </w:tblGrid>
      <w:tr w:rsidR="004E61B5" w:rsidRPr="00175031" w14:paraId="53C65F5A" w14:textId="77777777" w:rsidTr="00E25B74">
        <w:tc>
          <w:tcPr>
            <w:tcW w:w="2358" w:type="dxa"/>
            <w:vAlign w:val="center"/>
          </w:tcPr>
          <w:p w14:paraId="7FF50509" w14:textId="77777777" w:rsidR="004E61B5" w:rsidRPr="009F5B16" w:rsidRDefault="004E61B5" w:rsidP="00E25B74">
            <w:pPr>
              <w:jc w:val="center"/>
              <w:rPr>
                <w:rFonts w:ascii="Times New Roman" w:hAnsi="Times New Roman" w:cs="Times New Roman"/>
                <w:b/>
                <w:sz w:val="20"/>
              </w:rPr>
            </w:pPr>
            <w:r w:rsidRPr="009F5B16">
              <w:rPr>
                <w:rFonts w:ascii="Times New Roman" w:hAnsi="Times New Roman" w:cs="Times New Roman"/>
                <w:b/>
                <w:sz w:val="20"/>
              </w:rPr>
              <w:t>Net assessment range</w:t>
            </w:r>
          </w:p>
        </w:tc>
        <w:tc>
          <w:tcPr>
            <w:tcW w:w="1270" w:type="dxa"/>
            <w:vAlign w:val="center"/>
          </w:tcPr>
          <w:p w14:paraId="75CF144A" w14:textId="77777777" w:rsidR="004E61B5" w:rsidRPr="009F5B16" w:rsidRDefault="004E61B5" w:rsidP="00E25B74">
            <w:pPr>
              <w:jc w:val="center"/>
              <w:rPr>
                <w:rFonts w:ascii="Times New Roman" w:hAnsi="Times New Roman" w:cs="Times New Roman"/>
                <w:b/>
                <w:sz w:val="20"/>
              </w:rPr>
            </w:pPr>
            <w:r w:rsidRPr="009F5B16">
              <w:rPr>
                <w:rFonts w:ascii="Times New Roman" w:hAnsi="Times New Roman" w:cs="Times New Roman"/>
                <w:b/>
                <w:sz w:val="20"/>
              </w:rPr>
              <w:t>Personal Property Accounts (2014)</w:t>
            </w:r>
          </w:p>
        </w:tc>
        <w:tc>
          <w:tcPr>
            <w:tcW w:w="1340" w:type="dxa"/>
            <w:vAlign w:val="center"/>
          </w:tcPr>
          <w:p w14:paraId="244A5BFC" w14:textId="77777777" w:rsidR="004E61B5" w:rsidRPr="009F5B16" w:rsidRDefault="004E61B5" w:rsidP="00E25B74">
            <w:pPr>
              <w:jc w:val="center"/>
              <w:rPr>
                <w:rFonts w:ascii="Times New Roman" w:hAnsi="Times New Roman" w:cs="Times New Roman"/>
                <w:b/>
                <w:sz w:val="20"/>
              </w:rPr>
            </w:pPr>
            <w:r w:rsidRPr="009F5B16">
              <w:rPr>
                <w:rFonts w:ascii="Times New Roman" w:hAnsi="Times New Roman" w:cs="Times New Roman"/>
                <w:b/>
                <w:sz w:val="20"/>
              </w:rPr>
              <w:t>Percent of accounts</w:t>
            </w:r>
          </w:p>
        </w:tc>
        <w:tc>
          <w:tcPr>
            <w:tcW w:w="1890" w:type="dxa"/>
            <w:vAlign w:val="center"/>
          </w:tcPr>
          <w:p w14:paraId="53B7AB30" w14:textId="32BA073A" w:rsidR="004E61B5" w:rsidRPr="009F5B16" w:rsidRDefault="00C215CA" w:rsidP="00C215CA">
            <w:pPr>
              <w:jc w:val="center"/>
              <w:rPr>
                <w:rFonts w:ascii="Times New Roman" w:hAnsi="Times New Roman" w:cs="Times New Roman"/>
                <w:b/>
                <w:sz w:val="20"/>
              </w:rPr>
            </w:pPr>
            <w:r w:rsidRPr="009F5B16">
              <w:rPr>
                <w:rFonts w:ascii="Times New Roman" w:hAnsi="Times New Roman" w:cs="Times New Roman"/>
                <w:b/>
                <w:sz w:val="20"/>
              </w:rPr>
              <w:t>Total Net Personal Property taxable value ($</w:t>
            </w:r>
            <w:r w:rsidR="00BA6DCC" w:rsidRPr="009F5B16">
              <w:rPr>
                <w:rFonts w:ascii="Times New Roman" w:hAnsi="Times New Roman" w:cs="Times New Roman"/>
                <w:b/>
                <w:sz w:val="20"/>
              </w:rPr>
              <w:t xml:space="preserve"> millions</w:t>
            </w:r>
            <w:r w:rsidRPr="009F5B16">
              <w:rPr>
                <w:rFonts w:ascii="Times New Roman" w:hAnsi="Times New Roman" w:cs="Times New Roman"/>
                <w:b/>
                <w:sz w:val="20"/>
              </w:rPr>
              <w:t>)</w:t>
            </w:r>
          </w:p>
        </w:tc>
        <w:tc>
          <w:tcPr>
            <w:tcW w:w="1800" w:type="dxa"/>
            <w:vAlign w:val="center"/>
          </w:tcPr>
          <w:p w14:paraId="482F25B5" w14:textId="2BCFA4FC" w:rsidR="004E61B5" w:rsidRPr="009F5B16" w:rsidRDefault="00C215CA" w:rsidP="00E25B74">
            <w:pPr>
              <w:jc w:val="center"/>
              <w:rPr>
                <w:rFonts w:ascii="Times New Roman" w:hAnsi="Times New Roman" w:cs="Times New Roman"/>
                <w:b/>
                <w:sz w:val="20"/>
              </w:rPr>
            </w:pPr>
            <w:r w:rsidRPr="009F5B16">
              <w:rPr>
                <w:rFonts w:ascii="Times New Roman" w:hAnsi="Times New Roman" w:cs="Times New Roman"/>
                <w:b/>
                <w:sz w:val="20"/>
              </w:rPr>
              <w:t>Percent of Personal Property tax base</w:t>
            </w:r>
          </w:p>
        </w:tc>
      </w:tr>
      <w:tr w:rsidR="00BA6DCC" w:rsidRPr="00175031" w14:paraId="65311403" w14:textId="77777777" w:rsidTr="0008754F">
        <w:tc>
          <w:tcPr>
            <w:tcW w:w="2358" w:type="dxa"/>
          </w:tcPr>
          <w:p w14:paraId="7C44EE49" w14:textId="77777777" w:rsidR="00BA6DCC" w:rsidRPr="009F5B16" w:rsidRDefault="00BA6DCC" w:rsidP="00BA6DCC">
            <w:pPr>
              <w:rPr>
                <w:rFonts w:ascii="Times New Roman" w:hAnsi="Times New Roman" w:cs="Times New Roman"/>
                <w:sz w:val="20"/>
              </w:rPr>
            </w:pPr>
            <w:r w:rsidRPr="009F5B16">
              <w:rPr>
                <w:rFonts w:ascii="Times New Roman" w:hAnsi="Times New Roman" w:cs="Times New Roman"/>
                <w:sz w:val="20"/>
              </w:rPr>
              <w:t>$200,000-$299,999</w:t>
            </w:r>
          </w:p>
        </w:tc>
        <w:tc>
          <w:tcPr>
            <w:tcW w:w="1270" w:type="dxa"/>
            <w:vAlign w:val="center"/>
          </w:tcPr>
          <w:p w14:paraId="7B766A9D" w14:textId="65E06A61" w:rsidR="00BA6DCC" w:rsidRPr="009F5B16" w:rsidRDefault="00F263C3" w:rsidP="00BA6DCC">
            <w:pPr>
              <w:jc w:val="right"/>
              <w:rPr>
                <w:rFonts w:ascii="Times New Roman" w:hAnsi="Times New Roman" w:cs="Times New Roman"/>
                <w:sz w:val="20"/>
              </w:rPr>
            </w:pPr>
            <w:r>
              <w:rPr>
                <w:rFonts w:ascii="Times New Roman" w:hAnsi="Times New Roman" w:cs="Times New Roman"/>
                <w:sz w:val="20"/>
              </w:rPr>
              <w:t>66</w:t>
            </w:r>
            <w:r w:rsidR="00BA6DCC" w:rsidRPr="009F5B16">
              <w:rPr>
                <w:rFonts w:ascii="Times New Roman" w:hAnsi="Times New Roman" w:cs="Times New Roman"/>
                <w:sz w:val="20"/>
              </w:rPr>
              <w:t xml:space="preserve">5 </w:t>
            </w:r>
          </w:p>
        </w:tc>
        <w:tc>
          <w:tcPr>
            <w:tcW w:w="1340" w:type="dxa"/>
            <w:vAlign w:val="center"/>
          </w:tcPr>
          <w:p w14:paraId="08E5123C" w14:textId="4C6E160E" w:rsidR="00BA6DCC" w:rsidRPr="009F5B16" w:rsidRDefault="00F263C3" w:rsidP="00BA6DCC">
            <w:pPr>
              <w:jc w:val="right"/>
              <w:rPr>
                <w:rFonts w:ascii="Times New Roman" w:hAnsi="Times New Roman" w:cs="Times New Roman"/>
                <w:sz w:val="20"/>
              </w:rPr>
            </w:pPr>
            <w:r>
              <w:rPr>
                <w:rFonts w:ascii="Times New Roman" w:hAnsi="Times New Roman" w:cs="Times New Roman"/>
                <w:sz w:val="20"/>
              </w:rPr>
              <w:t>2.20</w:t>
            </w:r>
            <w:r w:rsidR="00BA6DCC" w:rsidRPr="009F5B16">
              <w:rPr>
                <w:rFonts w:ascii="Times New Roman" w:hAnsi="Times New Roman" w:cs="Times New Roman"/>
                <w:sz w:val="20"/>
              </w:rPr>
              <w:t>%</w:t>
            </w:r>
          </w:p>
        </w:tc>
        <w:tc>
          <w:tcPr>
            <w:tcW w:w="1890" w:type="dxa"/>
          </w:tcPr>
          <w:p w14:paraId="56F92B63" w14:textId="7DBB7902" w:rsidR="00BA6DCC" w:rsidRPr="009F5B16" w:rsidRDefault="00F263C3" w:rsidP="00BA6DCC">
            <w:pPr>
              <w:jc w:val="right"/>
              <w:rPr>
                <w:rFonts w:ascii="Times New Roman" w:hAnsi="Times New Roman" w:cs="Times New Roman"/>
                <w:sz w:val="20"/>
              </w:rPr>
            </w:pPr>
            <w:r>
              <w:rPr>
                <w:rFonts w:ascii="Times New Roman" w:hAnsi="Times New Roman" w:cs="Times New Roman"/>
                <w:sz w:val="20"/>
              </w:rPr>
              <w:t>161.1</w:t>
            </w:r>
            <w:r w:rsidR="00BA6DCC" w:rsidRPr="009F5B16">
              <w:rPr>
                <w:rFonts w:ascii="Times New Roman" w:hAnsi="Times New Roman" w:cs="Times New Roman"/>
                <w:sz w:val="20"/>
              </w:rPr>
              <w:t xml:space="preserve"> </w:t>
            </w:r>
          </w:p>
        </w:tc>
        <w:tc>
          <w:tcPr>
            <w:tcW w:w="1800" w:type="dxa"/>
            <w:vAlign w:val="center"/>
          </w:tcPr>
          <w:p w14:paraId="30025985" w14:textId="706B773D" w:rsidR="00BA6DCC" w:rsidRPr="009F5B16" w:rsidRDefault="00F263C3" w:rsidP="00BA6DCC">
            <w:pPr>
              <w:jc w:val="right"/>
              <w:rPr>
                <w:rFonts w:ascii="Times New Roman" w:hAnsi="Times New Roman" w:cs="Times New Roman"/>
                <w:sz w:val="20"/>
              </w:rPr>
            </w:pPr>
            <w:r>
              <w:rPr>
                <w:rFonts w:ascii="Times New Roman" w:hAnsi="Times New Roman" w:cs="Times New Roman"/>
                <w:sz w:val="20"/>
              </w:rPr>
              <w:t>2.95</w:t>
            </w:r>
            <w:r w:rsidR="00BA6DCC" w:rsidRPr="009F5B16">
              <w:rPr>
                <w:rFonts w:ascii="Times New Roman" w:hAnsi="Times New Roman" w:cs="Times New Roman"/>
                <w:sz w:val="20"/>
              </w:rPr>
              <w:t>%</w:t>
            </w:r>
          </w:p>
        </w:tc>
      </w:tr>
      <w:tr w:rsidR="00BA6DCC" w:rsidRPr="00175031" w14:paraId="5333CE4F" w14:textId="77777777" w:rsidTr="0008754F">
        <w:tc>
          <w:tcPr>
            <w:tcW w:w="2358" w:type="dxa"/>
          </w:tcPr>
          <w:p w14:paraId="26D9A8FC" w14:textId="77777777" w:rsidR="00BA6DCC" w:rsidRPr="009F5B16" w:rsidRDefault="00BA6DCC" w:rsidP="00BA6DCC">
            <w:pPr>
              <w:rPr>
                <w:rFonts w:ascii="Times New Roman" w:hAnsi="Times New Roman" w:cs="Times New Roman"/>
                <w:sz w:val="20"/>
              </w:rPr>
            </w:pPr>
            <w:r w:rsidRPr="009F5B16">
              <w:rPr>
                <w:rFonts w:ascii="Times New Roman" w:hAnsi="Times New Roman" w:cs="Times New Roman"/>
                <w:sz w:val="20"/>
              </w:rPr>
              <w:t>$300,000-$599,999</w:t>
            </w:r>
          </w:p>
        </w:tc>
        <w:tc>
          <w:tcPr>
            <w:tcW w:w="1270" w:type="dxa"/>
            <w:vAlign w:val="center"/>
          </w:tcPr>
          <w:p w14:paraId="0734829F" w14:textId="46E1F9A9" w:rsidR="00BA6DCC" w:rsidRPr="009F5B16" w:rsidRDefault="00F263C3" w:rsidP="00BA6DCC">
            <w:pPr>
              <w:jc w:val="right"/>
              <w:rPr>
                <w:rFonts w:ascii="Times New Roman" w:hAnsi="Times New Roman" w:cs="Times New Roman"/>
                <w:sz w:val="20"/>
              </w:rPr>
            </w:pPr>
            <w:r>
              <w:rPr>
                <w:rFonts w:ascii="Times New Roman" w:hAnsi="Times New Roman" w:cs="Times New Roman"/>
                <w:sz w:val="20"/>
              </w:rPr>
              <w:t>657</w:t>
            </w:r>
            <w:r w:rsidR="00BA6DCC" w:rsidRPr="009F5B16">
              <w:rPr>
                <w:rFonts w:ascii="Times New Roman" w:hAnsi="Times New Roman" w:cs="Times New Roman"/>
                <w:sz w:val="20"/>
              </w:rPr>
              <w:t xml:space="preserve"> </w:t>
            </w:r>
          </w:p>
        </w:tc>
        <w:tc>
          <w:tcPr>
            <w:tcW w:w="1340" w:type="dxa"/>
            <w:vAlign w:val="center"/>
          </w:tcPr>
          <w:p w14:paraId="0483D4A6" w14:textId="5C202FC8" w:rsidR="00BA6DCC" w:rsidRPr="009F5B16" w:rsidRDefault="00F263C3" w:rsidP="00BA6DCC">
            <w:pPr>
              <w:jc w:val="right"/>
              <w:rPr>
                <w:rFonts w:ascii="Times New Roman" w:hAnsi="Times New Roman" w:cs="Times New Roman"/>
                <w:sz w:val="20"/>
              </w:rPr>
            </w:pPr>
            <w:r>
              <w:rPr>
                <w:rFonts w:ascii="Times New Roman" w:hAnsi="Times New Roman" w:cs="Times New Roman"/>
                <w:sz w:val="20"/>
              </w:rPr>
              <w:t>2.18</w:t>
            </w:r>
            <w:r w:rsidR="00BA6DCC" w:rsidRPr="009F5B16">
              <w:rPr>
                <w:rFonts w:ascii="Times New Roman" w:hAnsi="Times New Roman" w:cs="Times New Roman"/>
                <w:sz w:val="20"/>
              </w:rPr>
              <w:t>%</w:t>
            </w:r>
          </w:p>
        </w:tc>
        <w:tc>
          <w:tcPr>
            <w:tcW w:w="1890" w:type="dxa"/>
          </w:tcPr>
          <w:p w14:paraId="50819156" w14:textId="50BFCE9A" w:rsidR="00BA6DCC" w:rsidRPr="009F5B16" w:rsidRDefault="00F263C3" w:rsidP="00BA6DCC">
            <w:pPr>
              <w:jc w:val="right"/>
              <w:rPr>
                <w:rFonts w:ascii="Times New Roman" w:hAnsi="Times New Roman" w:cs="Times New Roman"/>
                <w:sz w:val="20"/>
              </w:rPr>
            </w:pPr>
            <w:r>
              <w:rPr>
                <w:rFonts w:ascii="Times New Roman" w:hAnsi="Times New Roman" w:cs="Times New Roman"/>
                <w:sz w:val="20"/>
              </w:rPr>
              <w:t xml:space="preserve"> 270.3</w:t>
            </w:r>
            <w:r w:rsidR="00BA6DCC" w:rsidRPr="009F5B16">
              <w:rPr>
                <w:rFonts w:ascii="Times New Roman" w:hAnsi="Times New Roman" w:cs="Times New Roman"/>
                <w:sz w:val="20"/>
              </w:rPr>
              <w:t xml:space="preserve"> </w:t>
            </w:r>
          </w:p>
        </w:tc>
        <w:tc>
          <w:tcPr>
            <w:tcW w:w="1800" w:type="dxa"/>
            <w:vAlign w:val="center"/>
          </w:tcPr>
          <w:p w14:paraId="15B17074" w14:textId="1F322A8A" w:rsidR="00BA6DCC" w:rsidRPr="009F5B16" w:rsidRDefault="00F263C3" w:rsidP="00BA6DCC">
            <w:pPr>
              <w:jc w:val="right"/>
              <w:rPr>
                <w:rFonts w:ascii="Times New Roman" w:hAnsi="Times New Roman" w:cs="Times New Roman"/>
                <w:sz w:val="20"/>
              </w:rPr>
            </w:pPr>
            <w:r>
              <w:rPr>
                <w:rFonts w:ascii="Times New Roman" w:hAnsi="Times New Roman" w:cs="Times New Roman"/>
                <w:sz w:val="20"/>
              </w:rPr>
              <w:t>4.95</w:t>
            </w:r>
            <w:r w:rsidR="00BA6DCC" w:rsidRPr="009F5B16">
              <w:rPr>
                <w:rFonts w:ascii="Times New Roman" w:hAnsi="Times New Roman" w:cs="Times New Roman"/>
                <w:sz w:val="20"/>
              </w:rPr>
              <w:t>%</w:t>
            </w:r>
          </w:p>
        </w:tc>
      </w:tr>
      <w:tr w:rsidR="00BA6DCC" w:rsidRPr="00175031" w14:paraId="34EEC698" w14:textId="77777777" w:rsidTr="0008754F">
        <w:tc>
          <w:tcPr>
            <w:tcW w:w="2358" w:type="dxa"/>
          </w:tcPr>
          <w:p w14:paraId="057E8113" w14:textId="77777777" w:rsidR="00BA6DCC" w:rsidRPr="009F5B16" w:rsidRDefault="00BA6DCC" w:rsidP="00BA6DCC">
            <w:pPr>
              <w:rPr>
                <w:rFonts w:ascii="Times New Roman" w:hAnsi="Times New Roman" w:cs="Times New Roman"/>
                <w:sz w:val="20"/>
              </w:rPr>
            </w:pPr>
            <w:r w:rsidRPr="009F5B16">
              <w:rPr>
                <w:rFonts w:ascii="Times New Roman" w:hAnsi="Times New Roman" w:cs="Times New Roman"/>
                <w:sz w:val="20"/>
              </w:rPr>
              <w:t>$600,000-$999,999</w:t>
            </w:r>
          </w:p>
        </w:tc>
        <w:tc>
          <w:tcPr>
            <w:tcW w:w="1270" w:type="dxa"/>
            <w:vAlign w:val="center"/>
          </w:tcPr>
          <w:p w14:paraId="612A573E" w14:textId="669021B5" w:rsidR="00BA6DCC" w:rsidRPr="009F5B16" w:rsidRDefault="00F263C3" w:rsidP="00BA6DCC">
            <w:pPr>
              <w:jc w:val="right"/>
              <w:rPr>
                <w:rFonts w:ascii="Times New Roman" w:hAnsi="Times New Roman" w:cs="Times New Roman"/>
                <w:sz w:val="20"/>
              </w:rPr>
            </w:pPr>
            <w:r>
              <w:rPr>
                <w:rFonts w:ascii="Times New Roman" w:hAnsi="Times New Roman" w:cs="Times New Roman"/>
                <w:sz w:val="20"/>
              </w:rPr>
              <w:t xml:space="preserve"> 304</w:t>
            </w:r>
            <w:r w:rsidR="00BA6DCC" w:rsidRPr="009F5B16">
              <w:rPr>
                <w:rFonts w:ascii="Times New Roman" w:hAnsi="Times New Roman" w:cs="Times New Roman"/>
                <w:sz w:val="20"/>
              </w:rPr>
              <w:t xml:space="preserve"> </w:t>
            </w:r>
          </w:p>
        </w:tc>
        <w:tc>
          <w:tcPr>
            <w:tcW w:w="1340" w:type="dxa"/>
            <w:vAlign w:val="center"/>
          </w:tcPr>
          <w:p w14:paraId="3061DF35" w14:textId="0F0E49B4" w:rsidR="00BA6DCC" w:rsidRPr="009F5B16" w:rsidRDefault="00BA6DCC" w:rsidP="00BA6DCC">
            <w:pPr>
              <w:jc w:val="right"/>
              <w:rPr>
                <w:rFonts w:ascii="Times New Roman" w:hAnsi="Times New Roman" w:cs="Times New Roman"/>
                <w:sz w:val="20"/>
              </w:rPr>
            </w:pPr>
            <w:r w:rsidRPr="009F5B16">
              <w:rPr>
                <w:rFonts w:ascii="Times New Roman" w:hAnsi="Times New Roman" w:cs="Times New Roman"/>
                <w:sz w:val="20"/>
              </w:rPr>
              <w:t>1.01%</w:t>
            </w:r>
          </w:p>
        </w:tc>
        <w:tc>
          <w:tcPr>
            <w:tcW w:w="1890" w:type="dxa"/>
          </w:tcPr>
          <w:p w14:paraId="35BCCD7F" w14:textId="12F00C0B" w:rsidR="00BA6DCC" w:rsidRPr="009F5B16" w:rsidRDefault="00F263C3" w:rsidP="00BA6DCC">
            <w:pPr>
              <w:jc w:val="right"/>
              <w:rPr>
                <w:rFonts w:ascii="Times New Roman" w:hAnsi="Times New Roman" w:cs="Times New Roman"/>
                <w:sz w:val="20"/>
              </w:rPr>
            </w:pPr>
            <w:r>
              <w:rPr>
                <w:rFonts w:ascii="Times New Roman" w:hAnsi="Times New Roman" w:cs="Times New Roman"/>
                <w:sz w:val="20"/>
              </w:rPr>
              <w:t xml:space="preserve"> 235.7</w:t>
            </w:r>
            <w:r w:rsidR="00BA6DCC" w:rsidRPr="009F5B16">
              <w:rPr>
                <w:rFonts w:ascii="Times New Roman" w:hAnsi="Times New Roman" w:cs="Times New Roman"/>
                <w:sz w:val="20"/>
              </w:rPr>
              <w:t xml:space="preserve"> </w:t>
            </w:r>
          </w:p>
        </w:tc>
        <w:tc>
          <w:tcPr>
            <w:tcW w:w="1800" w:type="dxa"/>
            <w:vAlign w:val="center"/>
          </w:tcPr>
          <w:p w14:paraId="2724416D" w14:textId="484606E3" w:rsidR="00BA6DCC" w:rsidRPr="009F5B16" w:rsidRDefault="00F263C3" w:rsidP="00BA6DCC">
            <w:pPr>
              <w:jc w:val="right"/>
              <w:rPr>
                <w:rFonts w:ascii="Times New Roman" w:hAnsi="Times New Roman" w:cs="Times New Roman"/>
                <w:sz w:val="20"/>
              </w:rPr>
            </w:pPr>
            <w:r>
              <w:rPr>
                <w:rFonts w:ascii="Times New Roman" w:hAnsi="Times New Roman" w:cs="Times New Roman"/>
                <w:sz w:val="20"/>
              </w:rPr>
              <w:t>4.32</w:t>
            </w:r>
            <w:r w:rsidR="00BA6DCC" w:rsidRPr="009F5B16">
              <w:rPr>
                <w:rFonts w:ascii="Times New Roman" w:hAnsi="Times New Roman" w:cs="Times New Roman"/>
                <w:sz w:val="20"/>
              </w:rPr>
              <w:t>%</w:t>
            </w:r>
          </w:p>
        </w:tc>
      </w:tr>
      <w:tr w:rsidR="00BA6DCC" w:rsidRPr="00175031" w14:paraId="531D7322" w14:textId="77777777" w:rsidTr="0008754F">
        <w:tc>
          <w:tcPr>
            <w:tcW w:w="2358" w:type="dxa"/>
          </w:tcPr>
          <w:p w14:paraId="47458072" w14:textId="77777777" w:rsidR="00BA6DCC" w:rsidRPr="009F5B16" w:rsidRDefault="00BA6DCC" w:rsidP="00BA6DCC">
            <w:pPr>
              <w:rPr>
                <w:rFonts w:ascii="Times New Roman" w:hAnsi="Times New Roman" w:cs="Times New Roman"/>
                <w:sz w:val="20"/>
              </w:rPr>
            </w:pPr>
            <w:r w:rsidRPr="009F5B16">
              <w:rPr>
                <w:rFonts w:ascii="Times New Roman" w:hAnsi="Times New Roman" w:cs="Times New Roman"/>
                <w:sz w:val="20"/>
              </w:rPr>
              <w:t>$1,000,000-$1,499,999</w:t>
            </w:r>
          </w:p>
        </w:tc>
        <w:tc>
          <w:tcPr>
            <w:tcW w:w="1270" w:type="dxa"/>
            <w:vAlign w:val="center"/>
          </w:tcPr>
          <w:p w14:paraId="505D7D57" w14:textId="794512EF" w:rsidR="00BA6DCC" w:rsidRPr="009F5B16" w:rsidRDefault="00F263C3" w:rsidP="00BA6DCC">
            <w:pPr>
              <w:jc w:val="right"/>
              <w:rPr>
                <w:rFonts w:ascii="Times New Roman" w:hAnsi="Times New Roman" w:cs="Times New Roman"/>
                <w:sz w:val="20"/>
              </w:rPr>
            </w:pPr>
            <w:r>
              <w:rPr>
                <w:rFonts w:ascii="Times New Roman" w:hAnsi="Times New Roman" w:cs="Times New Roman"/>
                <w:sz w:val="20"/>
              </w:rPr>
              <w:t>166</w:t>
            </w:r>
            <w:r w:rsidR="00BA6DCC" w:rsidRPr="009F5B16">
              <w:rPr>
                <w:rFonts w:ascii="Times New Roman" w:hAnsi="Times New Roman" w:cs="Times New Roman"/>
                <w:sz w:val="20"/>
              </w:rPr>
              <w:t xml:space="preserve"> </w:t>
            </w:r>
          </w:p>
        </w:tc>
        <w:tc>
          <w:tcPr>
            <w:tcW w:w="1340" w:type="dxa"/>
            <w:vAlign w:val="center"/>
          </w:tcPr>
          <w:p w14:paraId="2D9E49F9" w14:textId="01FF5AB4" w:rsidR="00BA6DCC" w:rsidRPr="009F5B16" w:rsidRDefault="00F263C3" w:rsidP="00BA6DCC">
            <w:pPr>
              <w:jc w:val="right"/>
              <w:rPr>
                <w:rFonts w:ascii="Times New Roman" w:hAnsi="Times New Roman" w:cs="Times New Roman"/>
                <w:sz w:val="20"/>
              </w:rPr>
            </w:pPr>
            <w:r>
              <w:rPr>
                <w:rFonts w:ascii="Times New Roman" w:hAnsi="Times New Roman" w:cs="Times New Roman"/>
                <w:sz w:val="20"/>
              </w:rPr>
              <w:t>0.55</w:t>
            </w:r>
            <w:r w:rsidR="00BA6DCC" w:rsidRPr="009F5B16">
              <w:rPr>
                <w:rFonts w:ascii="Times New Roman" w:hAnsi="Times New Roman" w:cs="Times New Roman"/>
                <w:sz w:val="20"/>
              </w:rPr>
              <w:t>%</w:t>
            </w:r>
          </w:p>
        </w:tc>
        <w:tc>
          <w:tcPr>
            <w:tcW w:w="1890" w:type="dxa"/>
          </w:tcPr>
          <w:p w14:paraId="2C88A75B" w14:textId="2F0C68EB" w:rsidR="00BA6DCC" w:rsidRPr="009F5B16" w:rsidRDefault="00F263C3" w:rsidP="00BA6DCC">
            <w:pPr>
              <w:jc w:val="right"/>
              <w:rPr>
                <w:rFonts w:ascii="Times New Roman" w:hAnsi="Times New Roman" w:cs="Times New Roman"/>
                <w:sz w:val="20"/>
              </w:rPr>
            </w:pPr>
            <w:r>
              <w:rPr>
                <w:rFonts w:ascii="Times New Roman" w:hAnsi="Times New Roman" w:cs="Times New Roman"/>
                <w:sz w:val="20"/>
              </w:rPr>
              <w:t xml:space="preserve"> 200.6</w:t>
            </w:r>
            <w:r w:rsidR="00BA6DCC" w:rsidRPr="009F5B16">
              <w:rPr>
                <w:rFonts w:ascii="Times New Roman" w:hAnsi="Times New Roman" w:cs="Times New Roman"/>
                <w:sz w:val="20"/>
              </w:rPr>
              <w:t xml:space="preserve"> </w:t>
            </w:r>
          </w:p>
        </w:tc>
        <w:tc>
          <w:tcPr>
            <w:tcW w:w="1800" w:type="dxa"/>
            <w:vAlign w:val="center"/>
          </w:tcPr>
          <w:p w14:paraId="118915FE" w14:textId="5B2E4180" w:rsidR="00BA6DCC" w:rsidRPr="009F5B16" w:rsidRDefault="00F263C3" w:rsidP="00BA6DCC">
            <w:pPr>
              <w:jc w:val="right"/>
              <w:rPr>
                <w:rFonts w:ascii="Times New Roman" w:hAnsi="Times New Roman" w:cs="Times New Roman"/>
                <w:sz w:val="20"/>
              </w:rPr>
            </w:pPr>
            <w:r>
              <w:rPr>
                <w:rFonts w:ascii="Times New Roman" w:hAnsi="Times New Roman" w:cs="Times New Roman"/>
                <w:sz w:val="20"/>
              </w:rPr>
              <w:t>3.67</w:t>
            </w:r>
            <w:r w:rsidR="00BA6DCC" w:rsidRPr="009F5B16">
              <w:rPr>
                <w:rFonts w:ascii="Times New Roman" w:hAnsi="Times New Roman" w:cs="Times New Roman"/>
                <w:sz w:val="20"/>
              </w:rPr>
              <w:t>%</w:t>
            </w:r>
          </w:p>
        </w:tc>
      </w:tr>
      <w:tr w:rsidR="00BA6DCC" w:rsidRPr="00175031" w14:paraId="52E0DC85" w14:textId="77777777" w:rsidTr="0008754F">
        <w:tc>
          <w:tcPr>
            <w:tcW w:w="2358" w:type="dxa"/>
          </w:tcPr>
          <w:p w14:paraId="2BD6D298" w14:textId="77777777" w:rsidR="00BA6DCC" w:rsidRPr="009F5B16" w:rsidRDefault="00BA6DCC" w:rsidP="00BA6DCC">
            <w:pPr>
              <w:rPr>
                <w:rFonts w:ascii="Times New Roman" w:hAnsi="Times New Roman" w:cs="Times New Roman"/>
                <w:sz w:val="20"/>
              </w:rPr>
            </w:pPr>
            <w:r w:rsidRPr="009F5B16">
              <w:rPr>
                <w:rFonts w:ascii="Times New Roman" w:hAnsi="Times New Roman" w:cs="Times New Roman"/>
                <w:sz w:val="20"/>
              </w:rPr>
              <w:t>$1,500,000-$1,999,999</w:t>
            </w:r>
          </w:p>
        </w:tc>
        <w:tc>
          <w:tcPr>
            <w:tcW w:w="1270" w:type="dxa"/>
            <w:vAlign w:val="center"/>
          </w:tcPr>
          <w:p w14:paraId="6B59D2A1" w14:textId="5F0CE503" w:rsidR="00BA6DCC" w:rsidRPr="009F5B16" w:rsidRDefault="00F263C3" w:rsidP="00BA6DCC">
            <w:pPr>
              <w:jc w:val="right"/>
              <w:rPr>
                <w:rFonts w:ascii="Times New Roman" w:hAnsi="Times New Roman" w:cs="Times New Roman"/>
                <w:sz w:val="20"/>
              </w:rPr>
            </w:pPr>
            <w:r>
              <w:rPr>
                <w:rFonts w:ascii="Times New Roman" w:hAnsi="Times New Roman" w:cs="Times New Roman"/>
                <w:sz w:val="20"/>
              </w:rPr>
              <w:t>80</w:t>
            </w:r>
            <w:r w:rsidR="00BA6DCC" w:rsidRPr="009F5B16">
              <w:rPr>
                <w:rFonts w:ascii="Times New Roman" w:hAnsi="Times New Roman" w:cs="Times New Roman"/>
                <w:sz w:val="20"/>
              </w:rPr>
              <w:t xml:space="preserve"> </w:t>
            </w:r>
          </w:p>
        </w:tc>
        <w:tc>
          <w:tcPr>
            <w:tcW w:w="1340" w:type="dxa"/>
            <w:vAlign w:val="center"/>
          </w:tcPr>
          <w:p w14:paraId="6FF25A47" w14:textId="19377A84" w:rsidR="00BA6DCC" w:rsidRPr="009F5B16" w:rsidRDefault="00F263C3" w:rsidP="00BA6DCC">
            <w:pPr>
              <w:jc w:val="right"/>
              <w:rPr>
                <w:rFonts w:ascii="Times New Roman" w:hAnsi="Times New Roman" w:cs="Times New Roman"/>
                <w:sz w:val="20"/>
              </w:rPr>
            </w:pPr>
            <w:r>
              <w:rPr>
                <w:rFonts w:ascii="Times New Roman" w:hAnsi="Times New Roman" w:cs="Times New Roman"/>
                <w:sz w:val="20"/>
              </w:rPr>
              <w:t>0.26</w:t>
            </w:r>
            <w:r w:rsidR="00BA6DCC" w:rsidRPr="009F5B16">
              <w:rPr>
                <w:rFonts w:ascii="Times New Roman" w:hAnsi="Times New Roman" w:cs="Times New Roman"/>
                <w:sz w:val="20"/>
              </w:rPr>
              <w:t>%</w:t>
            </w:r>
          </w:p>
        </w:tc>
        <w:tc>
          <w:tcPr>
            <w:tcW w:w="1890" w:type="dxa"/>
          </w:tcPr>
          <w:p w14:paraId="3F7E564C" w14:textId="4EEA460C" w:rsidR="00BA6DCC" w:rsidRPr="009F5B16" w:rsidRDefault="00F263C3" w:rsidP="00BA6DCC">
            <w:pPr>
              <w:jc w:val="right"/>
              <w:rPr>
                <w:rFonts w:ascii="Times New Roman" w:hAnsi="Times New Roman" w:cs="Times New Roman"/>
                <w:sz w:val="20"/>
              </w:rPr>
            </w:pPr>
            <w:r>
              <w:rPr>
                <w:rFonts w:ascii="Times New Roman" w:hAnsi="Times New Roman" w:cs="Times New Roman"/>
                <w:sz w:val="20"/>
              </w:rPr>
              <w:t xml:space="preserve"> 137.2</w:t>
            </w:r>
            <w:r w:rsidR="00BA6DCC" w:rsidRPr="009F5B16">
              <w:rPr>
                <w:rFonts w:ascii="Times New Roman" w:hAnsi="Times New Roman" w:cs="Times New Roman"/>
                <w:sz w:val="20"/>
              </w:rPr>
              <w:t xml:space="preserve"> </w:t>
            </w:r>
          </w:p>
        </w:tc>
        <w:tc>
          <w:tcPr>
            <w:tcW w:w="1800" w:type="dxa"/>
            <w:vAlign w:val="center"/>
          </w:tcPr>
          <w:p w14:paraId="6CC168DD" w14:textId="48F292BE" w:rsidR="00BA6DCC" w:rsidRPr="009F5B16" w:rsidRDefault="00F263C3" w:rsidP="00BA6DCC">
            <w:pPr>
              <w:jc w:val="right"/>
              <w:rPr>
                <w:rFonts w:ascii="Times New Roman" w:hAnsi="Times New Roman" w:cs="Times New Roman"/>
                <w:sz w:val="20"/>
              </w:rPr>
            </w:pPr>
            <w:r>
              <w:rPr>
                <w:rFonts w:ascii="Times New Roman" w:hAnsi="Times New Roman" w:cs="Times New Roman"/>
                <w:sz w:val="20"/>
              </w:rPr>
              <w:t>2.51</w:t>
            </w:r>
            <w:r w:rsidR="00BA6DCC" w:rsidRPr="009F5B16">
              <w:rPr>
                <w:rFonts w:ascii="Times New Roman" w:hAnsi="Times New Roman" w:cs="Times New Roman"/>
                <w:sz w:val="20"/>
              </w:rPr>
              <w:t>%</w:t>
            </w:r>
          </w:p>
        </w:tc>
      </w:tr>
      <w:tr w:rsidR="00BA6DCC" w:rsidRPr="00175031" w14:paraId="7904CBB8" w14:textId="77777777" w:rsidTr="0008754F">
        <w:tc>
          <w:tcPr>
            <w:tcW w:w="2358" w:type="dxa"/>
          </w:tcPr>
          <w:p w14:paraId="1778CC6F" w14:textId="77777777" w:rsidR="00BA6DCC" w:rsidRPr="009F5B16" w:rsidRDefault="00BA6DCC" w:rsidP="00BA6DCC">
            <w:pPr>
              <w:rPr>
                <w:rFonts w:ascii="Times New Roman" w:hAnsi="Times New Roman" w:cs="Times New Roman"/>
                <w:sz w:val="20"/>
              </w:rPr>
            </w:pPr>
            <w:r w:rsidRPr="009F5B16">
              <w:rPr>
                <w:rFonts w:ascii="Times New Roman" w:hAnsi="Times New Roman" w:cs="Times New Roman"/>
                <w:sz w:val="20"/>
              </w:rPr>
              <w:t>$2,000,000-$2,999,999</w:t>
            </w:r>
          </w:p>
        </w:tc>
        <w:tc>
          <w:tcPr>
            <w:tcW w:w="1270" w:type="dxa"/>
            <w:vAlign w:val="center"/>
          </w:tcPr>
          <w:p w14:paraId="10478A4E" w14:textId="6B2FF19A" w:rsidR="00BA6DCC" w:rsidRPr="009F5B16" w:rsidRDefault="00F263C3" w:rsidP="00BA6DCC">
            <w:pPr>
              <w:jc w:val="right"/>
              <w:rPr>
                <w:rFonts w:ascii="Times New Roman" w:hAnsi="Times New Roman" w:cs="Times New Roman"/>
                <w:sz w:val="20"/>
              </w:rPr>
            </w:pPr>
            <w:r>
              <w:rPr>
                <w:rFonts w:ascii="Times New Roman" w:hAnsi="Times New Roman" w:cs="Times New Roman"/>
                <w:sz w:val="20"/>
              </w:rPr>
              <w:t xml:space="preserve"> 97</w:t>
            </w:r>
            <w:r w:rsidR="00BA6DCC" w:rsidRPr="009F5B16">
              <w:rPr>
                <w:rFonts w:ascii="Times New Roman" w:hAnsi="Times New Roman" w:cs="Times New Roman"/>
                <w:sz w:val="20"/>
              </w:rPr>
              <w:t xml:space="preserve"> </w:t>
            </w:r>
          </w:p>
        </w:tc>
        <w:tc>
          <w:tcPr>
            <w:tcW w:w="1340" w:type="dxa"/>
            <w:vAlign w:val="center"/>
          </w:tcPr>
          <w:p w14:paraId="23918CDB" w14:textId="10486113" w:rsidR="00BA6DCC" w:rsidRPr="009F5B16" w:rsidRDefault="00F263C3" w:rsidP="00BA6DCC">
            <w:pPr>
              <w:jc w:val="right"/>
              <w:rPr>
                <w:rFonts w:ascii="Times New Roman" w:hAnsi="Times New Roman" w:cs="Times New Roman"/>
                <w:sz w:val="20"/>
              </w:rPr>
            </w:pPr>
            <w:r>
              <w:rPr>
                <w:rFonts w:ascii="Times New Roman" w:hAnsi="Times New Roman" w:cs="Times New Roman"/>
                <w:sz w:val="20"/>
              </w:rPr>
              <w:t>0.32</w:t>
            </w:r>
            <w:r w:rsidR="00BA6DCC" w:rsidRPr="009F5B16">
              <w:rPr>
                <w:rFonts w:ascii="Times New Roman" w:hAnsi="Times New Roman" w:cs="Times New Roman"/>
                <w:sz w:val="20"/>
              </w:rPr>
              <w:t>%</w:t>
            </w:r>
          </w:p>
        </w:tc>
        <w:tc>
          <w:tcPr>
            <w:tcW w:w="1890" w:type="dxa"/>
          </w:tcPr>
          <w:p w14:paraId="21D58214" w14:textId="4427DD7D" w:rsidR="00BA6DCC" w:rsidRPr="009F5B16" w:rsidRDefault="00F263C3" w:rsidP="00BA6DCC">
            <w:pPr>
              <w:jc w:val="right"/>
              <w:rPr>
                <w:rFonts w:ascii="Times New Roman" w:hAnsi="Times New Roman" w:cs="Times New Roman"/>
                <w:sz w:val="20"/>
              </w:rPr>
            </w:pPr>
            <w:r>
              <w:rPr>
                <w:rFonts w:ascii="Times New Roman" w:hAnsi="Times New Roman" w:cs="Times New Roman"/>
                <w:sz w:val="20"/>
              </w:rPr>
              <w:t xml:space="preserve"> 238.2</w:t>
            </w:r>
            <w:r w:rsidR="00BA6DCC" w:rsidRPr="009F5B16">
              <w:rPr>
                <w:rFonts w:ascii="Times New Roman" w:hAnsi="Times New Roman" w:cs="Times New Roman"/>
                <w:sz w:val="20"/>
              </w:rPr>
              <w:t xml:space="preserve"> </w:t>
            </w:r>
          </w:p>
        </w:tc>
        <w:tc>
          <w:tcPr>
            <w:tcW w:w="1800" w:type="dxa"/>
            <w:vAlign w:val="center"/>
          </w:tcPr>
          <w:p w14:paraId="16EC0EE9" w14:textId="64D504E1" w:rsidR="00BA6DCC" w:rsidRPr="009F5B16" w:rsidRDefault="00F263C3" w:rsidP="00BA6DCC">
            <w:pPr>
              <w:jc w:val="right"/>
              <w:rPr>
                <w:rFonts w:ascii="Times New Roman" w:hAnsi="Times New Roman" w:cs="Times New Roman"/>
                <w:sz w:val="20"/>
              </w:rPr>
            </w:pPr>
            <w:r>
              <w:rPr>
                <w:rFonts w:ascii="Times New Roman" w:hAnsi="Times New Roman" w:cs="Times New Roman"/>
                <w:sz w:val="20"/>
              </w:rPr>
              <w:t>4.36</w:t>
            </w:r>
            <w:r w:rsidR="00BA6DCC" w:rsidRPr="009F5B16">
              <w:rPr>
                <w:rFonts w:ascii="Times New Roman" w:hAnsi="Times New Roman" w:cs="Times New Roman"/>
                <w:sz w:val="20"/>
              </w:rPr>
              <w:t>%</w:t>
            </w:r>
          </w:p>
        </w:tc>
      </w:tr>
      <w:tr w:rsidR="00BA6DCC" w:rsidRPr="00175031" w14:paraId="14588F99" w14:textId="77777777" w:rsidTr="0008754F">
        <w:tc>
          <w:tcPr>
            <w:tcW w:w="2358" w:type="dxa"/>
          </w:tcPr>
          <w:p w14:paraId="48085232" w14:textId="77777777" w:rsidR="00BA6DCC" w:rsidRPr="009F5B16" w:rsidRDefault="00BA6DCC" w:rsidP="00BA6DCC">
            <w:pPr>
              <w:rPr>
                <w:rFonts w:ascii="Times New Roman" w:hAnsi="Times New Roman" w:cs="Times New Roman"/>
                <w:sz w:val="20"/>
              </w:rPr>
            </w:pPr>
            <w:r w:rsidRPr="009F5B16">
              <w:rPr>
                <w:rFonts w:ascii="Times New Roman" w:hAnsi="Times New Roman" w:cs="Times New Roman"/>
                <w:sz w:val="20"/>
              </w:rPr>
              <w:t>$3,000,000-$9,999,999</w:t>
            </w:r>
          </w:p>
        </w:tc>
        <w:tc>
          <w:tcPr>
            <w:tcW w:w="1270" w:type="dxa"/>
            <w:vAlign w:val="center"/>
          </w:tcPr>
          <w:p w14:paraId="024627DA" w14:textId="2D60EFDE" w:rsidR="00BA6DCC" w:rsidRPr="009F5B16" w:rsidRDefault="00F263C3" w:rsidP="00BA6DCC">
            <w:pPr>
              <w:jc w:val="right"/>
              <w:rPr>
                <w:rFonts w:ascii="Times New Roman" w:hAnsi="Times New Roman" w:cs="Times New Roman"/>
                <w:sz w:val="20"/>
              </w:rPr>
            </w:pPr>
            <w:r>
              <w:rPr>
                <w:rFonts w:ascii="Times New Roman" w:hAnsi="Times New Roman" w:cs="Times New Roman"/>
                <w:sz w:val="20"/>
              </w:rPr>
              <w:t>143</w:t>
            </w:r>
            <w:r w:rsidR="00BA6DCC" w:rsidRPr="009F5B16">
              <w:rPr>
                <w:rFonts w:ascii="Times New Roman" w:hAnsi="Times New Roman" w:cs="Times New Roman"/>
                <w:sz w:val="20"/>
              </w:rPr>
              <w:t xml:space="preserve"> </w:t>
            </w:r>
          </w:p>
        </w:tc>
        <w:tc>
          <w:tcPr>
            <w:tcW w:w="1340" w:type="dxa"/>
            <w:vAlign w:val="center"/>
          </w:tcPr>
          <w:p w14:paraId="587387F2" w14:textId="5819B5D5" w:rsidR="00BA6DCC" w:rsidRPr="009F5B16" w:rsidRDefault="00F263C3" w:rsidP="00BA6DCC">
            <w:pPr>
              <w:jc w:val="right"/>
              <w:rPr>
                <w:rFonts w:ascii="Times New Roman" w:hAnsi="Times New Roman" w:cs="Times New Roman"/>
                <w:sz w:val="20"/>
              </w:rPr>
            </w:pPr>
            <w:r>
              <w:rPr>
                <w:rFonts w:ascii="Times New Roman" w:hAnsi="Times New Roman" w:cs="Times New Roman"/>
                <w:sz w:val="20"/>
              </w:rPr>
              <w:t>0.47</w:t>
            </w:r>
            <w:r w:rsidR="00BA6DCC" w:rsidRPr="009F5B16">
              <w:rPr>
                <w:rFonts w:ascii="Times New Roman" w:hAnsi="Times New Roman" w:cs="Times New Roman"/>
                <w:sz w:val="20"/>
              </w:rPr>
              <w:t>%</w:t>
            </w:r>
          </w:p>
        </w:tc>
        <w:tc>
          <w:tcPr>
            <w:tcW w:w="1890" w:type="dxa"/>
          </w:tcPr>
          <w:p w14:paraId="63334022" w14:textId="7AF2059B" w:rsidR="00BA6DCC" w:rsidRPr="009F5B16" w:rsidRDefault="00F263C3" w:rsidP="00BA6DCC">
            <w:pPr>
              <w:jc w:val="right"/>
              <w:rPr>
                <w:rFonts w:ascii="Times New Roman" w:hAnsi="Times New Roman" w:cs="Times New Roman"/>
                <w:sz w:val="20"/>
              </w:rPr>
            </w:pPr>
            <w:r>
              <w:rPr>
                <w:rFonts w:ascii="Times New Roman" w:hAnsi="Times New Roman" w:cs="Times New Roman"/>
                <w:sz w:val="20"/>
              </w:rPr>
              <w:t xml:space="preserve"> 730.6</w:t>
            </w:r>
            <w:r w:rsidR="00BA6DCC" w:rsidRPr="009F5B16">
              <w:rPr>
                <w:rFonts w:ascii="Times New Roman" w:hAnsi="Times New Roman" w:cs="Times New Roman"/>
                <w:sz w:val="20"/>
              </w:rPr>
              <w:t xml:space="preserve"> </w:t>
            </w:r>
          </w:p>
        </w:tc>
        <w:tc>
          <w:tcPr>
            <w:tcW w:w="1800" w:type="dxa"/>
            <w:vAlign w:val="center"/>
          </w:tcPr>
          <w:p w14:paraId="40303470" w14:textId="521515ED" w:rsidR="00BA6DCC" w:rsidRPr="009F5B16" w:rsidRDefault="00F263C3" w:rsidP="00BA6DCC">
            <w:pPr>
              <w:jc w:val="right"/>
              <w:rPr>
                <w:rFonts w:ascii="Times New Roman" w:hAnsi="Times New Roman" w:cs="Times New Roman"/>
                <w:sz w:val="20"/>
              </w:rPr>
            </w:pPr>
            <w:r>
              <w:rPr>
                <w:rFonts w:ascii="Times New Roman" w:hAnsi="Times New Roman" w:cs="Times New Roman"/>
                <w:sz w:val="20"/>
              </w:rPr>
              <w:t>13.38</w:t>
            </w:r>
            <w:r w:rsidR="00BA6DCC" w:rsidRPr="009F5B16">
              <w:rPr>
                <w:rFonts w:ascii="Times New Roman" w:hAnsi="Times New Roman" w:cs="Times New Roman"/>
                <w:sz w:val="20"/>
              </w:rPr>
              <w:t>%</w:t>
            </w:r>
          </w:p>
        </w:tc>
      </w:tr>
      <w:tr w:rsidR="00BA6DCC" w:rsidRPr="00175031" w14:paraId="3AB7AE1E" w14:textId="77777777" w:rsidTr="0008754F">
        <w:tc>
          <w:tcPr>
            <w:tcW w:w="2358" w:type="dxa"/>
          </w:tcPr>
          <w:p w14:paraId="24898B12" w14:textId="77777777" w:rsidR="00BA6DCC" w:rsidRPr="009F5B16" w:rsidRDefault="00BA6DCC" w:rsidP="00BA6DCC">
            <w:pPr>
              <w:rPr>
                <w:rFonts w:ascii="Times New Roman" w:hAnsi="Times New Roman" w:cs="Times New Roman"/>
                <w:sz w:val="20"/>
              </w:rPr>
            </w:pPr>
            <w:r w:rsidRPr="009F5B16">
              <w:rPr>
                <w:rFonts w:ascii="Times New Roman" w:hAnsi="Times New Roman" w:cs="Times New Roman"/>
                <w:sz w:val="20"/>
              </w:rPr>
              <w:t>$10,000,000-$49,999,999</w:t>
            </w:r>
          </w:p>
        </w:tc>
        <w:tc>
          <w:tcPr>
            <w:tcW w:w="1270" w:type="dxa"/>
            <w:vAlign w:val="center"/>
          </w:tcPr>
          <w:p w14:paraId="4BA8E4A4" w14:textId="5492C936" w:rsidR="00BA6DCC" w:rsidRPr="009F5B16" w:rsidRDefault="00F263C3" w:rsidP="00BA6DCC">
            <w:pPr>
              <w:jc w:val="right"/>
              <w:rPr>
                <w:rFonts w:ascii="Times New Roman" w:hAnsi="Times New Roman" w:cs="Times New Roman"/>
                <w:sz w:val="20"/>
              </w:rPr>
            </w:pPr>
            <w:r>
              <w:rPr>
                <w:rFonts w:ascii="Times New Roman" w:hAnsi="Times New Roman" w:cs="Times New Roman"/>
                <w:sz w:val="20"/>
              </w:rPr>
              <w:t xml:space="preserve"> 54</w:t>
            </w:r>
            <w:r w:rsidR="00BA6DCC" w:rsidRPr="009F5B16">
              <w:rPr>
                <w:rFonts w:ascii="Times New Roman" w:hAnsi="Times New Roman" w:cs="Times New Roman"/>
                <w:sz w:val="20"/>
              </w:rPr>
              <w:t xml:space="preserve"> </w:t>
            </w:r>
          </w:p>
        </w:tc>
        <w:tc>
          <w:tcPr>
            <w:tcW w:w="1340" w:type="dxa"/>
            <w:vAlign w:val="center"/>
          </w:tcPr>
          <w:p w14:paraId="29583CC6" w14:textId="55CDB152" w:rsidR="00BA6DCC" w:rsidRPr="009F5B16" w:rsidRDefault="00F263C3" w:rsidP="00BA6DCC">
            <w:pPr>
              <w:jc w:val="right"/>
              <w:rPr>
                <w:rFonts w:ascii="Times New Roman" w:hAnsi="Times New Roman" w:cs="Times New Roman"/>
                <w:sz w:val="20"/>
              </w:rPr>
            </w:pPr>
            <w:r>
              <w:rPr>
                <w:rFonts w:ascii="Times New Roman" w:hAnsi="Times New Roman" w:cs="Times New Roman"/>
                <w:sz w:val="20"/>
              </w:rPr>
              <w:t>0.18</w:t>
            </w:r>
            <w:r w:rsidR="00BA6DCC" w:rsidRPr="009F5B16">
              <w:rPr>
                <w:rFonts w:ascii="Times New Roman" w:hAnsi="Times New Roman" w:cs="Times New Roman"/>
                <w:sz w:val="20"/>
              </w:rPr>
              <w:t>%</w:t>
            </w:r>
          </w:p>
        </w:tc>
        <w:tc>
          <w:tcPr>
            <w:tcW w:w="1890" w:type="dxa"/>
          </w:tcPr>
          <w:p w14:paraId="39203F90" w14:textId="4A122186" w:rsidR="00BA6DCC" w:rsidRPr="009F5B16" w:rsidRDefault="00F263C3" w:rsidP="00BA6DCC">
            <w:pPr>
              <w:jc w:val="right"/>
              <w:rPr>
                <w:rFonts w:ascii="Times New Roman" w:hAnsi="Times New Roman" w:cs="Times New Roman"/>
                <w:sz w:val="20"/>
              </w:rPr>
            </w:pPr>
            <w:r>
              <w:rPr>
                <w:rFonts w:ascii="Times New Roman" w:hAnsi="Times New Roman" w:cs="Times New Roman"/>
                <w:sz w:val="20"/>
              </w:rPr>
              <w:t xml:space="preserve"> 1,253.8</w:t>
            </w:r>
            <w:r w:rsidR="00BA6DCC" w:rsidRPr="009F5B16">
              <w:rPr>
                <w:rFonts w:ascii="Times New Roman" w:hAnsi="Times New Roman" w:cs="Times New Roman"/>
                <w:sz w:val="20"/>
              </w:rPr>
              <w:t xml:space="preserve"> </w:t>
            </w:r>
          </w:p>
        </w:tc>
        <w:tc>
          <w:tcPr>
            <w:tcW w:w="1800" w:type="dxa"/>
            <w:vAlign w:val="center"/>
          </w:tcPr>
          <w:p w14:paraId="253343AB" w14:textId="576E310F" w:rsidR="00BA6DCC" w:rsidRPr="009F5B16" w:rsidRDefault="00F263C3" w:rsidP="00BA6DCC">
            <w:pPr>
              <w:jc w:val="right"/>
              <w:rPr>
                <w:rFonts w:ascii="Times New Roman" w:hAnsi="Times New Roman" w:cs="Times New Roman"/>
                <w:sz w:val="20"/>
              </w:rPr>
            </w:pPr>
            <w:r>
              <w:rPr>
                <w:rFonts w:ascii="Times New Roman" w:hAnsi="Times New Roman" w:cs="Times New Roman"/>
                <w:sz w:val="20"/>
              </w:rPr>
              <w:t>22.96</w:t>
            </w:r>
            <w:r w:rsidR="00BA6DCC" w:rsidRPr="009F5B16">
              <w:rPr>
                <w:rFonts w:ascii="Times New Roman" w:hAnsi="Times New Roman" w:cs="Times New Roman"/>
                <w:sz w:val="20"/>
              </w:rPr>
              <w:t>%</w:t>
            </w:r>
          </w:p>
        </w:tc>
      </w:tr>
      <w:tr w:rsidR="00BA6DCC" w:rsidRPr="00175031" w14:paraId="48AB4872" w14:textId="77777777" w:rsidTr="0008754F">
        <w:tc>
          <w:tcPr>
            <w:tcW w:w="2358" w:type="dxa"/>
          </w:tcPr>
          <w:p w14:paraId="339F9B2D" w14:textId="77777777" w:rsidR="00BA6DCC" w:rsidRPr="009F5B16" w:rsidRDefault="00BA6DCC" w:rsidP="00BA6DCC">
            <w:pPr>
              <w:rPr>
                <w:rFonts w:ascii="Times New Roman" w:hAnsi="Times New Roman" w:cs="Times New Roman"/>
                <w:sz w:val="20"/>
              </w:rPr>
            </w:pPr>
            <w:r w:rsidRPr="009F5B16">
              <w:rPr>
                <w:rFonts w:ascii="Times New Roman" w:hAnsi="Times New Roman" w:cs="Times New Roman"/>
                <w:sz w:val="20"/>
              </w:rPr>
              <w:t>Over $50 million</w:t>
            </w:r>
          </w:p>
        </w:tc>
        <w:tc>
          <w:tcPr>
            <w:tcW w:w="1270" w:type="dxa"/>
            <w:vAlign w:val="center"/>
          </w:tcPr>
          <w:p w14:paraId="0D10E4DE" w14:textId="47478113" w:rsidR="00BA6DCC" w:rsidRPr="009F5B16" w:rsidRDefault="00BA6DCC" w:rsidP="00BA6DCC">
            <w:pPr>
              <w:jc w:val="right"/>
              <w:rPr>
                <w:rFonts w:ascii="Times New Roman" w:hAnsi="Times New Roman" w:cs="Times New Roman"/>
                <w:sz w:val="20"/>
              </w:rPr>
            </w:pPr>
            <w:r w:rsidRPr="009F5B16">
              <w:rPr>
                <w:rFonts w:ascii="Times New Roman" w:hAnsi="Times New Roman" w:cs="Times New Roman"/>
                <w:sz w:val="20"/>
              </w:rPr>
              <w:t xml:space="preserve"> 13 </w:t>
            </w:r>
          </w:p>
        </w:tc>
        <w:tc>
          <w:tcPr>
            <w:tcW w:w="1340" w:type="dxa"/>
            <w:vAlign w:val="center"/>
          </w:tcPr>
          <w:p w14:paraId="5C28D21E" w14:textId="76F929EB" w:rsidR="00BA6DCC" w:rsidRPr="009F5B16" w:rsidRDefault="00F263C3" w:rsidP="00BA6DCC">
            <w:pPr>
              <w:jc w:val="right"/>
              <w:rPr>
                <w:rFonts w:ascii="Times New Roman" w:hAnsi="Times New Roman" w:cs="Times New Roman"/>
                <w:sz w:val="20"/>
              </w:rPr>
            </w:pPr>
            <w:r>
              <w:rPr>
                <w:rFonts w:ascii="Times New Roman" w:hAnsi="Times New Roman" w:cs="Times New Roman"/>
                <w:sz w:val="20"/>
              </w:rPr>
              <w:t>0.04</w:t>
            </w:r>
            <w:r w:rsidR="00BA6DCC" w:rsidRPr="009F5B16">
              <w:rPr>
                <w:rFonts w:ascii="Times New Roman" w:hAnsi="Times New Roman" w:cs="Times New Roman"/>
                <w:sz w:val="20"/>
              </w:rPr>
              <w:t>%</w:t>
            </w:r>
          </w:p>
        </w:tc>
        <w:tc>
          <w:tcPr>
            <w:tcW w:w="1890" w:type="dxa"/>
          </w:tcPr>
          <w:p w14:paraId="2511AEF4" w14:textId="7F510F1B" w:rsidR="00BA6DCC" w:rsidRPr="009F5B16" w:rsidRDefault="00BA6DCC" w:rsidP="00BA6DCC">
            <w:pPr>
              <w:jc w:val="right"/>
              <w:rPr>
                <w:rFonts w:ascii="Times New Roman" w:hAnsi="Times New Roman" w:cs="Times New Roman"/>
                <w:sz w:val="20"/>
              </w:rPr>
            </w:pPr>
            <w:r w:rsidRPr="009F5B16">
              <w:rPr>
                <w:rFonts w:ascii="Times New Roman" w:hAnsi="Times New Roman" w:cs="Times New Roman"/>
                <w:sz w:val="20"/>
              </w:rPr>
              <w:t xml:space="preserve"> 1,606.5 </w:t>
            </w:r>
          </w:p>
        </w:tc>
        <w:tc>
          <w:tcPr>
            <w:tcW w:w="1800" w:type="dxa"/>
            <w:vAlign w:val="center"/>
          </w:tcPr>
          <w:p w14:paraId="32718941" w14:textId="3AEA62D7" w:rsidR="00BA6DCC" w:rsidRPr="009F5B16" w:rsidRDefault="00F263C3" w:rsidP="00BA6DCC">
            <w:pPr>
              <w:jc w:val="right"/>
              <w:rPr>
                <w:rFonts w:ascii="Times New Roman" w:hAnsi="Times New Roman" w:cs="Times New Roman"/>
                <w:sz w:val="20"/>
              </w:rPr>
            </w:pPr>
            <w:r>
              <w:rPr>
                <w:rFonts w:ascii="Times New Roman" w:hAnsi="Times New Roman" w:cs="Times New Roman"/>
                <w:sz w:val="20"/>
              </w:rPr>
              <w:t>29.42</w:t>
            </w:r>
            <w:r w:rsidR="00BA6DCC" w:rsidRPr="009F5B16">
              <w:rPr>
                <w:rFonts w:ascii="Times New Roman" w:hAnsi="Times New Roman" w:cs="Times New Roman"/>
                <w:sz w:val="20"/>
              </w:rPr>
              <w:t>%</w:t>
            </w:r>
          </w:p>
        </w:tc>
      </w:tr>
      <w:tr w:rsidR="004E61B5" w:rsidRPr="00175031" w14:paraId="1FE586BE" w14:textId="77777777" w:rsidTr="00E25B74">
        <w:tc>
          <w:tcPr>
            <w:tcW w:w="2358" w:type="dxa"/>
            <w:shd w:val="clear" w:color="auto" w:fill="D9D9D9" w:themeFill="background1" w:themeFillShade="D9"/>
          </w:tcPr>
          <w:p w14:paraId="6E072257" w14:textId="77777777" w:rsidR="004E61B5" w:rsidRPr="009F5B16" w:rsidRDefault="004E61B5" w:rsidP="00E25B74">
            <w:pPr>
              <w:rPr>
                <w:rFonts w:ascii="Times New Roman" w:hAnsi="Times New Roman" w:cs="Times New Roman"/>
                <w:b/>
                <w:sz w:val="20"/>
              </w:rPr>
            </w:pPr>
            <w:r w:rsidRPr="009F5B16">
              <w:rPr>
                <w:rFonts w:ascii="Times New Roman" w:hAnsi="Times New Roman" w:cs="Times New Roman"/>
                <w:b/>
                <w:sz w:val="20"/>
              </w:rPr>
              <w:t>Sub-total</w:t>
            </w:r>
          </w:p>
        </w:tc>
        <w:tc>
          <w:tcPr>
            <w:tcW w:w="1270" w:type="dxa"/>
            <w:shd w:val="clear" w:color="auto" w:fill="D9D9D9" w:themeFill="background1" w:themeFillShade="D9"/>
            <w:vAlign w:val="center"/>
          </w:tcPr>
          <w:p w14:paraId="22BD5726" w14:textId="4D5AD330" w:rsidR="004E61B5" w:rsidRPr="009F5B16" w:rsidRDefault="00F263C3" w:rsidP="00E25B74">
            <w:pPr>
              <w:jc w:val="right"/>
              <w:rPr>
                <w:rFonts w:ascii="Times New Roman" w:hAnsi="Times New Roman" w:cs="Times New Roman"/>
                <w:b/>
                <w:sz w:val="20"/>
              </w:rPr>
            </w:pPr>
            <w:r>
              <w:rPr>
                <w:rFonts w:ascii="Times New Roman" w:hAnsi="Times New Roman" w:cs="Times New Roman"/>
                <w:sz w:val="20"/>
              </w:rPr>
              <w:t>2,179</w:t>
            </w:r>
            <w:r w:rsidR="004E61B5" w:rsidRPr="009F5B16">
              <w:rPr>
                <w:rFonts w:ascii="Times New Roman" w:hAnsi="Times New Roman" w:cs="Times New Roman"/>
                <w:sz w:val="20"/>
              </w:rPr>
              <w:t xml:space="preserve"> </w:t>
            </w:r>
          </w:p>
        </w:tc>
        <w:tc>
          <w:tcPr>
            <w:tcW w:w="1340" w:type="dxa"/>
            <w:shd w:val="clear" w:color="auto" w:fill="D9D9D9" w:themeFill="background1" w:themeFillShade="D9"/>
            <w:vAlign w:val="center"/>
          </w:tcPr>
          <w:p w14:paraId="54C503E0" w14:textId="14756AA8" w:rsidR="004E61B5" w:rsidRPr="009F5B16" w:rsidRDefault="00F263C3" w:rsidP="00E25B74">
            <w:pPr>
              <w:jc w:val="right"/>
              <w:rPr>
                <w:rFonts w:ascii="Times New Roman" w:hAnsi="Times New Roman" w:cs="Times New Roman"/>
                <w:b/>
                <w:sz w:val="20"/>
              </w:rPr>
            </w:pPr>
            <w:r>
              <w:rPr>
                <w:rFonts w:ascii="Times New Roman" w:hAnsi="Times New Roman" w:cs="Times New Roman"/>
                <w:sz w:val="20"/>
              </w:rPr>
              <w:t>7.22</w:t>
            </w:r>
            <w:r w:rsidR="004E61B5" w:rsidRPr="009F5B16">
              <w:rPr>
                <w:rFonts w:ascii="Times New Roman" w:hAnsi="Times New Roman" w:cs="Times New Roman"/>
                <w:sz w:val="20"/>
              </w:rPr>
              <w:t>%</w:t>
            </w:r>
          </w:p>
        </w:tc>
        <w:tc>
          <w:tcPr>
            <w:tcW w:w="1890" w:type="dxa"/>
            <w:shd w:val="clear" w:color="auto" w:fill="D9D9D9" w:themeFill="background1" w:themeFillShade="D9"/>
            <w:vAlign w:val="center"/>
          </w:tcPr>
          <w:p w14:paraId="2532959F" w14:textId="0431F16A" w:rsidR="004E61B5" w:rsidRPr="009F5B16" w:rsidRDefault="00F263C3" w:rsidP="00E25B74">
            <w:pPr>
              <w:jc w:val="right"/>
              <w:rPr>
                <w:rFonts w:ascii="Times New Roman" w:hAnsi="Times New Roman" w:cs="Times New Roman"/>
                <w:sz w:val="20"/>
              </w:rPr>
            </w:pPr>
            <w:r>
              <w:rPr>
                <w:rFonts w:ascii="Times New Roman" w:hAnsi="Times New Roman" w:cs="Times New Roman"/>
                <w:sz w:val="20"/>
              </w:rPr>
              <w:t>4,834.1</w:t>
            </w:r>
          </w:p>
        </w:tc>
        <w:tc>
          <w:tcPr>
            <w:tcW w:w="1800" w:type="dxa"/>
            <w:shd w:val="clear" w:color="auto" w:fill="D9D9D9" w:themeFill="background1" w:themeFillShade="D9"/>
            <w:vAlign w:val="center"/>
          </w:tcPr>
          <w:p w14:paraId="20A2C829" w14:textId="1693C7C9" w:rsidR="004E61B5" w:rsidRPr="009F5B16" w:rsidRDefault="00F263C3" w:rsidP="00E25B74">
            <w:pPr>
              <w:jc w:val="right"/>
              <w:rPr>
                <w:rFonts w:ascii="Times New Roman" w:hAnsi="Times New Roman" w:cs="Times New Roman"/>
                <w:b/>
                <w:sz w:val="20"/>
              </w:rPr>
            </w:pPr>
            <w:r>
              <w:rPr>
                <w:rFonts w:ascii="Times New Roman" w:hAnsi="Times New Roman" w:cs="Times New Roman"/>
                <w:sz w:val="20"/>
              </w:rPr>
              <w:t>88.52</w:t>
            </w:r>
            <w:r w:rsidR="004E61B5" w:rsidRPr="009F5B16">
              <w:rPr>
                <w:rFonts w:ascii="Times New Roman" w:hAnsi="Times New Roman" w:cs="Times New Roman"/>
                <w:sz w:val="20"/>
              </w:rPr>
              <w:t>%</w:t>
            </w:r>
          </w:p>
        </w:tc>
      </w:tr>
      <w:tr w:rsidR="00BA6DCC" w:rsidRPr="00175031" w14:paraId="04C88EA8" w14:textId="77777777" w:rsidTr="0008754F">
        <w:tc>
          <w:tcPr>
            <w:tcW w:w="2358" w:type="dxa"/>
          </w:tcPr>
          <w:p w14:paraId="436EE331" w14:textId="77777777" w:rsidR="00BA6DCC" w:rsidRPr="009F5B16" w:rsidRDefault="00BA6DCC" w:rsidP="00BA6DCC">
            <w:pPr>
              <w:rPr>
                <w:rFonts w:ascii="Times New Roman" w:hAnsi="Times New Roman" w:cs="Times New Roman"/>
                <w:sz w:val="20"/>
              </w:rPr>
            </w:pPr>
            <w:r w:rsidRPr="009F5B16">
              <w:rPr>
                <w:rFonts w:ascii="Times New Roman" w:hAnsi="Times New Roman" w:cs="Times New Roman"/>
                <w:sz w:val="20"/>
              </w:rPr>
              <w:t>Remaining accounts</w:t>
            </w:r>
          </w:p>
        </w:tc>
        <w:tc>
          <w:tcPr>
            <w:tcW w:w="1270" w:type="dxa"/>
            <w:vAlign w:val="center"/>
          </w:tcPr>
          <w:p w14:paraId="100EA32C" w14:textId="27E432C0" w:rsidR="00BA6DCC" w:rsidRPr="009F5B16" w:rsidRDefault="00F263C3" w:rsidP="00BA6DCC">
            <w:pPr>
              <w:jc w:val="right"/>
              <w:rPr>
                <w:rFonts w:ascii="Times New Roman" w:hAnsi="Times New Roman" w:cs="Times New Roman"/>
                <w:sz w:val="20"/>
              </w:rPr>
            </w:pPr>
            <w:r>
              <w:rPr>
                <w:rFonts w:ascii="Times New Roman" w:hAnsi="Times New Roman" w:cs="Times New Roman"/>
                <w:sz w:val="20"/>
              </w:rPr>
              <w:t xml:space="preserve"> 28,016</w:t>
            </w:r>
            <w:r w:rsidR="00BA6DCC" w:rsidRPr="009F5B16">
              <w:rPr>
                <w:rFonts w:ascii="Times New Roman" w:hAnsi="Times New Roman" w:cs="Times New Roman"/>
                <w:sz w:val="20"/>
              </w:rPr>
              <w:t xml:space="preserve"> </w:t>
            </w:r>
          </w:p>
        </w:tc>
        <w:tc>
          <w:tcPr>
            <w:tcW w:w="1340" w:type="dxa"/>
            <w:vAlign w:val="center"/>
          </w:tcPr>
          <w:p w14:paraId="1C9696B1" w14:textId="6E6F318F" w:rsidR="00BA6DCC" w:rsidRPr="009F5B16" w:rsidRDefault="00BA6DCC" w:rsidP="00BA6DCC">
            <w:pPr>
              <w:jc w:val="right"/>
              <w:rPr>
                <w:rFonts w:ascii="Times New Roman" w:hAnsi="Times New Roman" w:cs="Times New Roman"/>
                <w:sz w:val="20"/>
              </w:rPr>
            </w:pPr>
            <w:r w:rsidRPr="009F5B16">
              <w:rPr>
                <w:rFonts w:ascii="Times New Roman" w:hAnsi="Times New Roman" w:cs="Times New Roman"/>
                <w:sz w:val="20"/>
              </w:rPr>
              <w:t>92.</w:t>
            </w:r>
            <w:r w:rsidR="00F263C3">
              <w:rPr>
                <w:rFonts w:ascii="Times New Roman" w:hAnsi="Times New Roman" w:cs="Times New Roman"/>
                <w:sz w:val="20"/>
              </w:rPr>
              <w:t>78</w:t>
            </w:r>
            <w:r w:rsidRPr="009F5B16">
              <w:rPr>
                <w:rFonts w:ascii="Times New Roman" w:hAnsi="Times New Roman" w:cs="Times New Roman"/>
                <w:sz w:val="20"/>
              </w:rPr>
              <w:t>%</w:t>
            </w:r>
          </w:p>
        </w:tc>
        <w:tc>
          <w:tcPr>
            <w:tcW w:w="1890" w:type="dxa"/>
          </w:tcPr>
          <w:p w14:paraId="581FD79F" w14:textId="2A29A27D" w:rsidR="00BA6DCC" w:rsidRPr="009F5B16" w:rsidRDefault="00F263C3" w:rsidP="00BA6DCC">
            <w:pPr>
              <w:jc w:val="right"/>
              <w:rPr>
                <w:rFonts w:ascii="Times New Roman" w:hAnsi="Times New Roman" w:cs="Times New Roman"/>
                <w:sz w:val="20"/>
              </w:rPr>
            </w:pPr>
            <w:r>
              <w:rPr>
                <w:rFonts w:ascii="Times New Roman" w:hAnsi="Times New Roman" w:cs="Times New Roman"/>
                <w:sz w:val="20"/>
              </w:rPr>
              <w:t xml:space="preserve"> 626.8</w:t>
            </w:r>
            <w:r w:rsidR="00BA6DCC" w:rsidRPr="009F5B16">
              <w:rPr>
                <w:rFonts w:ascii="Times New Roman" w:hAnsi="Times New Roman" w:cs="Times New Roman"/>
                <w:sz w:val="20"/>
              </w:rPr>
              <w:t xml:space="preserve"> </w:t>
            </w:r>
          </w:p>
        </w:tc>
        <w:tc>
          <w:tcPr>
            <w:tcW w:w="1800" w:type="dxa"/>
            <w:vAlign w:val="center"/>
          </w:tcPr>
          <w:p w14:paraId="589FC800" w14:textId="23D4AB67" w:rsidR="00BA6DCC" w:rsidRPr="009F5B16" w:rsidRDefault="00F263C3" w:rsidP="00BA6DCC">
            <w:pPr>
              <w:jc w:val="right"/>
              <w:rPr>
                <w:rFonts w:ascii="Times New Roman" w:hAnsi="Times New Roman" w:cs="Times New Roman"/>
                <w:sz w:val="20"/>
              </w:rPr>
            </w:pPr>
            <w:r>
              <w:rPr>
                <w:rFonts w:ascii="Times New Roman" w:hAnsi="Times New Roman" w:cs="Times New Roman"/>
                <w:sz w:val="20"/>
              </w:rPr>
              <w:t>11.48</w:t>
            </w:r>
            <w:r w:rsidR="00BA6DCC" w:rsidRPr="009F5B16">
              <w:rPr>
                <w:rFonts w:ascii="Times New Roman" w:hAnsi="Times New Roman" w:cs="Times New Roman"/>
                <w:sz w:val="20"/>
              </w:rPr>
              <w:t>%</w:t>
            </w:r>
          </w:p>
        </w:tc>
      </w:tr>
      <w:tr w:rsidR="00BA6DCC" w:rsidRPr="00175031" w14:paraId="0C75C0BB" w14:textId="77777777" w:rsidTr="0008754F">
        <w:tc>
          <w:tcPr>
            <w:tcW w:w="2358" w:type="dxa"/>
          </w:tcPr>
          <w:p w14:paraId="1D1570AA" w14:textId="77777777" w:rsidR="00BA6DCC" w:rsidRPr="009F5B16" w:rsidRDefault="00BA6DCC" w:rsidP="00BA6DCC">
            <w:pPr>
              <w:rPr>
                <w:rFonts w:ascii="Times New Roman" w:hAnsi="Times New Roman" w:cs="Times New Roman"/>
                <w:sz w:val="20"/>
              </w:rPr>
            </w:pPr>
            <w:r w:rsidRPr="009F5B16">
              <w:rPr>
                <w:rFonts w:ascii="Times New Roman" w:hAnsi="Times New Roman" w:cs="Times New Roman"/>
                <w:sz w:val="20"/>
              </w:rPr>
              <w:t>Total</w:t>
            </w:r>
          </w:p>
        </w:tc>
        <w:tc>
          <w:tcPr>
            <w:tcW w:w="1270" w:type="dxa"/>
            <w:vAlign w:val="center"/>
          </w:tcPr>
          <w:p w14:paraId="5A8FF4FC" w14:textId="4016D5D9" w:rsidR="00BA6DCC" w:rsidRPr="009F5B16" w:rsidRDefault="00F263C3" w:rsidP="00BA6DCC">
            <w:pPr>
              <w:jc w:val="right"/>
              <w:rPr>
                <w:rFonts w:ascii="Times New Roman" w:hAnsi="Times New Roman" w:cs="Times New Roman"/>
                <w:sz w:val="20"/>
              </w:rPr>
            </w:pPr>
            <w:r>
              <w:rPr>
                <w:rFonts w:ascii="Times New Roman" w:hAnsi="Times New Roman" w:cs="Times New Roman"/>
                <w:sz w:val="20"/>
              </w:rPr>
              <w:t xml:space="preserve"> 30,195</w:t>
            </w:r>
            <w:r w:rsidR="00BA6DCC" w:rsidRPr="009F5B16">
              <w:rPr>
                <w:rFonts w:ascii="Times New Roman" w:hAnsi="Times New Roman" w:cs="Times New Roman"/>
                <w:sz w:val="20"/>
              </w:rPr>
              <w:t xml:space="preserve"> </w:t>
            </w:r>
          </w:p>
        </w:tc>
        <w:tc>
          <w:tcPr>
            <w:tcW w:w="1340" w:type="dxa"/>
            <w:vAlign w:val="center"/>
          </w:tcPr>
          <w:p w14:paraId="5FB64F79" w14:textId="77777777" w:rsidR="00BA6DCC" w:rsidRPr="009F5B16" w:rsidRDefault="00BA6DCC" w:rsidP="00BA6DCC">
            <w:pPr>
              <w:jc w:val="right"/>
              <w:rPr>
                <w:rFonts w:ascii="Times New Roman" w:hAnsi="Times New Roman" w:cs="Times New Roman"/>
                <w:sz w:val="20"/>
              </w:rPr>
            </w:pPr>
            <w:r w:rsidRPr="009F5B16">
              <w:rPr>
                <w:rFonts w:ascii="Times New Roman" w:hAnsi="Times New Roman" w:cs="Times New Roman"/>
                <w:sz w:val="20"/>
              </w:rPr>
              <w:t>100.00%</w:t>
            </w:r>
          </w:p>
        </w:tc>
        <w:tc>
          <w:tcPr>
            <w:tcW w:w="1890" w:type="dxa"/>
          </w:tcPr>
          <w:p w14:paraId="7013AC52" w14:textId="5AEF1C4F" w:rsidR="00BA6DCC" w:rsidRPr="009F5B16" w:rsidRDefault="00F263C3" w:rsidP="00BA6DCC">
            <w:pPr>
              <w:jc w:val="right"/>
              <w:rPr>
                <w:rFonts w:ascii="Times New Roman" w:hAnsi="Times New Roman" w:cs="Times New Roman"/>
                <w:sz w:val="20"/>
              </w:rPr>
            </w:pPr>
            <w:r>
              <w:rPr>
                <w:rFonts w:ascii="Times New Roman" w:hAnsi="Times New Roman" w:cs="Times New Roman"/>
                <w:sz w:val="20"/>
              </w:rPr>
              <w:t>5,460.8</w:t>
            </w:r>
          </w:p>
        </w:tc>
        <w:tc>
          <w:tcPr>
            <w:tcW w:w="1800" w:type="dxa"/>
            <w:vAlign w:val="center"/>
          </w:tcPr>
          <w:p w14:paraId="3DC6BE0D" w14:textId="77777777" w:rsidR="00BA6DCC" w:rsidRPr="009F5B16" w:rsidRDefault="00BA6DCC" w:rsidP="00BA6DCC">
            <w:pPr>
              <w:jc w:val="right"/>
              <w:rPr>
                <w:rFonts w:ascii="Times New Roman" w:hAnsi="Times New Roman" w:cs="Times New Roman"/>
                <w:sz w:val="20"/>
              </w:rPr>
            </w:pPr>
            <w:r w:rsidRPr="009F5B16">
              <w:rPr>
                <w:rFonts w:ascii="Times New Roman" w:hAnsi="Times New Roman" w:cs="Times New Roman"/>
                <w:sz w:val="20"/>
              </w:rPr>
              <w:t>100.00%</w:t>
            </w:r>
          </w:p>
        </w:tc>
      </w:tr>
    </w:tbl>
    <w:p w14:paraId="1C6F8EC4" w14:textId="5DCEBBC8" w:rsidR="004E61B5" w:rsidRPr="009F5B16" w:rsidRDefault="004E61B5" w:rsidP="004E61B5">
      <w:pPr>
        <w:rPr>
          <w:rFonts w:ascii="Times New Roman" w:hAnsi="Times New Roman" w:cs="Times New Roman"/>
        </w:rPr>
      </w:pPr>
      <w:r w:rsidRPr="009F5B16">
        <w:rPr>
          <w:rFonts w:ascii="Times New Roman" w:hAnsi="Times New Roman" w:cs="Times New Roman"/>
        </w:rPr>
        <w:t xml:space="preserve">Source: 2014 Grand List from </w:t>
      </w:r>
      <w:r w:rsidR="00F263C3">
        <w:rPr>
          <w:rFonts w:ascii="Times New Roman" w:hAnsi="Times New Roman" w:cs="Times New Roman"/>
        </w:rPr>
        <w:t>13</w:t>
      </w:r>
      <w:r w:rsidRPr="009F5B16">
        <w:rPr>
          <w:rFonts w:ascii="Times New Roman" w:hAnsi="Times New Roman" w:cs="Times New Roman"/>
        </w:rPr>
        <w:t xml:space="preserve"> </w:t>
      </w:r>
      <w:r w:rsidR="004C0795" w:rsidRPr="009F5B16">
        <w:rPr>
          <w:rFonts w:ascii="Times New Roman" w:hAnsi="Times New Roman" w:cs="Times New Roman"/>
        </w:rPr>
        <w:t>assessment offices</w:t>
      </w:r>
      <w:r w:rsidRPr="009F5B16">
        <w:rPr>
          <w:rFonts w:ascii="Times New Roman" w:hAnsi="Times New Roman" w:cs="Times New Roman"/>
        </w:rPr>
        <w:t xml:space="preserve"> and calculations by the author</w:t>
      </w:r>
    </w:p>
    <w:p w14:paraId="4708CE96" w14:textId="13186D19" w:rsidR="00E81C7C" w:rsidRPr="009F5B16" w:rsidRDefault="00930405" w:rsidP="009F5B16">
      <w:pPr>
        <w:pStyle w:val="Heading2"/>
        <w:rPr>
          <w:rFonts w:ascii="Times New Roman" w:hAnsi="Times New Roman" w:cs="Times New Roman"/>
        </w:rPr>
      </w:pPr>
      <w:bookmarkStart w:id="12" w:name="_Toc434358307"/>
      <w:r w:rsidRPr="009F5B16">
        <w:rPr>
          <w:rFonts w:ascii="Times New Roman" w:hAnsi="Times New Roman" w:cs="Times New Roman"/>
        </w:rPr>
        <w:t>Comparisons with other states</w:t>
      </w:r>
      <w:r w:rsidR="00B61C7F" w:rsidRPr="009F5B16">
        <w:rPr>
          <w:rFonts w:ascii="Times New Roman" w:hAnsi="Times New Roman" w:cs="Times New Roman"/>
        </w:rPr>
        <w:t xml:space="preserve"> and within Connecticut</w:t>
      </w:r>
      <w:bookmarkEnd w:id="12"/>
    </w:p>
    <w:p w14:paraId="6DC241CD" w14:textId="517AE517" w:rsidR="00D3219D" w:rsidRPr="009F5B16" w:rsidRDefault="004E61B5" w:rsidP="009F5B16">
      <w:pPr>
        <w:jc w:val="both"/>
        <w:rPr>
          <w:rFonts w:ascii="Times New Roman" w:hAnsi="Times New Roman" w:cs="Times New Roman"/>
        </w:rPr>
      </w:pPr>
      <w:r w:rsidRPr="009F5B16">
        <w:rPr>
          <w:rFonts w:ascii="Times New Roman" w:hAnsi="Times New Roman" w:cs="Times New Roman"/>
        </w:rPr>
        <w:t>An important question is whether businesses with large investments in P</w:t>
      </w:r>
      <w:r w:rsidR="00930405" w:rsidRPr="009F5B16">
        <w:rPr>
          <w:rFonts w:ascii="Times New Roman" w:hAnsi="Times New Roman" w:cs="Times New Roman"/>
        </w:rPr>
        <w:t xml:space="preserve">ersonal </w:t>
      </w:r>
      <w:r w:rsidRPr="009F5B16">
        <w:rPr>
          <w:rFonts w:ascii="Times New Roman" w:hAnsi="Times New Roman" w:cs="Times New Roman"/>
        </w:rPr>
        <w:t>P</w:t>
      </w:r>
      <w:r w:rsidR="00930405" w:rsidRPr="009F5B16">
        <w:rPr>
          <w:rFonts w:ascii="Times New Roman" w:hAnsi="Times New Roman" w:cs="Times New Roman"/>
        </w:rPr>
        <w:t>roperty</w:t>
      </w:r>
      <w:r w:rsidR="006F5FD7" w:rsidRPr="009F5B16">
        <w:rPr>
          <w:rFonts w:ascii="Times New Roman" w:hAnsi="Times New Roman" w:cs="Times New Roman"/>
        </w:rPr>
        <w:t xml:space="preserve"> are taxed more heavily in Connecticut</w:t>
      </w:r>
      <w:r w:rsidRPr="009F5B16">
        <w:rPr>
          <w:rFonts w:ascii="Times New Roman" w:hAnsi="Times New Roman" w:cs="Times New Roman"/>
        </w:rPr>
        <w:t xml:space="preserve"> than elsewhere?</w:t>
      </w:r>
      <w:r w:rsidR="00930405" w:rsidRPr="009F5B16">
        <w:rPr>
          <w:rFonts w:ascii="Times New Roman" w:hAnsi="Times New Roman" w:cs="Times New Roman"/>
        </w:rPr>
        <w:t xml:space="preserve"> Comparing the personal property tax burden across states is very difficult, given variations in definitions, exemptions</w:t>
      </w:r>
      <w:r w:rsidR="00D3219D" w:rsidRPr="009F5B16">
        <w:rPr>
          <w:rFonts w:ascii="Times New Roman" w:hAnsi="Times New Roman" w:cs="Times New Roman"/>
        </w:rPr>
        <w:t xml:space="preserve">, valuation practices and even within state differences. </w:t>
      </w:r>
      <w:r w:rsidR="009F5B16" w:rsidRPr="009F5B16">
        <w:rPr>
          <w:rFonts w:ascii="Times New Roman" w:hAnsi="Times New Roman" w:cs="Times New Roman"/>
        </w:rPr>
        <w:fldChar w:fldCharType="begin"/>
      </w:r>
      <w:r w:rsidR="009F5B16" w:rsidRPr="009F5B16">
        <w:rPr>
          <w:rFonts w:ascii="Times New Roman" w:hAnsi="Times New Roman" w:cs="Times New Roman"/>
        </w:rPr>
        <w:instrText xml:space="preserve"> ADDIN EN.CITE &lt;EndNote&gt;&lt;Cite&gt;&lt;Author&gt;Collins&lt;/Author&gt;&lt;Year&gt;2015&lt;/Year&gt;&lt;RecNum&gt;24&lt;/RecNum&gt;&lt;DisplayText&gt;(Catherine Collins 2015)&lt;/DisplayText&gt;&lt;record&gt;&lt;rec-number&gt;24&lt;/rec-number&gt;&lt;foreign-keys&gt;&lt;key app="EN" db-id="efsrp25rfad5tverv0kv2ztwvdrzzzda2pwp" timestamp="1446587710"&gt;24&lt;/key&gt;&lt;/foreign-keys&gt;&lt;ref-type name="Journal Article"&gt;17&lt;/ref-type&gt;&lt;contributors&gt;&lt;authors&gt;&lt;author&gt;Catherine Collins&lt;/author&gt;&lt;/authors&gt;&lt;/contributors&gt;&lt;titles&gt;&lt;title&gt;The shrinking personal property tax: State approaches to exempting business personal property from local property taxes&lt;/title&gt;&lt;secondary-title&gt;Tax Management Weekly State Tax Report&lt;/secondary-title&gt;&lt;/titles&gt;&lt;periodical&gt;&lt;full-title&gt;Tax Management Weekly State Tax Report&lt;/full-title&gt;&lt;/periodical&gt;&lt;volume&gt;WSTR 1/9/2015&lt;/volume&gt;&lt;dates&gt;&lt;year&gt;2015&lt;/year&gt;&lt;/dates&gt;&lt;urls&gt;&lt;/urls&gt;&lt;/record&gt;&lt;/Cite&gt;&lt;/EndNote&gt;</w:instrText>
      </w:r>
      <w:r w:rsidR="009F5B16" w:rsidRPr="009F5B16">
        <w:rPr>
          <w:rFonts w:ascii="Times New Roman" w:hAnsi="Times New Roman" w:cs="Times New Roman"/>
        </w:rPr>
        <w:fldChar w:fldCharType="separate"/>
      </w:r>
      <w:r w:rsidR="009F5B16" w:rsidRPr="009F5B16">
        <w:rPr>
          <w:rFonts w:ascii="Times New Roman" w:hAnsi="Times New Roman" w:cs="Times New Roman"/>
          <w:noProof/>
        </w:rPr>
        <w:t>(Catherine Collins 2015)</w:t>
      </w:r>
      <w:r w:rsidR="009F5B16" w:rsidRPr="009F5B16">
        <w:rPr>
          <w:rFonts w:ascii="Times New Roman" w:hAnsi="Times New Roman" w:cs="Times New Roman"/>
        </w:rPr>
        <w:fldChar w:fldCharType="end"/>
      </w:r>
      <w:r w:rsidR="00D3219D" w:rsidRPr="009F5B16">
        <w:rPr>
          <w:rFonts w:ascii="Times New Roman" w:hAnsi="Times New Roman" w:cs="Times New Roman"/>
        </w:rPr>
        <w:t xml:space="preserve"> </w:t>
      </w:r>
    </w:p>
    <w:p w14:paraId="53C85D6C" w14:textId="2D439562" w:rsidR="00D3219D" w:rsidRPr="009F5B16" w:rsidRDefault="00D3219D" w:rsidP="009F5B16">
      <w:pPr>
        <w:jc w:val="both"/>
        <w:rPr>
          <w:rFonts w:ascii="Times New Roman" w:hAnsi="Times New Roman" w:cs="Times New Roman"/>
        </w:rPr>
      </w:pPr>
      <w:r w:rsidRPr="009F5B16">
        <w:rPr>
          <w:rFonts w:ascii="Times New Roman" w:hAnsi="Times New Roman" w:cs="Times New Roman"/>
        </w:rPr>
        <w:t xml:space="preserve">One way that comparisons can be made is to use a standard business configuration that includes both real and personal property and then calculate the total tax obligation in several specific jurisdictions. This is the approach taken by </w:t>
      </w:r>
      <w:r w:rsidR="006F5FD7" w:rsidRPr="009F5B16">
        <w:rPr>
          <w:rFonts w:ascii="Times New Roman" w:hAnsi="Times New Roman" w:cs="Times New Roman"/>
        </w:rPr>
        <w:t>t</w:t>
      </w:r>
      <w:r w:rsidR="00930405" w:rsidRPr="009F5B16">
        <w:rPr>
          <w:rFonts w:ascii="Times New Roman" w:hAnsi="Times New Roman" w:cs="Times New Roman"/>
        </w:rPr>
        <w:t xml:space="preserve">he Minnesota </w:t>
      </w:r>
      <w:r w:rsidRPr="009F5B16">
        <w:rPr>
          <w:rFonts w:ascii="Times New Roman" w:hAnsi="Times New Roman" w:cs="Times New Roman"/>
        </w:rPr>
        <w:t>Center for Fiscal Excellence</w:t>
      </w:r>
      <w:r w:rsidR="00930405" w:rsidRPr="009F5B16">
        <w:rPr>
          <w:rFonts w:ascii="Times New Roman" w:hAnsi="Times New Roman" w:cs="Times New Roman"/>
        </w:rPr>
        <w:t xml:space="preserve"> and the Lincoln Institute of Land Policy</w:t>
      </w:r>
      <w:r w:rsidRPr="009F5B16">
        <w:rPr>
          <w:rFonts w:ascii="Times New Roman" w:hAnsi="Times New Roman" w:cs="Times New Roman"/>
        </w:rPr>
        <w:t xml:space="preserve">. </w:t>
      </w:r>
      <w:r w:rsidR="00930405" w:rsidRPr="009F5B16">
        <w:rPr>
          <w:rFonts w:ascii="Times New Roman" w:hAnsi="Times New Roman" w:cs="Times New Roman"/>
        </w:rPr>
        <w:t xml:space="preserve"> </w:t>
      </w:r>
      <w:r w:rsidRPr="009F5B16">
        <w:rPr>
          <w:rFonts w:ascii="Times New Roman" w:hAnsi="Times New Roman" w:cs="Times New Roman"/>
        </w:rPr>
        <w:t xml:space="preserve">The two organizations partner to </w:t>
      </w:r>
      <w:r w:rsidR="00930405" w:rsidRPr="009F5B16">
        <w:rPr>
          <w:rFonts w:ascii="Times New Roman" w:hAnsi="Times New Roman" w:cs="Times New Roman"/>
        </w:rPr>
        <w:t>produce an annual study making comparisons between large cities in each state. The following tables are extracted from the</w:t>
      </w:r>
      <w:r w:rsidR="006F5FD7" w:rsidRPr="009F5B16">
        <w:rPr>
          <w:rFonts w:ascii="Times New Roman" w:hAnsi="Times New Roman" w:cs="Times New Roman"/>
        </w:rPr>
        <w:t>ir</w:t>
      </w:r>
      <w:r w:rsidR="00930405" w:rsidRPr="009F5B16">
        <w:rPr>
          <w:rFonts w:ascii="Times New Roman" w:hAnsi="Times New Roman" w:cs="Times New Roman"/>
        </w:rPr>
        <w:t xml:space="preserve"> most recent study. </w:t>
      </w:r>
      <w:r w:rsidR="009F5B16" w:rsidRPr="009F5B16">
        <w:rPr>
          <w:rFonts w:ascii="Times New Roman" w:hAnsi="Times New Roman" w:cs="Times New Roman"/>
        </w:rPr>
        <w:fldChar w:fldCharType="begin"/>
      </w:r>
      <w:r w:rsidR="009F5B16" w:rsidRPr="009F5B16">
        <w:rPr>
          <w:rFonts w:ascii="Times New Roman" w:hAnsi="Times New Roman" w:cs="Times New Roman"/>
        </w:rPr>
        <w:instrText xml:space="preserve"> ADDIN EN.CITE &lt;EndNote&gt;&lt;Cite&gt;&lt;Author&gt;LILP/MCFE&lt;/Author&gt;&lt;Year&gt;2015&lt;/Year&gt;&lt;RecNum&gt;28&lt;/RecNum&gt;&lt;DisplayText&gt;(LILP/MCFE 2015)&lt;/DisplayText&gt;&lt;record&gt;&lt;rec-number&gt;28&lt;/rec-number&gt;&lt;foreign-keys&gt;&lt;key app="EN" db-id="efsrp25rfad5tverv0kv2ztwvdrzzzda2pwp" timestamp="1446588008"&gt;28&lt;/key&gt;&lt;/foreign-keys&gt;&lt;ref-type name="Book"&gt;6&lt;/ref-type&gt;&lt;contributors&gt;&lt;authors&gt;&lt;author&gt;LILP/MCFE,&lt;/author&gt;&lt;/authors&gt;&lt;/contributors&gt;&lt;titles&gt;&lt;title&gt;50-State Property Tax Comparison Study&lt;/title&gt;&lt;/titles&gt;&lt;dates&gt;&lt;year&gt;2015&lt;/year&gt;&lt;/dates&gt;&lt;pub-location&gt;Cambridge, MA; Saint Paul, MN&lt;/pub-location&gt;&lt;publisher&gt;Lincoln Institute of Land Policy and Minnesota Center for Fiscal Excellence &lt;/publisher&gt;&lt;urls&gt;&lt;/urls&gt;&lt;/record&gt;&lt;/Cite&gt;&lt;/EndNote&gt;</w:instrText>
      </w:r>
      <w:r w:rsidR="009F5B16" w:rsidRPr="009F5B16">
        <w:rPr>
          <w:rFonts w:ascii="Times New Roman" w:hAnsi="Times New Roman" w:cs="Times New Roman"/>
        </w:rPr>
        <w:fldChar w:fldCharType="separate"/>
      </w:r>
      <w:r w:rsidR="009F5B16" w:rsidRPr="009F5B16">
        <w:rPr>
          <w:rFonts w:ascii="Times New Roman" w:hAnsi="Times New Roman" w:cs="Times New Roman"/>
          <w:noProof/>
        </w:rPr>
        <w:t>(LILP/MCFE 2015)</w:t>
      </w:r>
      <w:r w:rsidR="009F5B16" w:rsidRPr="009F5B16">
        <w:rPr>
          <w:rFonts w:ascii="Times New Roman" w:hAnsi="Times New Roman" w:cs="Times New Roman"/>
        </w:rPr>
        <w:fldChar w:fldCharType="end"/>
      </w:r>
      <w:r w:rsidRPr="009F5B16">
        <w:rPr>
          <w:rFonts w:ascii="Times New Roman" w:hAnsi="Times New Roman" w:cs="Times New Roman"/>
        </w:rPr>
        <w:t xml:space="preserve"> </w:t>
      </w:r>
    </w:p>
    <w:p w14:paraId="231E4F59" w14:textId="1A52C546" w:rsidR="00930405" w:rsidRDefault="00930405" w:rsidP="00FE0582">
      <w:pPr>
        <w:jc w:val="both"/>
        <w:rPr>
          <w:rFonts w:ascii="Times New Roman" w:hAnsi="Times New Roman" w:cs="Times New Roman"/>
        </w:rPr>
      </w:pPr>
      <w:r w:rsidRPr="00FE0582">
        <w:rPr>
          <w:rFonts w:ascii="Times New Roman" w:hAnsi="Times New Roman" w:cs="Times New Roman"/>
        </w:rPr>
        <w:t xml:space="preserve">Table </w:t>
      </w:r>
      <w:r w:rsidR="009F5B16" w:rsidRPr="00FE0582">
        <w:rPr>
          <w:rFonts w:ascii="Times New Roman" w:hAnsi="Times New Roman" w:cs="Times New Roman"/>
        </w:rPr>
        <w:t>7</w:t>
      </w:r>
      <w:r w:rsidR="00D3219D" w:rsidRPr="00FE0582">
        <w:rPr>
          <w:rFonts w:ascii="Times New Roman" w:hAnsi="Times New Roman" w:cs="Times New Roman"/>
        </w:rPr>
        <w:t xml:space="preserve"> </w:t>
      </w:r>
      <w:r w:rsidRPr="00FE0582">
        <w:rPr>
          <w:rFonts w:ascii="Times New Roman" w:hAnsi="Times New Roman" w:cs="Times New Roman"/>
        </w:rPr>
        <w:t xml:space="preserve">compares a </w:t>
      </w:r>
      <w:r w:rsidRPr="00FE0582">
        <w:rPr>
          <w:rFonts w:ascii="Times New Roman" w:hAnsi="Times New Roman" w:cs="Times New Roman"/>
          <w:b/>
        </w:rPr>
        <w:t xml:space="preserve">hypothetical </w:t>
      </w:r>
      <w:r w:rsidRPr="00FE0582">
        <w:rPr>
          <w:rFonts w:ascii="Times New Roman" w:hAnsi="Times New Roman" w:cs="Times New Roman"/>
        </w:rPr>
        <w:t>commercial property with $1 million in current real estate market value and $200,000 in fixtures. The total property tax o</w:t>
      </w:r>
      <w:r w:rsidR="006F5FD7" w:rsidRPr="00FE0582">
        <w:rPr>
          <w:rFonts w:ascii="Times New Roman" w:hAnsi="Times New Roman" w:cs="Times New Roman"/>
        </w:rPr>
        <w:t>bligation is compared because the</w:t>
      </w:r>
      <w:r w:rsidRPr="00FE0582">
        <w:rPr>
          <w:rFonts w:ascii="Times New Roman" w:hAnsi="Times New Roman" w:cs="Times New Roman"/>
        </w:rPr>
        <w:t xml:space="preserve"> differences in valuation practices and base definitions, as well as different rates, can be quite </w:t>
      </w:r>
      <w:r w:rsidR="00D3219D" w:rsidRPr="00FE0582">
        <w:rPr>
          <w:rFonts w:ascii="Times New Roman" w:hAnsi="Times New Roman" w:cs="Times New Roman"/>
        </w:rPr>
        <w:t xml:space="preserve">confusing. As a result, the </w:t>
      </w:r>
      <w:r w:rsidR="00403E2E">
        <w:rPr>
          <w:rFonts w:ascii="Times New Roman" w:hAnsi="Times New Roman" w:cs="Times New Roman"/>
        </w:rPr>
        <w:t xml:space="preserve">Lincoln Institute/Minnesota </w:t>
      </w:r>
      <w:r w:rsidRPr="00FE0582">
        <w:rPr>
          <w:rFonts w:ascii="Times New Roman" w:hAnsi="Times New Roman" w:cs="Times New Roman"/>
        </w:rPr>
        <w:t xml:space="preserve">study compares the total statutory tax obligation. </w:t>
      </w:r>
    </w:p>
    <w:p w14:paraId="5CD6BCBB" w14:textId="57796049" w:rsidR="00930405" w:rsidRPr="00FE0582" w:rsidRDefault="009F5B16" w:rsidP="00D3219D">
      <w:pPr>
        <w:jc w:val="center"/>
        <w:rPr>
          <w:rFonts w:ascii="Times New Roman" w:hAnsi="Times New Roman" w:cs="Times New Roman"/>
          <w:b/>
        </w:rPr>
      </w:pPr>
      <w:r w:rsidRPr="00FE0582">
        <w:rPr>
          <w:rFonts w:ascii="Times New Roman" w:hAnsi="Times New Roman" w:cs="Times New Roman"/>
          <w:b/>
        </w:rPr>
        <w:t>Table 7</w:t>
      </w:r>
      <w:r w:rsidR="00930405" w:rsidRPr="00FE0582">
        <w:rPr>
          <w:rFonts w:ascii="Times New Roman" w:hAnsi="Times New Roman" w:cs="Times New Roman"/>
          <w:b/>
        </w:rPr>
        <w:t>: Comparative property tax obligations for $1 million in commercial real property and $200,000 in fixtures, payable in 2014</w:t>
      </w:r>
    </w:p>
    <w:tbl>
      <w:tblPr>
        <w:tblStyle w:val="TableGrid"/>
        <w:tblW w:w="0" w:type="auto"/>
        <w:jc w:val="center"/>
        <w:tblLook w:val="04A0" w:firstRow="1" w:lastRow="0" w:firstColumn="1" w:lastColumn="0" w:noHBand="0" w:noVBand="1"/>
      </w:tblPr>
      <w:tblGrid>
        <w:gridCol w:w="1811"/>
        <w:gridCol w:w="2428"/>
        <w:gridCol w:w="968"/>
        <w:gridCol w:w="2034"/>
        <w:gridCol w:w="1531"/>
      </w:tblGrid>
      <w:tr w:rsidR="00930405" w:rsidRPr="00D77A48" w14:paraId="46A9E84E" w14:textId="77777777" w:rsidTr="00403E2E">
        <w:trPr>
          <w:tblHeader/>
          <w:jc w:val="center"/>
        </w:trPr>
        <w:tc>
          <w:tcPr>
            <w:tcW w:w="0" w:type="auto"/>
          </w:tcPr>
          <w:p w14:paraId="35134300" w14:textId="77777777" w:rsidR="00930405" w:rsidRPr="00FE0582" w:rsidRDefault="00930405" w:rsidP="00E25B74">
            <w:pPr>
              <w:rPr>
                <w:rFonts w:ascii="Times New Roman" w:hAnsi="Times New Roman" w:cs="Times New Roman"/>
                <w:b/>
              </w:rPr>
            </w:pPr>
            <w:r w:rsidRPr="00FE0582">
              <w:rPr>
                <w:rFonts w:ascii="Times New Roman" w:hAnsi="Times New Roman" w:cs="Times New Roman"/>
                <w:b/>
              </w:rPr>
              <w:t>State</w:t>
            </w:r>
          </w:p>
        </w:tc>
        <w:tc>
          <w:tcPr>
            <w:tcW w:w="0" w:type="auto"/>
          </w:tcPr>
          <w:p w14:paraId="3EFE3483" w14:textId="77777777" w:rsidR="00930405" w:rsidRPr="00FE0582" w:rsidRDefault="00930405" w:rsidP="00E25B74">
            <w:pPr>
              <w:rPr>
                <w:rFonts w:ascii="Times New Roman" w:hAnsi="Times New Roman" w:cs="Times New Roman"/>
                <w:b/>
              </w:rPr>
            </w:pPr>
            <w:r w:rsidRPr="00FE0582">
              <w:rPr>
                <w:rFonts w:ascii="Times New Roman" w:hAnsi="Times New Roman" w:cs="Times New Roman"/>
                <w:b/>
              </w:rPr>
              <w:t>City</w:t>
            </w:r>
          </w:p>
        </w:tc>
        <w:tc>
          <w:tcPr>
            <w:tcW w:w="0" w:type="auto"/>
          </w:tcPr>
          <w:p w14:paraId="39315371" w14:textId="77777777" w:rsidR="00930405" w:rsidRPr="00FE0582" w:rsidRDefault="00930405" w:rsidP="00E25B74">
            <w:pPr>
              <w:rPr>
                <w:rFonts w:ascii="Times New Roman" w:hAnsi="Times New Roman" w:cs="Times New Roman"/>
                <w:b/>
              </w:rPr>
            </w:pPr>
            <w:r w:rsidRPr="00FE0582">
              <w:rPr>
                <w:rFonts w:ascii="Times New Roman" w:hAnsi="Times New Roman" w:cs="Times New Roman"/>
                <w:b/>
              </w:rPr>
              <w:t>Net Tax</w:t>
            </w:r>
          </w:p>
        </w:tc>
        <w:tc>
          <w:tcPr>
            <w:tcW w:w="0" w:type="auto"/>
          </w:tcPr>
          <w:p w14:paraId="345AE553" w14:textId="73CAE703" w:rsidR="00930405" w:rsidRPr="00FE0582" w:rsidRDefault="00930405" w:rsidP="00E25B74">
            <w:pPr>
              <w:rPr>
                <w:rFonts w:ascii="Times New Roman" w:hAnsi="Times New Roman" w:cs="Times New Roman"/>
                <w:b/>
              </w:rPr>
            </w:pPr>
            <w:r w:rsidRPr="00FE0582">
              <w:rPr>
                <w:rFonts w:ascii="Times New Roman" w:hAnsi="Times New Roman" w:cs="Times New Roman"/>
                <w:b/>
              </w:rPr>
              <w:t>Effective Tax Rate</w:t>
            </w:r>
            <w:r w:rsidR="00B61C7F" w:rsidRPr="00FE0582">
              <w:rPr>
                <w:rStyle w:val="FootnoteReference"/>
                <w:rFonts w:ascii="Times New Roman" w:hAnsi="Times New Roman" w:cs="Times New Roman"/>
                <w:b/>
              </w:rPr>
              <w:footnoteReference w:id="7"/>
            </w:r>
          </w:p>
        </w:tc>
        <w:tc>
          <w:tcPr>
            <w:tcW w:w="0" w:type="auto"/>
          </w:tcPr>
          <w:p w14:paraId="1E1C81BD" w14:textId="77777777" w:rsidR="00930405" w:rsidRPr="00FE0582" w:rsidRDefault="00930405" w:rsidP="00E25B74">
            <w:pPr>
              <w:rPr>
                <w:rFonts w:ascii="Times New Roman" w:hAnsi="Times New Roman" w:cs="Times New Roman"/>
                <w:b/>
              </w:rPr>
            </w:pPr>
            <w:r w:rsidRPr="00FE0582">
              <w:rPr>
                <w:rFonts w:ascii="Times New Roman" w:hAnsi="Times New Roman" w:cs="Times New Roman"/>
                <w:b/>
              </w:rPr>
              <w:t>National rank</w:t>
            </w:r>
          </w:p>
        </w:tc>
      </w:tr>
      <w:tr w:rsidR="00930405" w:rsidRPr="00D77A48" w14:paraId="1D0044D0" w14:textId="77777777" w:rsidTr="00D3219D">
        <w:trPr>
          <w:jc w:val="center"/>
        </w:trPr>
        <w:tc>
          <w:tcPr>
            <w:tcW w:w="0" w:type="auto"/>
            <w:gridSpan w:val="5"/>
            <w:shd w:val="clear" w:color="auto" w:fill="D9D9D9" w:themeFill="background1" w:themeFillShade="D9"/>
            <w:vAlign w:val="center"/>
          </w:tcPr>
          <w:p w14:paraId="7F41DE76" w14:textId="77777777" w:rsidR="00930405" w:rsidRPr="00FE0582" w:rsidRDefault="00930405" w:rsidP="00E25B74">
            <w:pPr>
              <w:jc w:val="center"/>
              <w:rPr>
                <w:rFonts w:ascii="Times New Roman" w:hAnsi="Times New Roman" w:cs="Times New Roman"/>
              </w:rPr>
            </w:pPr>
            <w:r w:rsidRPr="00FE0582">
              <w:rPr>
                <w:rFonts w:ascii="Times New Roman" w:hAnsi="Times New Roman" w:cs="Times New Roman"/>
              </w:rPr>
              <w:t>Urban property</w:t>
            </w:r>
          </w:p>
        </w:tc>
      </w:tr>
      <w:tr w:rsidR="00930405" w:rsidRPr="00D77A48" w14:paraId="0C899B4D" w14:textId="77777777" w:rsidTr="00D3219D">
        <w:trPr>
          <w:jc w:val="center"/>
        </w:trPr>
        <w:tc>
          <w:tcPr>
            <w:tcW w:w="0" w:type="auto"/>
          </w:tcPr>
          <w:p w14:paraId="2E5CA16D"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New York</w:t>
            </w:r>
          </w:p>
        </w:tc>
        <w:tc>
          <w:tcPr>
            <w:tcW w:w="0" w:type="auto"/>
          </w:tcPr>
          <w:p w14:paraId="32A99F7A"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New York City</w:t>
            </w:r>
          </w:p>
        </w:tc>
        <w:tc>
          <w:tcPr>
            <w:tcW w:w="0" w:type="auto"/>
            <w:vAlign w:val="center"/>
          </w:tcPr>
          <w:p w14:paraId="3057CCBC"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 xml:space="preserve"> 47,597 </w:t>
            </w:r>
          </w:p>
        </w:tc>
        <w:tc>
          <w:tcPr>
            <w:tcW w:w="0" w:type="auto"/>
            <w:vAlign w:val="center"/>
          </w:tcPr>
          <w:p w14:paraId="335611BA"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3.966%</w:t>
            </w:r>
          </w:p>
        </w:tc>
        <w:tc>
          <w:tcPr>
            <w:tcW w:w="0" w:type="auto"/>
            <w:vAlign w:val="center"/>
          </w:tcPr>
          <w:p w14:paraId="07F2E6B6" w14:textId="77777777" w:rsidR="00930405" w:rsidRPr="00FE0582" w:rsidRDefault="00930405" w:rsidP="00E25B74">
            <w:pPr>
              <w:jc w:val="center"/>
              <w:rPr>
                <w:rFonts w:ascii="Times New Roman" w:hAnsi="Times New Roman" w:cs="Times New Roman"/>
              </w:rPr>
            </w:pPr>
            <w:r w:rsidRPr="00FE0582">
              <w:rPr>
                <w:rFonts w:ascii="Times New Roman" w:hAnsi="Times New Roman" w:cs="Times New Roman"/>
              </w:rPr>
              <w:t>2</w:t>
            </w:r>
          </w:p>
        </w:tc>
      </w:tr>
      <w:tr w:rsidR="00930405" w:rsidRPr="00D77A48" w14:paraId="27B62EB7" w14:textId="77777777" w:rsidTr="00D3219D">
        <w:trPr>
          <w:jc w:val="center"/>
        </w:trPr>
        <w:tc>
          <w:tcPr>
            <w:tcW w:w="0" w:type="auto"/>
          </w:tcPr>
          <w:p w14:paraId="1617A1E1"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Rhode Island</w:t>
            </w:r>
          </w:p>
        </w:tc>
        <w:tc>
          <w:tcPr>
            <w:tcW w:w="0" w:type="auto"/>
          </w:tcPr>
          <w:p w14:paraId="23AA0477"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Providence</w:t>
            </w:r>
          </w:p>
        </w:tc>
        <w:tc>
          <w:tcPr>
            <w:tcW w:w="0" w:type="auto"/>
            <w:vAlign w:val="center"/>
          </w:tcPr>
          <w:p w14:paraId="4C7A06E5"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 xml:space="preserve"> 43,757 </w:t>
            </w:r>
          </w:p>
        </w:tc>
        <w:tc>
          <w:tcPr>
            <w:tcW w:w="0" w:type="auto"/>
            <w:vAlign w:val="center"/>
          </w:tcPr>
          <w:p w14:paraId="00676BD7"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3.646%</w:t>
            </w:r>
          </w:p>
        </w:tc>
        <w:tc>
          <w:tcPr>
            <w:tcW w:w="0" w:type="auto"/>
            <w:vAlign w:val="center"/>
          </w:tcPr>
          <w:p w14:paraId="1AA0D91F" w14:textId="77777777" w:rsidR="00930405" w:rsidRPr="00FE0582" w:rsidRDefault="00930405" w:rsidP="00E25B74">
            <w:pPr>
              <w:jc w:val="center"/>
              <w:rPr>
                <w:rFonts w:ascii="Times New Roman" w:hAnsi="Times New Roman" w:cs="Times New Roman"/>
              </w:rPr>
            </w:pPr>
            <w:r w:rsidRPr="00FE0582">
              <w:rPr>
                <w:rFonts w:ascii="Times New Roman" w:hAnsi="Times New Roman" w:cs="Times New Roman"/>
              </w:rPr>
              <w:t>4</w:t>
            </w:r>
          </w:p>
        </w:tc>
      </w:tr>
      <w:tr w:rsidR="00930405" w:rsidRPr="00D77A48" w14:paraId="49D378CB" w14:textId="77777777" w:rsidTr="00D3219D">
        <w:trPr>
          <w:jc w:val="center"/>
        </w:trPr>
        <w:tc>
          <w:tcPr>
            <w:tcW w:w="0" w:type="auto"/>
          </w:tcPr>
          <w:p w14:paraId="132AEA05" w14:textId="77777777" w:rsidR="00930405" w:rsidRPr="00FE0582" w:rsidRDefault="00930405" w:rsidP="00E25B74">
            <w:pPr>
              <w:rPr>
                <w:rFonts w:ascii="Times New Roman" w:hAnsi="Times New Roman" w:cs="Times New Roman"/>
                <w:b/>
              </w:rPr>
            </w:pPr>
            <w:r w:rsidRPr="00FE0582">
              <w:rPr>
                <w:rFonts w:ascii="Times New Roman" w:hAnsi="Times New Roman" w:cs="Times New Roman"/>
                <w:b/>
              </w:rPr>
              <w:t>Connecticut</w:t>
            </w:r>
          </w:p>
        </w:tc>
        <w:tc>
          <w:tcPr>
            <w:tcW w:w="0" w:type="auto"/>
          </w:tcPr>
          <w:p w14:paraId="70608F11" w14:textId="77777777" w:rsidR="00930405" w:rsidRPr="00FE0582" w:rsidRDefault="00930405" w:rsidP="00E25B74">
            <w:pPr>
              <w:rPr>
                <w:rFonts w:ascii="Times New Roman" w:hAnsi="Times New Roman" w:cs="Times New Roman"/>
                <w:b/>
              </w:rPr>
            </w:pPr>
            <w:r w:rsidRPr="00FE0582">
              <w:rPr>
                <w:rFonts w:ascii="Times New Roman" w:hAnsi="Times New Roman" w:cs="Times New Roman"/>
                <w:b/>
              </w:rPr>
              <w:t>Bridgeport</w:t>
            </w:r>
          </w:p>
        </w:tc>
        <w:tc>
          <w:tcPr>
            <w:tcW w:w="0" w:type="auto"/>
            <w:vAlign w:val="center"/>
          </w:tcPr>
          <w:p w14:paraId="435D636E" w14:textId="77777777" w:rsidR="00930405" w:rsidRPr="00FE0582" w:rsidRDefault="00930405" w:rsidP="00E25B74">
            <w:pPr>
              <w:jc w:val="right"/>
              <w:rPr>
                <w:rFonts w:ascii="Times New Roman" w:hAnsi="Times New Roman" w:cs="Times New Roman"/>
                <w:b/>
              </w:rPr>
            </w:pPr>
            <w:r w:rsidRPr="00FE0582">
              <w:rPr>
                <w:rFonts w:ascii="Times New Roman" w:hAnsi="Times New Roman" w:cs="Times New Roman"/>
                <w:b/>
              </w:rPr>
              <w:t xml:space="preserve"> 40,978 </w:t>
            </w:r>
          </w:p>
        </w:tc>
        <w:tc>
          <w:tcPr>
            <w:tcW w:w="0" w:type="auto"/>
            <w:vAlign w:val="center"/>
          </w:tcPr>
          <w:p w14:paraId="70BC4E4C" w14:textId="77777777" w:rsidR="00930405" w:rsidRPr="00FE0582" w:rsidRDefault="00930405" w:rsidP="00E25B74">
            <w:pPr>
              <w:jc w:val="right"/>
              <w:rPr>
                <w:rFonts w:ascii="Times New Roman" w:hAnsi="Times New Roman" w:cs="Times New Roman"/>
                <w:b/>
              </w:rPr>
            </w:pPr>
            <w:r w:rsidRPr="00FE0582">
              <w:rPr>
                <w:rFonts w:ascii="Times New Roman" w:hAnsi="Times New Roman" w:cs="Times New Roman"/>
                <w:b/>
              </w:rPr>
              <w:t>3.415%</w:t>
            </w:r>
          </w:p>
        </w:tc>
        <w:tc>
          <w:tcPr>
            <w:tcW w:w="0" w:type="auto"/>
            <w:vAlign w:val="center"/>
          </w:tcPr>
          <w:p w14:paraId="0314A390" w14:textId="77777777" w:rsidR="00930405" w:rsidRPr="00FE0582" w:rsidRDefault="00930405" w:rsidP="00E25B74">
            <w:pPr>
              <w:jc w:val="center"/>
              <w:rPr>
                <w:rFonts w:ascii="Times New Roman" w:hAnsi="Times New Roman" w:cs="Times New Roman"/>
                <w:b/>
              </w:rPr>
            </w:pPr>
            <w:r w:rsidRPr="00FE0582">
              <w:rPr>
                <w:rFonts w:ascii="Times New Roman" w:hAnsi="Times New Roman" w:cs="Times New Roman"/>
                <w:b/>
              </w:rPr>
              <w:t>7</w:t>
            </w:r>
          </w:p>
        </w:tc>
      </w:tr>
      <w:tr w:rsidR="00930405" w:rsidRPr="00D77A48" w14:paraId="0BDC83A4" w14:textId="77777777" w:rsidTr="00D3219D">
        <w:trPr>
          <w:jc w:val="center"/>
        </w:trPr>
        <w:tc>
          <w:tcPr>
            <w:tcW w:w="0" w:type="auto"/>
          </w:tcPr>
          <w:p w14:paraId="50CDE767"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Massachusetts</w:t>
            </w:r>
          </w:p>
        </w:tc>
        <w:tc>
          <w:tcPr>
            <w:tcW w:w="0" w:type="auto"/>
          </w:tcPr>
          <w:p w14:paraId="06333B3B"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Boston</w:t>
            </w:r>
          </w:p>
        </w:tc>
        <w:tc>
          <w:tcPr>
            <w:tcW w:w="0" w:type="auto"/>
            <w:vAlign w:val="center"/>
          </w:tcPr>
          <w:p w14:paraId="7673ED9E"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 xml:space="preserve"> 34,610 </w:t>
            </w:r>
          </w:p>
        </w:tc>
        <w:tc>
          <w:tcPr>
            <w:tcW w:w="0" w:type="auto"/>
            <w:vAlign w:val="center"/>
          </w:tcPr>
          <w:p w14:paraId="586FC686"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2.884%</w:t>
            </w:r>
          </w:p>
        </w:tc>
        <w:tc>
          <w:tcPr>
            <w:tcW w:w="0" w:type="auto"/>
            <w:vAlign w:val="center"/>
          </w:tcPr>
          <w:p w14:paraId="531FF3E5" w14:textId="77777777" w:rsidR="00930405" w:rsidRPr="00FE0582" w:rsidRDefault="00930405" w:rsidP="00E25B74">
            <w:pPr>
              <w:jc w:val="center"/>
              <w:rPr>
                <w:rFonts w:ascii="Times New Roman" w:hAnsi="Times New Roman" w:cs="Times New Roman"/>
              </w:rPr>
            </w:pPr>
            <w:r w:rsidRPr="00FE0582">
              <w:rPr>
                <w:rFonts w:ascii="Times New Roman" w:hAnsi="Times New Roman" w:cs="Times New Roman"/>
              </w:rPr>
              <w:t>13</w:t>
            </w:r>
          </w:p>
        </w:tc>
      </w:tr>
      <w:tr w:rsidR="00930405" w:rsidRPr="00D77A48" w14:paraId="0B350F54" w14:textId="77777777" w:rsidTr="00D3219D">
        <w:trPr>
          <w:jc w:val="center"/>
        </w:trPr>
        <w:tc>
          <w:tcPr>
            <w:tcW w:w="0" w:type="auto"/>
          </w:tcPr>
          <w:p w14:paraId="25B2F030"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New York</w:t>
            </w:r>
          </w:p>
        </w:tc>
        <w:tc>
          <w:tcPr>
            <w:tcW w:w="0" w:type="auto"/>
          </w:tcPr>
          <w:p w14:paraId="5CB53176"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Buffalo</w:t>
            </w:r>
          </w:p>
        </w:tc>
        <w:tc>
          <w:tcPr>
            <w:tcW w:w="0" w:type="auto"/>
            <w:vAlign w:val="center"/>
          </w:tcPr>
          <w:p w14:paraId="2E375568"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 xml:space="preserve"> 32,608 </w:t>
            </w:r>
          </w:p>
        </w:tc>
        <w:tc>
          <w:tcPr>
            <w:tcW w:w="0" w:type="auto"/>
            <w:vAlign w:val="center"/>
          </w:tcPr>
          <w:p w14:paraId="1BD452F2"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2.717%</w:t>
            </w:r>
          </w:p>
        </w:tc>
        <w:tc>
          <w:tcPr>
            <w:tcW w:w="0" w:type="auto"/>
            <w:vAlign w:val="center"/>
          </w:tcPr>
          <w:p w14:paraId="3B7ED16D" w14:textId="77777777" w:rsidR="00930405" w:rsidRPr="00FE0582" w:rsidRDefault="00930405" w:rsidP="00E25B74">
            <w:pPr>
              <w:jc w:val="center"/>
              <w:rPr>
                <w:rFonts w:ascii="Times New Roman" w:hAnsi="Times New Roman" w:cs="Times New Roman"/>
              </w:rPr>
            </w:pPr>
            <w:r w:rsidRPr="00FE0582">
              <w:rPr>
                <w:rFonts w:ascii="Times New Roman" w:hAnsi="Times New Roman" w:cs="Times New Roman"/>
              </w:rPr>
              <w:t>16</w:t>
            </w:r>
          </w:p>
        </w:tc>
      </w:tr>
      <w:tr w:rsidR="00930405" w:rsidRPr="00D77A48" w14:paraId="4E1E7427" w14:textId="77777777" w:rsidTr="00D3219D">
        <w:trPr>
          <w:jc w:val="center"/>
        </w:trPr>
        <w:tc>
          <w:tcPr>
            <w:tcW w:w="0" w:type="auto"/>
          </w:tcPr>
          <w:p w14:paraId="0D99BCFF"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New Jersey</w:t>
            </w:r>
          </w:p>
        </w:tc>
        <w:tc>
          <w:tcPr>
            <w:tcW w:w="0" w:type="auto"/>
          </w:tcPr>
          <w:p w14:paraId="5DF42DF2"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Newark</w:t>
            </w:r>
          </w:p>
        </w:tc>
        <w:tc>
          <w:tcPr>
            <w:tcW w:w="0" w:type="auto"/>
            <w:vAlign w:val="center"/>
          </w:tcPr>
          <w:p w14:paraId="7B93764D"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 xml:space="preserve"> 28,945 </w:t>
            </w:r>
          </w:p>
        </w:tc>
        <w:tc>
          <w:tcPr>
            <w:tcW w:w="0" w:type="auto"/>
            <w:vAlign w:val="center"/>
          </w:tcPr>
          <w:p w14:paraId="632E5C8F"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2.412%</w:t>
            </w:r>
          </w:p>
        </w:tc>
        <w:tc>
          <w:tcPr>
            <w:tcW w:w="0" w:type="auto"/>
            <w:vAlign w:val="center"/>
          </w:tcPr>
          <w:p w14:paraId="04A1CC12" w14:textId="77777777" w:rsidR="00930405" w:rsidRPr="00FE0582" w:rsidRDefault="00930405" w:rsidP="00E25B74">
            <w:pPr>
              <w:jc w:val="center"/>
              <w:rPr>
                <w:rFonts w:ascii="Times New Roman" w:hAnsi="Times New Roman" w:cs="Times New Roman"/>
              </w:rPr>
            </w:pPr>
            <w:r w:rsidRPr="00FE0582">
              <w:rPr>
                <w:rFonts w:ascii="Times New Roman" w:hAnsi="Times New Roman" w:cs="Times New Roman"/>
              </w:rPr>
              <w:t>20</w:t>
            </w:r>
          </w:p>
        </w:tc>
      </w:tr>
      <w:tr w:rsidR="00930405" w:rsidRPr="00D77A48" w14:paraId="7FBE9C46" w14:textId="77777777" w:rsidTr="00D3219D">
        <w:trPr>
          <w:jc w:val="center"/>
        </w:trPr>
        <w:tc>
          <w:tcPr>
            <w:tcW w:w="0" w:type="auto"/>
          </w:tcPr>
          <w:p w14:paraId="015ADD0E"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Vermont</w:t>
            </w:r>
          </w:p>
        </w:tc>
        <w:tc>
          <w:tcPr>
            <w:tcW w:w="0" w:type="auto"/>
          </w:tcPr>
          <w:p w14:paraId="15DF103F"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Burlington</w:t>
            </w:r>
          </w:p>
        </w:tc>
        <w:tc>
          <w:tcPr>
            <w:tcW w:w="0" w:type="auto"/>
            <w:vAlign w:val="center"/>
          </w:tcPr>
          <w:p w14:paraId="297EF02B"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 xml:space="preserve"> 27,767 </w:t>
            </w:r>
          </w:p>
        </w:tc>
        <w:tc>
          <w:tcPr>
            <w:tcW w:w="0" w:type="auto"/>
            <w:vAlign w:val="center"/>
          </w:tcPr>
          <w:p w14:paraId="05D07834"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2.314%</w:t>
            </w:r>
          </w:p>
        </w:tc>
        <w:tc>
          <w:tcPr>
            <w:tcW w:w="0" w:type="auto"/>
            <w:vAlign w:val="center"/>
          </w:tcPr>
          <w:p w14:paraId="29A0252B" w14:textId="77777777" w:rsidR="00930405" w:rsidRPr="00FE0582" w:rsidRDefault="00930405" w:rsidP="00E25B74">
            <w:pPr>
              <w:jc w:val="center"/>
              <w:rPr>
                <w:rFonts w:ascii="Times New Roman" w:hAnsi="Times New Roman" w:cs="Times New Roman"/>
              </w:rPr>
            </w:pPr>
            <w:r w:rsidRPr="00FE0582">
              <w:rPr>
                <w:rFonts w:ascii="Times New Roman" w:hAnsi="Times New Roman" w:cs="Times New Roman"/>
              </w:rPr>
              <w:t>23</w:t>
            </w:r>
          </w:p>
        </w:tc>
      </w:tr>
      <w:tr w:rsidR="00930405" w:rsidRPr="00D77A48" w14:paraId="1A85105B" w14:textId="77777777" w:rsidTr="00D3219D">
        <w:trPr>
          <w:jc w:val="center"/>
        </w:trPr>
        <w:tc>
          <w:tcPr>
            <w:tcW w:w="0" w:type="auto"/>
          </w:tcPr>
          <w:p w14:paraId="4E7E3415" w14:textId="77777777" w:rsidR="00930405" w:rsidRPr="00FE0582" w:rsidRDefault="00930405" w:rsidP="00E25B74">
            <w:pPr>
              <w:rPr>
                <w:rFonts w:ascii="Times New Roman" w:hAnsi="Times New Roman" w:cs="Times New Roman"/>
                <w:b/>
              </w:rPr>
            </w:pPr>
            <w:r w:rsidRPr="00FE0582">
              <w:rPr>
                <w:rFonts w:ascii="Times New Roman" w:hAnsi="Times New Roman" w:cs="Times New Roman"/>
                <w:b/>
              </w:rPr>
              <w:lastRenderedPageBreak/>
              <w:t>National average</w:t>
            </w:r>
          </w:p>
        </w:tc>
        <w:tc>
          <w:tcPr>
            <w:tcW w:w="0" w:type="auto"/>
          </w:tcPr>
          <w:p w14:paraId="5AA0FB98" w14:textId="77777777" w:rsidR="00930405" w:rsidRPr="00FE0582" w:rsidRDefault="00930405" w:rsidP="00E25B74">
            <w:pPr>
              <w:rPr>
                <w:rFonts w:ascii="Times New Roman" w:hAnsi="Times New Roman" w:cs="Times New Roman"/>
              </w:rPr>
            </w:pPr>
          </w:p>
        </w:tc>
        <w:tc>
          <w:tcPr>
            <w:tcW w:w="0" w:type="auto"/>
            <w:vAlign w:val="center"/>
          </w:tcPr>
          <w:p w14:paraId="6CE0DA9F"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 xml:space="preserve"> 25,883 </w:t>
            </w:r>
          </w:p>
        </w:tc>
        <w:tc>
          <w:tcPr>
            <w:tcW w:w="0" w:type="auto"/>
            <w:vAlign w:val="center"/>
          </w:tcPr>
          <w:p w14:paraId="092FEEE4"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2.157%</w:t>
            </w:r>
          </w:p>
        </w:tc>
        <w:tc>
          <w:tcPr>
            <w:tcW w:w="0" w:type="auto"/>
            <w:vAlign w:val="center"/>
          </w:tcPr>
          <w:p w14:paraId="0EEC4E50" w14:textId="77777777" w:rsidR="00930405" w:rsidRPr="00FE0582" w:rsidRDefault="00930405" w:rsidP="00E25B74">
            <w:pPr>
              <w:jc w:val="center"/>
              <w:rPr>
                <w:rFonts w:ascii="Times New Roman" w:hAnsi="Times New Roman" w:cs="Times New Roman"/>
              </w:rPr>
            </w:pPr>
          </w:p>
        </w:tc>
      </w:tr>
      <w:tr w:rsidR="00930405" w:rsidRPr="00D77A48" w14:paraId="31711FF5" w14:textId="77777777" w:rsidTr="00D3219D">
        <w:trPr>
          <w:jc w:val="center"/>
        </w:trPr>
        <w:tc>
          <w:tcPr>
            <w:tcW w:w="0" w:type="auto"/>
          </w:tcPr>
          <w:p w14:paraId="7DD13CDC"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New Hampshire</w:t>
            </w:r>
          </w:p>
        </w:tc>
        <w:tc>
          <w:tcPr>
            <w:tcW w:w="0" w:type="auto"/>
          </w:tcPr>
          <w:p w14:paraId="5F18C0E7"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Manchester</w:t>
            </w:r>
          </w:p>
        </w:tc>
        <w:tc>
          <w:tcPr>
            <w:tcW w:w="0" w:type="auto"/>
            <w:vAlign w:val="center"/>
          </w:tcPr>
          <w:p w14:paraId="53AD36DB"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 xml:space="preserve"> 24,370 </w:t>
            </w:r>
          </w:p>
        </w:tc>
        <w:tc>
          <w:tcPr>
            <w:tcW w:w="0" w:type="auto"/>
            <w:vAlign w:val="center"/>
          </w:tcPr>
          <w:p w14:paraId="371E60B4"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2.031%</w:t>
            </w:r>
          </w:p>
        </w:tc>
        <w:tc>
          <w:tcPr>
            <w:tcW w:w="0" w:type="auto"/>
            <w:vAlign w:val="center"/>
          </w:tcPr>
          <w:p w14:paraId="23709782" w14:textId="77777777" w:rsidR="00930405" w:rsidRPr="00FE0582" w:rsidRDefault="00930405" w:rsidP="00E25B74">
            <w:pPr>
              <w:jc w:val="center"/>
              <w:rPr>
                <w:rFonts w:ascii="Times New Roman" w:hAnsi="Times New Roman" w:cs="Times New Roman"/>
              </w:rPr>
            </w:pPr>
            <w:r w:rsidRPr="00FE0582">
              <w:rPr>
                <w:rFonts w:ascii="Times New Roman" w:hAnsi="Times New Roman" w:cs="Times New Roman"/>
              </w:rPr>
              <w:t>28</w:t>
            </w:r>
          </w:p>
        </w:tc>
      </w:tr>
      <w:tr w:rsidR="00930405" w:rsidRPr="00D77A48" w14:paraId="1D5628B3" w14:textId="77777777" w:rsidTr="00D3219D">
        <w:trPr>
          <w:jc w:val="center"/>
        </w:trPr>
        <w:tc>
          <w:tcPr>
            <w:tcW w:w="0" w:type="auto"/>
          </w:tcPr>
          <w:p w14:paraId="5BE3C9A7"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Maine</w:t>
            </w:r>
          </w:p>
        </w:tc>
        <w:tc>
          <w:tcPr>
            <w:tcW w:w="0" w:type="auto"/>
          </w:tcPr>
          <w:p w14:paraId="4CBBE8BA"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Portland</w:t>
            </w:r>
          </w:p>
        </w:tc>
        <w:tc>
          <w:tcPr>
            <w:tcW w:w="0" w:type="auto"/>
            <w:vAlign w:val="center"/>
          </w:tcPr>
          <w:p w14:paraId="5FDC1856"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 xml:space="preserve"> 24,000 </w:t>
            </w:r>
          </w:p>
        </w:tc>
        <w:tc>
          <w:tcPr>
            <w:tcW w:w="0" w:type="auto"/>
            <w:vAlign w:val="center"/>
          </w:tcPr>
          <w:p w14:paraId="199E833F"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2.000%</w:t>
            </w:r>
          </w:p>
        </w:tc>
        <w:tc>
          <w:tcPr>
            <w:tcW w:w="0" w:type="auto"/>
            <w:vAlign w:val="center"/>
          </w:tcPr>
          <w:p w14:paraId="711DBFDB" w14:textId="77777777" w:rsidR="00930405" w:rsidRPr="00FE0582" w:rsidRDefault="00930405" w:rsidP="00E25B74">
            <w:pPr>
              <w:jc w:val="center"/>
              <w:rPr>
                <w:rFonts w:ascii="Times New Roman" w:hAnsi="Times New Roman" w:cs="Times New Roman"/>
              </w:rPr>
            </w:pPr>
            <w:r w:rsidRPr="00FE0582">
              <w:rPr>
                <w:rFonts w:ascii="Times New Roman" w:hAnsi="Times New Roman" w:cs="Times New Roman"/>
              </w:rPr>
              <w:t>29</w:t>
            </w:r>
          </w:p>
        </w:tc>
      </w:tr>
      <w:tr w:rsidR="00930405" w:rsidRPr="00D77A48" w14:paraId="55B21853" w14:textId="77777777" w:rsidTr="00D3219D">
        <w:trPr>
          <w:jc w:val="center"/>
        </w:trPr>
        <w:tc>
          <w:tcPr>
            <w:tcW w:w="0" w:type="auto"/>
            <w:gridSpan w:val="5"/>
            <w:shd w:val="clear" w:color="auto" w:fill="D9D9D9" w:themeFill="background1" w:themeFillShade="D9"/>
            <w:vAlign w:val="center"/>
          </w:tcPr>
          <w:p w14:paraId="0D64237D" w14:textId="77777777" w:rsidR="00930405" w:rsidRPr="00FE0582" w:rsidRDefault="00930405" w:rsidP="00E25B74">
            <w:pPr>
              <w:jc w:val="center"/>
              <w:rPr>
                <w:rFonts w:ascii="Times New Roman" w:hAnsi="Times New Roman" w:cs="Times New Roman"/>
              </w:rPr>
            </w:pPr>
            <w:r w:rsidRPr="00FE0582">
              <w:rPr>
                <w:rFonts w:ascii="Times New Roman" w:hAnsi="Times New Roman" w:cs="Times New Roman"/>
              </w:rPr>
              <w:t>Rural property</w:t>
            </w:r>
          </w:p>
        </w:tc>
      </w:tr>
      <w:tr w:rsidR="00930405" w:rsidRPr="00D77A48" w14:paraId="56444F75" w14:textId="77777777" w:rsidTr="00D3219D">
        <w:trPr>
          <w:jc w:val="center"/>
        </w:trPr>
        <w:tc>
          <w:tcPr>
            <w:tcW w:w="0" w:type="auto"/>
          </w:tcPr>
          <w:p w14:paraId="2C5BFE8C"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New York</w:t>
            </w:r>
          </w:p>
        </w:tc>
        <w:tc>
          <w:tcPr>
            <w:tcW w:w="0" w:type="auto"/>
          </w:tcPr>
          <w:p w14:paraId="604104E5"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Warsaw</w:t>
            </w:r>
          </w:p>
        </w:tc>
        <w:tc>
          <w:tcPr>
            <w:tcW w:w="0" w:type="auto"/>
            <w:vAlign w:val="center"/>
          </w:tcPr>
          <w:p w14:paraId="39659C55"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 xml:space="preserve"> 35,847 </w:t>
            </w:r>
          </w:p>
        </w:tc>
        <w:tc>
          <w:tcPr>
            <w:tcW w:w="0" w:type="auto"/>
            <w:vAlign w:val="center"/>
          </w:tcPr>
          <w:p w14:paraId="0A2B4C3D"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2.987%</w:t>
            </w:r>
          </w:p>
        </w:tc>
        <w:tc>
          <w:tcPr>
            <w:tcW w:w="0" w:type="auto"/>
            <w:vAlign w:val="center"/>
          </w:tcPr>
          <w:p w14:paraId="3A186E18" w14:textId="77777777" w:rsidR="00930405" w:rsidRPr="00FE0582" w:rsidRDefault="00930405" w:rsidP="00E25B74">
            <w:pPr>
              <w:jc w:val="center"/>
              <w:rPr>
                <w:rFonts w:ascii="Times New Roman" w:hAnsi="Times New Roman" w:cs="Times New Roman"/>
              </w:rPr>
            </w:pPr>
            <w:r w:rsidRPr="00FE0582">
              <w:rPr>
                <w:rFonts w:ascii="Times New Roman" w:hAnsi="Times New Roman" w:cs="Times New Roman"/>
              </w:rPr>
              <w:t>4</w:t>
            </w:r>
          </w:p>
        </w:tc>
      </w:tr>
      <w:tr w:rsidR="00930405" w:rsidRPr="00D77A48" w14:paraId="6398FA77" w14:textId="77777777" w:rsidTr="00D3219D">
        <w:trPr>
          <w:jc w:val="center"/>
        </w:trPr>
        <w:tc>
          <w:tcPr>
            <w:tcW w:w="0" w:type="auto"/>
          </w:tcPr>
          <w:p w14:paraId="15A912F3"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Massachusetts</w:t>
            </w:r>
          </w:p>
        </w:tc>
        <w:tc>
          <w:tcPr>
            <w:tcW w:w="0" w:type="auto"/>
          </w:tcPr>
          <w:p w14:paraId="1248A6C8"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Adams</w:t>
            </w:r>
          </w:p>
        </w:tc>
        <w:tc>
          <w:tcPr>
            <w:tcW w:w="0" w:type="auto"/>
            <w:vAlign w:val="center"/>
          </w:tcPr>
          <w:p w14:paraId="08330A78"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 xml:space="preserve"> 24,954 </w:t>
            </w:r>
          </w:p>
        </w:tc>
        <w:tc>
          <w:tcPr>
            <w:tcW w:w="0" w:type="auto"/>
            <w:vAlign w:val="center"/>
          </w:tcPr>
          <w:p w14:paraId="29255FD5"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2.330%</w:t>
            </w:r>
          </w:p>
        </w:tc>
        <w:tc>
          <w:tcPr>
            <w:tcW w:w="0" w:type="auto"/>
            <w:vAlign w:val="center"/>
          </w:tcPr>
          <w:p w14:paraId="19DA37BD" w14:textId="77777777" w:rsidR="00930405" w:rsidRPr="00FE0582" w:rsidRDefault="00930405" w:rsidP="00E25B74">
            <w:pPr>
              <w:jc w:val="center"/>
              <w:rPr>
                <w:rFonts w:ascii="Times New Roman" w:hAnsi="Times New Roman" w:cs="Times New Roman"/>
              </w:rPr>
            </w:pPr>
            <w:r w:rsidRPr="00FE0582">
              <w:rPr>
                <w:rFonts w:ascii="Times New Roman" w:hAnsi="Times New Roman" w:cs="Times New Roman"/>
              </w:rPr>
              <w:t>10</w:t>
            </w:r>
          </w:p>
        </w:tc>
      </w:tr>
      <w:tr w:rsidR="00930405" w:rsidRPr="00D77A48" w14:paraId="67A8C6EA" w14:textId="77777777" w:rsidTr="00D3219D">
        <w:trPr>
          <w:jc w:val="center"/>
        </w:trPr>
        <w:tc>
          <w:tcPr>
            <w:tcW w:w="0" w:type="auto"/>
          </w:tcPr>
          <w:p w14:paraId="7ECD98E5"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Maine</w:t>
            </w:r>
          </w:p>
        </w:tc>
        <w:tc>
          <w:tcPr>
            <w:tcW w:w="0" w:type="auto"/>
          </w:tcPr>
          <w:p w14:paraId="306F7816"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Rockland</w:t>
            </w:r>
          </w:p>
        </w:tc>
        <w:tc>
          <w:tcPr>
            <w:tcW w:w="0" w:type="auto"/>
            <w:vAlign w:val="center"/>
          </w:tcPr>
          <w:p w14:paraId="3F5EB73D"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 xml:space="preserve"> 24,192 </w:t>
            </w:r>
          </w:p>
        </w:tc>
        <w:tc>
          <w:tcPr>
            <w:tcW w:w="0" w:type="auto"/>
            <w:vAlign w:val="center"/>
          </w:tcPr>
          <w:p w14:paraId="2FA8716F"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1.016%</w:t>
            </w:r>
          </w:p>
        </w:tc>
        <w:tc>
          <w:tcPr>
            <w:tcW w:w="0" w:type="auto"/>
            <w:vAlign w:val="center"/>
          </w:tcPr>
          <w:p w14:paraId="6C1473BB" w14:textId="77777777" w:rsidR="00930405" w:rsidRPr="00FE0582" w:rsidRDefault="00930405" w:rsidP="00E25B74">
            <w:pPr>
              <w:jc w:val="center"/>
              <w:rPr>
                <w:rFonts w:ascii="Times New Roman" w:hAnsi="Times New Roman" w:cs="Times New Roman"/>
              </w:rPr>
            </w:pPr>
            <w:r w:rsidRPr="00FE0582">
              <w:rPr>
                <w:rFonts w:ascii="Times New Roman" w:hAnsi="Times New Roman" w:cs="Times New Roman"/>
              </w:rPr>
              <w:t>17</w:t>
            </w:r>
          </w:p>
        </w:tc>
      </w:tr>
      <w:tr w:rsidR="00930405" w:rsidRPr="00D77A48" w14:paraId="017033D9" w14:textId="77777777" w:rsidTr="00D3219D">
        <w:trPr>
          <w:jc w:val="center"/>
        </w:trPr>
        <w:tc>
          <w:tcPr>
            <w:tcW w:w="0" w:type="auto"/>
          </w:tcPr>
          <w:p w14:paraId="50E3F41F"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New Hampshire</w:t>
            </w:r>
          </w:p>
        </w:tc>
        <w:tc>
          <w:tcPr>
            <w:tcW w:w="0" w:type="auto"/>
          </w:tcPr>
          <w:p w14:paraId="54191F6E"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Lancaster</w:t>
            </w:r>
          </w:p>
        </w:tc>
        <w:tc>
          <w:tcPr>
            <w:tcW w:w="0" w:type="auto"/>
            <w:vAlign w:val="center"/>
          </w:tcPr>
          <w:p w14:paraId="62D79474"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 xml:space="preserve"> 24,125 </w:t>
            </w:r>
          </w:p>
        </w:tc>
        <w:tc>
          <w:tcPr>
            <w:tcW w:w="0" w:type="auto"/>
            <w:vAlign w:val="center"/>
          </w:tcPr>
          <w:p w14:paraId="036709A6"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2.010%</w:t>
            </w:r>
          </w:p>
        </w:tc>
        <w:tc>
          <w:tcPr>
            <w:tcW w:w="0" w:type="auto"/>
            <w:vAlign w:val="center"/>
          </w:tcPr>
          <w:p w14:paraId="22E9E12D" w14:textId="77777777" w:rsidR="00930405" w:rsidRPr="00FE0582" w:rsidRDefault="00930405" w:rsidP="00E25B74">
            <w:pPr>
              <w:jc w:val="center"/>
              <w:rPr>
                <w:rFonts w:ascii="Times New Roman" w:hAnsi="Times New Roman" w:cs="Times New Roman"/>
              </w:rPr>
            </w:pPr>
            <w:r w:rsidRPr="00FE0582">
              <w:rPr>
                <w:rFonts w:ascii="Times New Roman" w:hAnsi="Times New Roman" w:cs="Times New Roman"/>
              </w:rPr>
              <w:t>18</w:t>
            </w:r>
          </w:p>
        </w:tc>
      </w:tr>
      <w:tr w:rsidR="00930405" w:rsidRPr="00D77A48" w14:paraId="1C7C443A" w14:textId="77777777" w:rsidTr="00D3219D">
        <w:trPr>
          <w:jc w:val="center"/>
        </w:trPr>
        <w:tc>
          <w:tcPr>
            <w:tcW w:w="0" w:type="auto"/>
          </w:tcPr>
          <w:p w14:paraId="4881BDA9"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New Jersey</w:t>
            </w:r>
          </w:p>
        </w:tc>
        <w:tc>
          <w:tcPr>
            <w:tcW w:w="0" w:type="auto"/>
          </w:tcPr>
          <w:p w14:paraId="3455CE38"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Maurice River Township</w:t>
            </w:r>
          </w:p>
        </w:tc>
        <w:tc>
          <w:tcPr>
            <w:tcW w:w="0" w:type="auto"/>
            <w:vAlign w:val="center"/>
          </w:tcPr>
          <w:p w14:paraId="5AD506C5"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 xml:space="preserve"> 23,668 </w:t>
            </w:r>
          </w:p>
        </w:tc>
        <w:tc>
          <w:tcPr>
            <w:tcW w:w="0" w:type="auto"/>
            <w:vAlign w:val="center"/>
          </w:tcPr>
          <w:p w14:paraId="397197E5"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1.972%</w:t>
            </w:r>
          </w:p>
        </w:tc>
        <w:tc>
          <w:tcPr>
            <w:tcW w:w="0" w:type="auto"/>
            <w:vAlign w:val="center"/>
          </w:tcPr>
          <w:p w14:paraId="55DD0E59" w14:textId="77777777" w:rsidR="00930405" w:rsidRPr="00FE0582" w:rsidRDefault="00930405" w:rsidP="00E25B74">
            <w:pPr>
              <w:jc w:val="center"/>
              <w:rPr>
                <w:rFonts w:ascii="Times New Roman" w:hAnsi="Times New Roman" w:cs="Times New Roman"/>
              </w:rPr>
            </w:pPr>
            <w:r w:rsidRPr="00FE0582">
              <w:rPr>
                <w:rFonts w:ascii="Times New Roman" w:hAnsi="Times New Roman" w:cs="Times New Roman"/>
              </w:rPr>
              <w:t>19</w:t>
            </w:r>
          </w:p>
        </w:tc>
      </w:tr>
      <w:tr w:rsidR="00930405" w:rsidRPr="00D77A48" w14:paraId="4E46F24F" w14:textId="77777777" w:rsidTr="00D3219D">
        <w:trPr>
          <w:jc w:val="center"/>
        </w:trPr>
        <w:tc>
          <w:tcPr>
            <w:tcW w:w="0" w:type="auto"/>
          </w:tcPr>
          <w:p w14:paraId="66521B04"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Vermont</w:t>
            </w:r>
          </w:p>
        </w:tc>
        <w:tc>
          <w:tcPr>
            <w:tcW w:w="0" w:type="auto"/>
          </w:tcPr>
          <w:p w14:paraId="76E36043"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Hartford</w:t>
            </w:r>
          </w:p>
        </w:tc>
        <w:tc>
          <w:tcPr>
            <w:tcW w:w="0" w:type="auto"/>
            <w:vAlign w:val="center"/>
          </w:tcPr>
          <w:p w14:paraId="0BF0D531"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 xml:space="preserve"> 23,112 </w:t>
            </w:r>
          </w:p>
        </w:tc>
        <w:tc>
          <w:tcPr>
            <w:tcW w:w="0" w:type="auto"/>
            <w:vAlign w:val="center"/>
          </w:tcPr>
          <w:p w14:paraId="312F6D2D"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1.926%</w:t>
            </w:r>
          </w:p>
        </w:tc>
        <w:tc>
          <w:tcPr>
            <w:tcW w:w="0" w:type="auto"/>
            <w:vAlign w:val="center"/>
          </w:tcPr>
          <w:p w14:paraId="037C2FEB" w14:textId="77777777" w:rsidR="00930405" w:rsidRPr="00FE0582" w:rsidRDefault="00930405" w:rsidP="00E25B74">
            <w:pPr>
              <w:jc w:val="center"/>
              <w:rPr>
                <w:rFonts w:ascii="Times New Roman" w:hAnsi="Times New Roman" w:cs="Times New Roman"/>
              </w:rPr>
            </w:pPr>
            <w:r w:rsidRPr="00FE0582">
              <w:rPr>
                <w:rFonts w:ascii="Times New Roman" w:hAnsi="Times New Roman" w:cs="Times New Roman"/>
              </w:rPr>
              <w:t>21</w:t>
            </w:r>
          </w:p>
        </w:tc>
      </w:tr>
      <w:tr w:rsidR="00930405" w:rsidRPr="00D77A48" w14:paraId="43FB56DD" w14:textId="77777777" w:rsidTr="00D3219D">
        <w:trPr>
          <w:jc w:val="center"/>
        </w:trPr>
        <w:tc>
          <w:tcPr>
            <w:tcW w:w="0" w:type="auto"/>
          </w:tcPr>
          <w:p w14:paraId="12CA936C"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Rhode Island</w:t>
            </w:r>
          </w:p>
        </w:tc>
        <w:tc>
          <w:tcPr>
            <w:tcW w:w="0" w:type="auto"/>
          </w:tcPr>
          <w:p w14:paraId="00865E18"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Hopkinton</w:t>
            </w:r>
          </w:p>
        </w:tc>
        <w:tc>
          <w:tcPr>
            <w:tcW w:w="0" w:type="auto"/>
            <w:vAlign w:val="center"/>
          </w:tcPr>
          <w:p w14:paraId="3DD4799D"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 xml:space="preserve"> 22,787 </w:t>
            </w:r>
          </w:p>
        </w:tc>
        <w:tc>
          <w:tcPr>
            <w:tcW w:w="0" w:type="auto"/>
            <w:vAlign w:val="center"/>
          </w:tcPr>
          <w:p w14:paraId="1B4A4D09"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1.899%</w:t>
            </w:r>
          </w:p>
        </w:tc>
        <w:tc>
          <w:tcPr>
            <w:tcW w:w="0" w:type="auto"/>
            <w:vAlign w:val="center"/>
          </w:tcPr>
          <w:p w14:paraId="0C7A1EC6" w14:textId="77777777" w:rsidR="00930405" w:rsidRPr="00FE0582" w:rsidRDefault="00930405" w:rsidP="00E25B74">
            <w:pPr>
              <w:jc w:val="center"/>
              <w:rPr>
                <w:rFonts w:ascii="Times New Roman" w:hAnsi="Times New Roman" w:cs="Times New Roman"/>
              </w:rPr>
            </w:pPr>
            <w:r w:rsidRPr="00FE0582">
              <w:rPr>
                <w:rFonts w:ascii="Times New Roman" w:hAnsi="Times New Roman" w:cs="Times New Roman"/>
              </w:rPr>
              <w:t>22</w:t>
            </w:r>
          </w:p>
        </w:tc>
      </w:tr>
      <w:tr w:rsidR="00930405" w:rsidRPr="00D77A48" w14:paraId="6CAC3363" w14:textId="77777777" w:rsidTr="00D3219D">
        <w:trPr>
          <w:jc w:val="center"/>
        </w:trPr>
        <w:tc>
          <w:tcPr>
            <w:tcW w:w="0" w:type="auto"/>
          </w:tcPr>
          <w:p w14:paraId="1C403A53" w14:textId="77777777" w:rsidR="00930405" w:rsidRPr="00FE0582" w:rsidRDefault="00930405" w:rsidP="00E25B74">
            <w:pPr>
              <w:rPr>
                <w:rFonts w:ascii="Times New Roman" w:hAnsi="Times New Roman" w:cs="Times New Roman"/>
                <w:b/>
              </w:rPr>
            </w:pPr>
            <w:r w:rsidRPr="00FE0582">
              <w:rPr>
                <w:rFonts w:ascii="Times New Roman" w:hAnsi="Times New Roman" w:cs="Times New Roman"/>
                <w:b/>
              </w:rPr>
              <w:t>National average</w:t>
            </w:r>
          </w:p>
        </w:tc>
        <w:tc>
          <w:tcPr>
            <w:tcW w:w="0" w:type="auto"/>
          </w:tcPr>
          <w:p w14:paraId="670A340D" w14:textId="77777777" w:rsidR="00930405" w:rsidRPr="00FE0582" w:rsidRDefault="00930405" w:rsidP="00E25B74">
            <w:pPr>
              <w:rPr>
                <w:rFonts w:ascii="Times New Roman" w:hAnsi="Times New Roman" w:cs="Times New Roman"/>
              </w:rPr>
            </w:pPr>
          </w:p>
        </w:tc>
        <w:tc>
          <w:tcPr>
            <w:tcW w:w="0" w:type="auto"/>
            <w:vAlign w:val="center"/>
          </w:tcPr>
          <w:p w14:paraId="0D7BD5E1"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 xml:space="preserve"> 20,945 </w:t>
            </w:r>
          </w:p>
        </w:tc>
        <w:tc>
          <w:tcPr>
            <w:tcW w:w="0" w:type="auto"/>
            <w:vAlign w:val="center"/>
          </w:tcPr>
          <w:p w14:paraId="62C8D594"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1.745%</w:t>
            </w:r>
          </w:p>
        </w:tc>
        <w:tc>
          <w:tcPr>
            <w:tcW w:w="0" w:type="auto"/>
            <w:vAlign w:val="center"/>
          </w:tcPr>
          <w:p w14:paraId="4DB67B7C" w14:textId="77777777" w:rsidR="00930405" w:rsidRPr="00FE0582" w:rsidRDefault="00930405" w:rsidP="00E25B74">
            <w:pPr>
              <w:jc w:val="center"/>
              <w:rPr>
                <w:rFonts w:ascii="Times New Roman" w:hAnsi="Times New Roman" w:cs="Times New Roman"/>
              </w:rPr>
            </w:pPr>
          </w:p>
        </w:tc>
      </w:tr>
      <w:tr w:rsidR="00930405" w:rsidRPr="00D77A48" w14:paraId="0EBDA744" w14:textId="77777777" w:rsidTr="00D3219D">
        <w:trPr>
          <w:jc w:val="center"/>
        </w:trPr>
        <w:tc>
          <w:tcPr>
            <w:tcW w:w="0" w:type="auto"/>
          </w:tcPr>
          <w:p w14:paraId="253C5A06" w14:textId="77777777" w:rsidR="00930405" w:rsidRPr="00FE0582" w:rsidRDefault="00930405" w:rsidP="00E25B74">
            <w:pPr>
              <w:rPr>
                <w:rFonts w:ascii="Times New Roman" w:hAnsi="Times New Roman" w:cs="Times New Roman"/>
                <w:b/>
              </w:rPr>
            </w:pPr>
            <w:r w:rsidRPr="00FE0582">
              <w:rPr>
                <w:rFonts w:ascii="Times New Roman" w:hAnsi="Times New Roman" w:cs="Times New Roman"/>
                <w:b/>
              </w:rPr>
              <w:t>Connecticut</w:t>
            </w:r>
          </w:p>
        </w:tc>
        <w:tc>
          <w:tcPr>
            <w:tcW w:w="0" w:type="auto"/>
          </w:tcPr>
          <w:p w14:paraId="175651CD" w14:textId="77777777" w:rsidR="00930405" w:rsidRPr="00FE0582" w:rsidRDefault="00930405" w:rsidP="00E25B74">
            <w:pPr>
              <w:rPr>
                <w:rFonts w:ascii="Times New Roman" w:hAnsi="Times New Roman" w:cs="Times New Roman"/>
                <w:b/>
              </w:rPr>
            </w:pPr>
            <w:r w:rsidRPr="00FE0582">
              <w:rPr>
                <w:rFonts w:ascii="Times New Roman" w:hAnsi="Times New Roman" w:cs="Times New Roman"/>
                <w:b/>
              </w:rPr>
              <w:t>Litchfield</w:t>
            </w:r>
          </w:p>
        </w:tc>
        <w:tc>
          <w:tcPr>
            <w:tcW w:w="0" w:type="auto"/>
            <w:vAlign w:val="center"/>
          </w:tcPr>
          <w:p w14:paraId="658CF319" w14:textId="77777777" w:rsidR="00930405" w:rsidRPr="00FE0582" w:rsidRDefault="00930405" w:rsidP="00E25B74">
            <w:pPr>
              <w:jc w:val="right"/>
              <w:rPr>
                <w:rFonts w:ascii="Times New Roman" w:hAnsi="Times New Roman" w:cs="Times New Roman"/>
                <w:b/>
              </w:rPr>
            </w:pPr>
            <w:r w:rsidRPr="00FE0582">
              <w:rPr>
                <w:rFonts w:ascii="Times New Roman" w:hAnsi="Times New Roman" w:cs="Times New Roman"/>
                <w:b/>
              </w:rPr>
              <w:t xml:space="preserve"> 20,833 </w:t>
            </w:r>
          </w:p>
        </w:tc>
        <w:tc>
          <w:tcPr>
            <w:tcW w:w="0" w:type="auto"/>
            <w:vAlign w:val="center"/>
          </w:tcPr>
          <w:p w14:paraId="6B56E6D0" w14:textId="77777777" w:rsidR="00930405" w:rsidRPr="00FE0582" w:rsidRDefault="00930405" w:rsidP="00E25B74">
            <w:pPr>
              <w:jc w:val="right"/>
              <w:rPr>
                <w:rFonts w:ascii="Times New Roman" w:hAnsi="Times New Roman" w:cs="Times New Roman"/>
                <w:b/>
              </w:rPr>
            </w:pPr>
            <w:r w:rsidRPr="00FE0582">
              <w:rPr>
                <w:rFonts w:ascii="Times New Roman" w:hAnsi="Times New Roman" w:cs="Times New Roman"/>
                <w:b/>
              </w:rPr>
              <w:t>1.736%</w:t>
            </w:r>
          </w:p>
        </w:tc>
        <w:tc>
          <w:tcPr>
            <w:tcW w:w="0" w:type="auto"/>
            <w:vAlign w:val="center"/>
          </w:tcPr>
          <w:p w14:paraId="7FE1A681" w14:textId="77777777" w:rsidR="00930405" w:rsidRPr="00FE0582" w:rsidRDefault="00930405" w:rsidP="00E25B74">
            <w:pPr>
              <w:jc w:val="center"/>
              <w:rPr>
                <w:rFonts w:ascii="Times New Roman" w:hAnsi="Times New Roman" w:cs="Times New Roman"/>
                <w:b/>
              </w:rPr>
            </w:pPr>
            <w:r w:rsidRPr="00FE0582">
              <w:rPr>
                <w:rFonts w:ascii="Times New Roman" w:hAnsi="Times New Roman" w:cs="Times New Roman"/>
                <w:b/>
              </w:rPr>
              <w:t>25</w:t>
            </w:r>
          </w:p>
        </w:tc>
      </w:tr>
    </w:tbl>
    <w:p w14:paraId="1CC68DAF" w14:textId="54B17227" w:rsidR="00930405" w:rsidRDefault="00D3219D" w:rsidP="00930405">
      <w:pPr>
        <w:rPr>
          <w:rFonts w:ascii="Times New Roman" w:hAnsi="Times New Roman" w:cs="Times New Roman"/>
        </w:rPr>
      </w:pPr>
      <w:r w:rsidRPr="00FE0582">
        <w:rPr>
          <w:rFonts w:ascii="Times New Roman" w:hAnsi="Times New Roman" w:cs="Times New Roman"/>
        </w:rPr>
        <w:tab/>
        <w:t>Source:</w:t>
      </w:r>
      <w:r w:rsidR="00FE0582" w:rsidRPr="00FE0582">
        <w:rPr>
          <w:rFonts w:ascii="Times New Roman" w:hAnsi="Times New Roman" w:cs="Times New Roman"/>
        </w:rPr>
        <w:t xml:space="preserve"> Lincoln Institute of Land Policy and Minnesota Center for Fiscal Excellence </w:t>
      </w:r>
      <w:r w:rsidR="00FE0582" w:rsidRPr="00FE0582">
        <w:rPr>
          <w:rFonts w:ascii="Times New Roman" w:hAnsi="Times New Roman" w:cs="Times New Roman"/>
        </w:rPr>
        <w:fldChar w:fldCharType="begin"/>
      </w:r>
      <w:r w:rsidR="00FE0582" w:rsidRPr="00FE0582">
        <w:rPr>
          <w:rFonts w:ascii="Times New Roman" w:hAnsi="Times New Roman" w:cs="Times New Roman"/>
        </w:rPr>
        <w:instrText xml:space="preserve"> ADDIN EN.CITE &lt;EndNote&gt;&lt;Cite ExcludeAuth="1"&gt;&lt;Author&gt;LILP/MCFE&lt;/Author&gt;&lt;Year&gt;2015&lt;/Year&gt;&lt;RecNum&gt;28&lt;/RecNum&gt;&lt;DisplayText&gt;(2015)&lt;/DisplayText&gt;&lt;record&gt;&lt;rec-number&gt;28&lt;/rec-number&gt;&lt;foreign-keys&gt;&lt;key app="EN" db-id="efsrp25rfad5tverv0kv2ztwvdrzzzda2pwp" timestamp="1446588008"&gt;28&lt;/key&gt;&lt;/foreign-keys&gt;&lt;ref-type name="Book"&gt;6&lt;/ref-type&gt;&lt;contributors&gt;&lt;authors&gt;&lt;author&gt;LILP/MCFE,&lt;/author&gt;&lt;/authors&gt;&lt;/contributors&gt;&lt;titles&gt;&lt;title&gt;50-State Property Tax Comparison Study&lt;/title&gt;&lt;/titles&gt;&lt;dates&gt;&lt;year&gt;2015&lt;/year&gt;&lt;/dates&gt;&lt;pub-location&gt;Cambridge, MA; Saint Paul, MN&lt;/pub-location&gt;&lt;publisher&gt;Lincoln Institute of Land Policy and Minnesota Center for Fiscal Excellence &lt;/publisher&gt;&lt;urls&gt;&lt;/urls&gt;&lt;/record&gt;&lt;/Cite&gt;&lt;/EndNote&gt;</w:instrText>
      </w:r>
      <w:r w:rsidR="00FE0582" w:rsidRPr="00FE0582">
        <w:rPr>
          <w:rFonts w:ascii="Times New Roman" w:hAnsi="Times New Roman" w:cs="Times New Roman"/>
        </w:rPr>
        <w:fldChar w:fldCharType="separate"/>
      </w:r>
      <w:r w:rsidR="00FE0582" w:rsidRPr="00FE0582">
        <w:rPr>
          <w:rFonts w:ascii="Times New Roman" w:hAnsi="Times New Roman" w:cs="Times New Roman"/>
          <w:noProof/>
        </w:rPr>
        <w:t>(2015)</w:t>
      </w:r>
      <w:r w:rsidR="00FE0582" w:rsidRPr="00FE0582">
        <w:rPr>
          <w:rFonts w:ascii="Times New Roman" w:hAnsi="Times New Roman" w:cs="Times New Roman"/>
        </w:rPr>
        <w:fldChar w:fldCharType="end"/>
      </w:r>
    </w:p>
    <w:p w14:paraId="561B220C" w14:textId="77777777" w:rsidR="00403E2E" w:rsidRPr="00FE0582" w:rsidRDefault="00403E2E" w:rsidP="00403E2E">
      <w:pPr>
        <w:jc w:val="both"/>
        <w:rPr>
          <w:rFonts w:ascii="Times New Roman" w:hAnsi="Times New Roman" w:cs="Times New Roman"/>
        </w:rPr>
      </w:pPr>
      <w:r w:rsidRPr="00FE0582">
        <w:rPr>
          <w:rFonts w:ascii="Times New Roman" w:hAnsi="Times New Roman" w:cs="Times New Roman"/>
        </w:rPr>
        <w:t>Table 8 is a similar comparison for an industrial (manufacturing) company with a current market value of $25 million in real property, $12.5 million in machinery and equipment, $10 million in inventories and $2.5 million in fixtures. Again, there are variations in how states either tax or ex</w:t>
      </w:r>
      <w:r>
        <w:rPr>
          <w:rFonts w:ascii="Times New Roman" w:hAnsi="Times New Roman" w:cs="Times New Roman"/>
        </w:rPr>
        <w:t>empt such property, and the Lincoln Institute/Minnesota</w:t>
      </w:r>
      <w:r w:rsidRPr="00FE0582">
        <w:rPr>
          <w:rFonts w:ascii="Times New Roman" w:hAnsi="Times New Roman" w:cs="Times New Roman"/>
        </w:rPr>
        <w:t xml:space="preserve"> study compares the total property tax obligation for such a firm in different states. </w:t>
      </w:r>
    </w:p>
    <w:p w14:paraId="0276059D" w14:textId="75ABE668" w:rsidR="00930405" w:rsidRPr="00FE0582" w:rsidRDefault="00FE0582" w:rsidP="00D3219D">
      <w:pPr>
        <w:jc w:val="center"/>
        <w:rPr>
          <w:rFonts w:ascii="Times New Roman" w:hAnsi="Times New Roman" w:cs="Times New Roman"/>
          <w:b/>
        </w:rPr>
      </w:pPr>
      <w:r>
        <w:rPr>
          <w:rFonts w:ascii="Times New Roman" w:hAnsi="Times New Roman" w:cs="Times New Roman"/>
          <w:b/>
        </w:rPr>
        <w:t>Table 8</w:t>
      </w:r>
      <w:r w:rsidR="00D3219D" w:rsidRPr="00FE0582">
        <w:rPr>
          <w:rFonts w:ascii="Times New Roman" w:hAnsi="Times New Roman" w:cs="Times New Roman"/>
          <w:b/>
        </w:rPr>
        <w:t xml:space="preserve">: </w:t>
      </w:r>
      <w:r>
        <w:rPr>
          <w:rFonts w:ascii="Times New Roman" w:hAnsi="Times New Roman" w:cs="Times New Roman"/>
          <w:b/>
        </w:rPr>
        <w:t>Comparative property tax obligations for an i</w:t>
      </w:r>
      <w:r w:rsidR="00930405" w:rsidRPr="00FE0582">
        <w:rPr>
          <w:rFonts w:ascii="Times New Roman" w:hAnsi="Times New Roman" w:cs="Times New Roman"/>
          <w:b/>
        </w:rPr>
        <w:t>ndustrial (manufacturing) property comparison</w:t>
      </w:r>
    </w:p>
    <w:tbl>
      <w:tblPr>
        <w:tblStyle w:val="TableGrid"/>
        <w:tblW w:w="0" w:type="auto"/>
        <w:jc w:val="center"/>
        <w:tblLook w:val="04A0" w:firstRow="1" w:lastRow="0" w:firstColumn="1" w:lastColumn="0" w:noHBand="0" w:noVBand="1"/>
      </w:tblPr>
      <w:tblGrid>
        <w:gridCol w:w="1811"/>
        <w:gridCol w:w="2428"/>
        <w:gridCol w:w="1151"/>
        <w:gridCol w:w="1964"/>
        <w:gridCol w:w="1531"/>
      </w:tblGrid>
      <w:tr w:rsidR="00930405" w:rsidRPr="00D77A48" w14:paraId="45E5B04C" w14:textId="77777777" w:rsidTr="00D3219D">
        <w:trPr>
          <w:jc w:val="center"/>
        </w:trPr>
        <w:tc>
          <w:tcPr>
            <w:tcW w:w="0" w:type="auto"/>
          </w:tcPr>
          <w:p w14:paraId="04C1FC9B" w14:textId="77777777" w:rsidR="00930405" w:rsidRPr="00403E2E" w:rsidRDefault="00930405" w:rsidP="00E25B74">
            <w:pPr>
              <w:rPr>
                <w:rFonts w:ascii="Times New Roman" w:hAnsi="Times New Roman" w:cs="Times New Roman"/>
                <w:b/>
              </w:rPr>
            </w:pPr>
            <w:r w:rsidRPr="00403E2E">
              <w:rPr>
                <w:rFonts w:ascii="Times New Roman" w:hAnsi="Times New Roman" w:cs="Times New Roman"/>
                <w:b/>
              </w:rPr>
              <w:t>State</w:t>
            </w:r>
          </w:p>
        </w:tc>
        <w:tc>
          <w:tcPr>
            <w:tcW w:w="0" w:type="auto"/>
          </w:tcPr>
          <w:p w14:paraId="21046C01" w14:textId="77777777" w:rsidR="00930405" w:rsidRPr="00403E2E" w:rsidRDefault="00930405" w:rsidP="00E25B74">
            <w:pPr>
              <w:rPr>
                <w:rFonts w:ascii="Times New Roman" w:hAnsi="Times New Roman" w:cs="Times New Roman"/>
                <w:b/>
              </w:rPr>
            </w:pPr>
            <w:r w:rsidRPr="00403E2E">
              <w:rPr>
                <w:rFonts w:ascii="Times New Roman" w:hAnsi="Times New Roman" w:cs="Times New Roman"/>
                <w:b/>
              </w:rPr>
              <w:t>City</w:t>
            </w:r>
          </w:p>
        </w:tc>
        <w:tc>
          <w:tcPr>
            <w:tcW w:w="0" w:type="auto"/>
          </w:tcPr>
          <w:p w14:paraId="41B0147B" w14:textId="77777777" w:rsidR="00930405" w:rsidRPr="00403E2E" w:rsidRDefault="00930405" w:rsidP="00E25B74">
            <w:pPr>
              <w:rPr>
                <w:rFonts w:ascii="Times New Roman" w:hAnsi="Times New Roman" w:cs="Times New Roman"/>
                <w:b/>
              </w:rPr>
            </w:pPr>
            <w:r w:rsidRPr="00403E2E">
              <w:rPr>
                <w:rFonts w:ascii="Times New Roman" w:hAnsi="Times New Roman" w:cs="Times New Roman"/>
                <w:b/>
              </w:rPr>
              <w:t>Net Tax</w:t>
            </w:r>
          </w:p>
        </w:tc>
        <w:tc>
          <w:tcPr>
            <w:tcW w:w="0" w:type="auto"/>
          </w:tcPr>
          <w:p w14:paraId="1B0E9122" w14:textId="77777777" w:rsidR="00930405" w:rsidRPr="00403E2E" w:rsidRDefault="00930405" w:rsidP="00E25B74">
            <w:pPr>
              <w:rPr>
                <w:rFonts w:ascii="Times New Roman" w:hAnsi="Times New Roman" w:cs="Times New Roman"/>
                <w:b/>
              </w:rPr>
            </w:pPr>
            <w:r w:rsidRPr="00403E2E">
              <w:rPr>
                <w:rFonts w:ascii="Times New Roman" w:hAnsi="Times New Roman" w:cs="Times New Roman"/>
                <w:b/>
              </w:rPr>
              <w:t>Effective Tax Rate</w:t>
            </w:r>
          </w:p>
        </w:tc>
        <w:tc>
          <w:tcPr>
            <w:tcW w:w="0" w:type="auto"/>
          </w:tcPr>
          <w:p w14:paraId="18E28A70" w14:textId="77777777" w:rsidR="00930405" w:rsidRPr="00403E2E" w:rsidRDefault="00930405" w:rsidP="00E25B74">
            <w:pPr>
              <w:rPr>
                <w:rFonts w:ascii="Times New Roman" w:hAnsi="Times New Roman" w:cs="Times New Roman"/>
                <w:b/>
              </w:rPr>
            </w:pPr>
            <w:r w:rsidRPr="00403E2E">
              <w:rPr>
                <w:rFonts w:ascii="Times New Roman" w:hAnsi="Times New Roman" w:cs="Times New Roman"/>
                <w:b/>
              </w:rPr>
              <w:t>National rank</w:t>
            </w:r>
          </w:p>
        </w:tc>
      </w:tr>
      <w:tr w:rsidR="00930405" w:rsidRPr="00D77A48" w14:paraId="4EC8D764" w14:textId="77777777" w:rsidTr="00D3219D">
        <w:trPr>
          <w:jc w:val="center"/>
        </w:trPr>
        <w:tc>
          <w:tcPr>
            <w:tcW w:w="0" w:type="auto"/>
            <w:gridSpan w:val="5"/>
            <w:shd w:val="clear" w:color="auto" w:fill="D9D9D9" w:themeFill="background1" w:themeFillShade="D9"/>
            <w:vAlign w:val="center"/>
          </w:tcPr>
          <w:p w14:paraId="17A923A3" w14:textId="77777777" w:rsidR="00930405" w:rsidRPr="00FE0582" w:rsidRDefault="00930405" w:rsidP="00E25B74">
            <w:pPr>
              <w:jc w:val="center"/>
              <w:rPr>
                <w:rFonts w:ascii="Times New Roman" w:hAnsi="Times New Roman" w:cs="Times New Roman"/>
              </w:rPr>
            </w:pPr>
            <w:r w:rsidRPr="00FE0582">
              <w:rPr>
                <w:rFonts w:ascii="Times New Roman" w:hAnsi="Times New Roman" w:cs="Times New Roman"/>
              </w:rPr>
              <w:t>Urban</w:t>
            </w:r>
          </w:p>
        </w:tc>
      </w:tr>
      <w:tr w:rsidR="00930405" w:rsidRPr="00D77A48" w14:paraId="3B51E7EA" w14:textId="77777777" w:rsidTr="00D3219D">
        <w:trPr>
          <w:jc w:val="center"/>
        </w:trPr>
        <w:tc>
          <w:tcPr>
            <w:tcW w:w="0" w:type="auto"/>
          </w:tcPr>
          <w:p w14:paraId="09FBF37E"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New York</w:t>
            </w:r>
          </w:p>
        </w:tc>
        <w:tc>
          <w:tcPr>
            <w:tcW w:w="0" w:type="auto"/>
          </w:tcPr>
          <w:p w14:paraId="21B8EC49"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New York City</w:t>
            </w:r>
          </w:p>
        </w:tc>
        <w:tc>
          <w:tcPr>
            <w:tcW w:w="0" w:type="auto"/>
            <w:vAlign w:val="center"/>
          </w:tcPr>
          <w:p w14:paraId="4E4D793F"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 xml:space="preserve"> 1,189,931 </w:t>
            </w:r>
          </w:p>
        </w:tc>
        <w:tc>
          <w:tcPr>
            <w:tcW w:w="0" w:type="auto"/>
            <w:vAlign w:val="center"/>
          </w:tcPr>
          <w:p w14:paraId="0D313FBB"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2.380%</w:t>
            </w:r>
          </w:p>
        </w:tc>
        <w:tc>
          <w:tcPr>
            <w:tcW w:w="0" w:type="auto"/>
            <w:vAlign w:val="center"/>
          </w:tcPr>
          <w:p w14:paraId="3566943E" w14:textId="77777777" w:rsidR="00930405" w:rsidRPr="00FE0582" w:rsidRDefault="00930405" w:rsidP="00E25B74">
            <w:pPr>
              <w:jc w:val="center"/>
              <w:rPr>
                <w:rFonts w:ascii="Times New Roman" w:hAnsi="Times New Roman" w:cs="Times New Roman"/>
              </w:rPr>
            </w:pPr>
            <w:r w:rsidRPr="00FE0582">
              <w:rPr>
                <w:rFonts w:ascii="Times New Roman" w:hAnsi="Times New Roman" w:cs="Times New Roman"/>
              </w:rPr>
              <w:t>7</w:t>
            </w:r>
          </w:p>
        </w:tc>
      </w:tr>
      <w:tr w:rsidR="00930405" w:rsidRPr="00D77A48" w14:paraId="51FF9C2E" w14:textId="77777777" w:rsidTr="00D3219D">
        <w:trPr>
          <w:jc w:val="center"/>
        </w:trPr>
        <w:tc>
          <w:tcPr>
            <w:tcW w:w="0" w:type="auto"/>
          </w:tcPr>
          <w:p w14:paraId="503ACA3B"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Rhode Island</w:t>
            </w:r>
          </w:p>
        </w:tc>
        <w:tc>
          <w:tcPr>
            <w:tcW w:w="0" w:type="auto"/>
          </w:tcPr>
          <w:p w14:paraId="7A6D2B8C"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Providence</w:t>
            </w:r>
          </w:p>
        </w:tc>
        <w:tc>
          <w:tcPr>
            <w:tcW w:w="0" w:type="auto"/>
            <w:vAlign w:val="center"/>
          </w:tcPr>
          <w:p w14:paraId="492C8C33"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 xml:space="preserve"> 954,431 </w:t>
            </w:r>
          </w:p>
        </w:tc>
        <w:tc>
          <w:tcPr>
            <w:tcW w:w="0" w:type="auto"/>
            <w:vAlign w:val="center"/>
          </w:tcPr>
          <w:p w14:paraId="4D0B618F"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1.909%</w:t>
            </w:r>
          </w:p>
        </w:tc>
        <w:tc>
          <w:tcPr>
            <w:tcW w:w="0" w:type="auto"/>
            <w:vAlign w:val="center"/>
          </w:tcPr>
          <w:p w14:paraId="48AA8D68" w14:textId="77777777" w:rsidR="00930405" w:rsidRPr="00FE0582" w:rsidRDefault="00930405" w:rsidP="00E25B74">
            <w:pPr>
              <w:jc w:val="center"/>
              <w:rPr>
                <w:rFonts w:ascii="Times New Roman" w:hAnsi="Times New Roman" w:cs="Times New Roman"/>
              </w:rPr>
            </w:pPr>
            <w:r w:rsidRPr="00FE0582">
              <w:rPr>
                <w:rFonts w:ascii="Times New Roman" w:hAnsi="Times New Roman" w:cs="Times New Roman"/>
              </w:rPr>
              <w:t>16</w:t>
            </w:r>
          </w:p>
        </w:tc>
      </w:tr>
      <w:tr w:rsidR="00930405" w:rsidRPr="00D77A48" w14:paraId="65F4F614" w14:textId="77777777" w:rsidTr="00D3219D">
        <w:trPr>
          <w:jc w:val="center"/>
        </w:trPr>
        <w:tc>
          <w:tcPr>
            <w:tcW w:w="0" w:type="auto"/>
          </w:tcPr>
          <w:p w14:paraId="561782E7" w14:textId="77777777" w:rsidR="00930405" w:rsidRPr="00FE0582" w:rsidRDefault="00930405" w:rsidP="00E25B74">
            <w:pPr>
              <w:rPr>
                <w:rFonts w:ascii="Times New Roman" w:hAnsi="Times New Roman" w:cs="Times New Roman"/>
                <w:b/>
              </w:rPr>
            </w:pPr>
            <w:r w:rsidRPr="00FE0582">
              <w:rPr>
                <w:rFonts w:ascii="Times New Roman" w:hAnsi="Times New Roman" w:cs="Times New Roman"/>
                <w:b/>
              </w:rPr>
              <w:t>Connecticut</w:t>
            </w:r>
          </w:p>
        </w:tc>
        <w:tc>
          <w:tcPr>
            <w:tcW w:w="0" w:type="auto"/>
          </w:tcPr>
          <w:p w14:paraId="5F05AADD" w14:textId="77777777" w:rsidR="00930405" w:rsidRPr="00FE0582" w:rsidRDefault="00930405" w:rsidP="00E25B74">
            <w:pPr>
              <w:rPr>
                <w:rFonts w:ascii="Times New Roman" w:hAnsi="Times New Roman" w:cs="Times New Roman"/>
                <w:b/>
              </w:rPr>
            </w:pPr>
            <w:r w:rsidRPr="00FE0582">
              <w:rPr>
                <w:rFonts w:ascii="Times New Roman" w:hAnsi="Times New Roman" w:cs="Times New Roman"/>
                <w:b/>
              </w:rPr>
              <w:t>Bridgeport</w:t>
            </w:r>
          </w:p>
        </w:tc>
        <w:tc>
          <w:tcPr>
            <w:tcW w:w="0" w:type="auto"/>
            <w:vAlign w:val="center"/>
          </w:tcPr>
          <w:p w14:paraId="7778BD0B" w14:textId="77777777" w:rsidR="00930405" w:rsidRPr="00FE0582" w:rsidRDefault="00930405" w:rsidP="00E25B74">
            <w:pPr>
              <w:jc w:val="right"/>
              <w:rPr>
                <w:rFonts w:ascii="Times New Roman" w:hAnsi="Times New Roman" w:cs="Times New Roman"/>
                <w:b/>
              </w:rPr>
            </w:pPr>
            <w:r w:rsidRPr="00FE0582">
              <w:rPr>
                <w:rFonts w:ascii="Times New Roman" w:hAnsi="Times New Roman" w:cs="Times New Roman"/>
                <w:b/>
              </w:rPr>
              <w:t xml:space="preserve"> 950,615 </w:t>
            </w:r>
          </w:p>
        </w:tc>
        <w:tc>
          <w:tcPr>
            <w:tcW w:w="0" w:type="auto"/>
            <w:vAlign w:val="center"/>
          </w:tcPr>
          <w:p w14:paraId="6DF94A40" w14:textId="77777777" w:rsidR="00930405" w:rsidRPr="00FE0582" w:rsidRDefault="00930405" w:rsidP="00E25B74">
            <w:pPr>
              <w:jc w:val="right"/>
              <w:rPr>
                <w:rFonts w:ascii="Times New Roman" w:hAnsi="Times New Roman" w:cs="Times New Roman"/>
                <w:b/>
              </w:rPr>
            </w:pPr>
            <w:r w:rsidRPr="00FE0582">
              <w:rPr>
                <w:rFonts w:ascii="Times New Roman" w:hAnsi="Times New Roman" w:cs="Times New Roman"/>
                <w:b/>
              </w:rPr>
              <w:t>1.901%</w:t>
            </w:r>
          </w:p>
        </w:tc>
        <w:tc>
          <w:tcPr>
            <w:tcW w:w="0" w:type="auto"/>
            <w:vAlign w:val="center"/>
          </w:tcPr>
          <w:p w14:paraId="0FA271D0" w14:textId="77777777" w:rsidR="00930405" w:rsidRPr="00FE0582" w:rsidRDefault="00930405" w:rsidP="00E25B74">
            <w:pPr>
              <w:jc w:val="center"/>
              <w:rPr>
                <w:rFonts w:ascii="Times New Roman" w:hAnsi="Times New Roman" w:cs="Times New Roman"/>
                <w:b/>
              </w:rPr>
            </w:pPr>
            <w:r w:rsidRPr="00FE0582">
              <w:rPr>
                <w:rFonts w:ascii="Times New Roman" w:hAnsi="Times New Roman" w:cs="Times New Roman"/>
                <w:b/>
              </w:rPr>
              <w:t>17</w:t>
            </w:r>
          </w:p>
        </w:tc>
      </w:tr>
      <w:tr w:rsidR="00930405" w:rsidRPr="00D77A48" w14:paraId="0EAA1332" w14:textId="77777777" w:rsidTr="00D3219D">
        <w:trPr>
          <w:jc w:val="center"/>
        </w:trPr>
        <w:tc>
          <w:tcPr>
            <w:tcW w:w="0" w:type="auto"/>
          </w:tcPr>
          <w:p w14:paraId="01913BFB"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New York</w:t>
            </w:r>
          </w:p>
        </w:tc>
        <w:tc>
          <w:tcPr>
            <w:tcW w:w="0" w:type="auto"/>
          </w:tcPr>
          <w:p w14:paraId="3BB6B013"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Buffalo</w:t>
            </w:r>
          </w:p>
        </w:tc>
        <w:tc>
          <w:tcPr>
            <w:tcW w:w="0" w:type="auto"/>
            <w:vAlign w:val="center"/>
          </w:tcPr>
          <w:p w14:paraId="6A8DA2F7"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 xml:space="preserve"> 815,189 </w:t>
            </w:r>
          </w:p>
        </w:tc>
        <w:tc>
          <w:tcPr>
            <w:tcW w:w="0" w:type="auto"/>
            <w:vAlign w:val="center"/>
          </w:tcPr>
          <w:p w14:paraId="56B1CFC5"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1.630%</w:t>
            </w:r>
          </w:p>
        </w:tc>
        <w:tc>
          <w:tcPr>
            <w:tcW w:w="0" w:type="auto"/>
            <w:vAlign w:val="center"/>
          </w:tcPr>
          <w:p w14:paraId="7E7CA3EF" w14:textId="77777777" w:rsidR="00930405" w:rsidRPr="00FE0582" w:rsidRDefault="00930405" w:rsidP="00E25B74">
            <w:pPr>
              <w:jc w:val="center"/>
              <w:rPr>
                <w:rFonts w:ascii="Times New Roman" w:hAnsi="Times New Roman" w:cs="Times New Roman"/>
              </w:rPr>
            </w:pPr>
            <w:r w:rsidRPr="00FE0582">
              <w:rPr>
                <w:rFonts w:ascii="Times New Roman" w:hAnsi="Times New Roman" w:cs="Times New Roman"/>
              </w:rPr>
              <w:t>22</w:t>
            </w:r>
          </w:p>
        </w:tc>
      </w:tr>
      <w:tr w:rsidR="00930405" w:rsidRPr="00D77A48" w14:paraId="23AA57F2" w14:textId="77777777" w:rsidTr="00D3219D">
        <w:trPr>
          <w:jc w:val="center"/>
        </w:trPr>
        <w:tc>
          <w:tcPr>
            <w:tcW w:w="0" w:type="auto"/>
          </w:tcPr>
          <w:p w14:paraId="2DAF12F2" w14:textId="77777777" w:rsidR="00930405" w:rsidRPr="00FE0582" w:rsidRDefault="00930405" w:rsidP="00E25B74">
            <w:pPr>
              <w:rPr>
                <w:rFonts w:ascii="Times New Roman" w:hAnsi="Times New Roman" w:cs="Times New Roman"/>
                <w:b/>
              </w:rPr>
            </w:pPr>
            <w:r w:rsidRPr="00FE0582">
              <w:rPr>
                <w:rFonts w:ascii="Times New Roman" w:hAnsi="Times New Roman" w:cs="Times New Roman"/>
                <w:b/>
              </w:rPr>
              <w:t>National average</w:t>
            </w:r>
          </w:p>
        </w:tc>
        <w:tc>
          <w:tcPr>
            <w:tcW w:w="0" w:type="auto"/>
          </w:tcPr>
          <w:p w14:paraId="3076A714" w14:textId="77777777" w:rsidR="00930405" w:rsidRPr="00FE0582" w:rsidRDefault="00930405" w:rsidP="00E25B74">
            <w:pPr>
              <w:rPr>
                <w:rFonts w:ascii="Times New Roman" w:hAnsi="Times New Roman" w:cs="Times New Roman"/>
              </w:rPr>
            </w:pPr>
          </w:p>
        </w:tc>
        <w:tc>
          <w:tcPr>
            <w:tcW w:w="0" w:type="auto"/>
            <w:vAlign w:val="center"/>
          </w:tcPr>
          <w:p w14:paraId="52F489F3"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 xml:space="preserve"> 798,309 </w:t>
            </w:r>
          </w:p>
        </w:tc>
        <w:tc>
          <w:tcPr>
            <w:tcW w:w="0" w:type="auto"/>
            <w:vAlign w:val="center"/>
          </w:tcPr>
          <w:p w14:paraId="0A5D0766"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1.597%</w:t>
            </w:r>
          </w:p>
        </w:tc>
        <w:tc>
          <w:tcPr>
            <w:tcW w:w="0" w:type="auto"/>
            <w:vAlign w:val="center"/>
          </w:tcPr>
          <w:p w14:paraId="2DF1788C" w14:textId="77777777" w:rsidR="00930405" w:rsidRPr="00FE0582" w:rsidRDefault="00930405" w:rsidP="00E25B74">
            <w:pPr>
              <w:jc w:val="center"/>
              <w:rPr>
                <w:rFonts w:ascii="Times New Roman" w:hAnsi="Times New Roman" w:cs="Times New Roman"/>
              </w:rPr>
            </w:pPr>
          </w:p>
        </w:tc>
      </w:tr>
      <w:tr w:rsidR="00930405" w:rsidRPr="00D77A48" w14:paraId="7D9A94D4" w14:textId="77777777" w:rsidTr="00D3219D">
        <w:trPr>
          <w:jc w:val="center"/>
        </w:trPr>
        <w:tc>
          <w:tcPr>
            <w:tcW w:w="0" w:type="auto"/>
          </w:tcPr>
          <w:p w14:paraId="58FCA485"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Massachusetts</w:t>
            </w:r>
          </w:p>
        </w:tc>
        <w:tc>
          <w:tcPr>
            <w:tcW w:w="0" w:type="auto"/>
          </w:tcPr>
          <w:p w14:paraId="6F4078B3"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Boston</w:t>
            </w:r>
          </w:p>
        </w:tc>
        <w:tc>
          <w:tcPr>
            <w:tcW w:w="0" w:type="auto"/>
            <w:vAlign w:val="center"/>
          </w:tcPr>
          <w:p w14:paraId="17636AEF"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 xml:space="preserve"> 795,090 </w:t>
            </w:r>
          </w:p>
        </w:tc>
        <w:tc>
          <w:tcPr>
            <w:tcW w:w="0" w:type="auto"/>
            <w:vAlign w:val="center"/>
          </w:tcPr>
          <w:p w14:paraId="5C0A08B2"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1.590%</w:t>
            </w:r>
          </w:p>
        </w:tc>
        <w:tc>
          <w:tcPr>
            <w:tcW w:w="0" w:type="auto"/>
            <w:vAlign w:val="center"/>
          </w:tcPr>
          <w:p w14:paraId="07FC8583" w14:textId="77777777" w:rsidR="00930405" w:rsidRPr="00FE0582" w:rsidRDefault="00930405" w:rsidP="00E25B74">
            <w:pPr>
              <w:jc w:val="center"/>
              <w:rPr>
                <w:rFonts w:ascii="Times New Roman" w:hAnsi="Times New Roman" w:cs="Times New Roman"/>
              </w:rPr>
            </w:pPr>
            <w:r w:rsidRPr="00FE0582">
              <w:rPr>
                <w:rFonts w:ascii="Times New Roman" w:hAnsi="Times New Roman" w:cs="Times New Roman"/>
              </w:rPr>
              <w:t>24</w:t>
            </w:r>
          </w:p>
        </w:tc>
      </w:tr>
      <w:tr w:rsidR="00930405" w:rsidRPr="00D77A48" w14:paraId="550B6C61" w14:textId="77777777" w:rsidTr="00D3219D">
        <w:trPr>
          <w:jc w:val="center"/>
        </w:trPr>
        <w:tc>
          <w:tcPr>
            <w:tcW w:w="0" w:type="auto"/>
          </w:tcPr>
          <w:p w14:paraId="2E4C8998"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Vermont</w:t>
            </w:r>
          </w:p>
        </w:tc>
        <w:tc>
          <w:tcPr>
            <w:tcW w:w="0" w:type="auto"/>
          </w:tcPr>
          <w:p w14:paraId="49475A5E"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Burlington</w:t>
            </w:r>
          </w:p>
        </w:tc>
        <w:tc>
          <w:tcPr>
            <w:tcW w:w="0" w:type="auto"/>
            <w:vAlign w:val="center"/>
          </w:tcPr>
          <w:p w14:paraId="5162B34C"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 xml:space="preserve"> 775,514 </w:t>
            </w:r>
          </w:p>
        </w:tc>
        <w:tc>
          <w:tcPr>
            <w:tcW w:w="0" w:type="auto"/>
            <w:vAlign w:val="center"/>
          </w:tcPr>
          <w:p w14:paraId="52853AB5"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1.551%</w:t>
            </w:r>
          </w:p>
        </w:tc>
        <w:tc>
          <w:tcPr>
            <w:tcW w:w="0" w:type="auto"/>
            <w:vAlign w:val="center"/>
          </w:tcPr>
          <w:p w14:paraId="5C2A1243" w14:textId="77777777" w:rsidR="00930405" w:rsidRPr="00FE0582" w:rsidRDefault="00930405" w:rsidP="00E25B74">
            <w:pPr>
              <w:jc w:val="center"/>
              <w:rPr>
                <w:rFonts w:ascii="Times New Roman" w:hAnsi="Times New Roman" w:cs="Times New Roman"/>
              </w:rPr>
            </w:pPr>
            <w:r w:rsidRPr="00FE0582">
              <w:rPr>
                <w:rFonts w:ascii="Times New Roman" w:hAnsi="Times New Roman" w:cs="Times New Roman"/>
              </w:rPr>
              <w:t>26</w:t>
            </w:r>
          </w:p>
        </w:tc>
      </w:tr>
      <w:tr w:rsidR="00930405" w:rsidRPr="00D77A48" w14:paraId="1F6A2708" w14:textId="77777777" w:rsidTr="00D3219D">
        <w:trPr>
          <w:jc w:val="center"/>
        </w:trPr>
        <w:tc>
          <w:tcPr>
            <w:tcW w:w="0" w:type="auto"/>
          </w:tcPr>
          <w:p w14:paraId="3249AF7D"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New Jersey</w:t>
            </w:r>
          </w:p>
        </w:tc>
        <w:tc>
          <w:tcPr>
            <w:tcW w:w="0" w:type="auto"/>
          </w:tcPr>
          <w:p w14:paraId="4FDE179D"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Newark</w:t>
            </w:r>
          </w:p>
        </w:tc>
        <w:tc>
          <w:tcPr>
            <w:tcW w:w="0" w:type="auto"/>
            <w:vAlign w:val="center"/>
          </w:tcPr>
          <w:p w14:paraId="163CCDA3"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 xml:space="preserve"> 723,618 </w:t>
            </w:r>
          </w:p>
        </w:tc>
        <w:tc>
          <w:tcPr>
            <w:tcW w:w="0" w:type="auto"/>
            <w:vAlign w:val="center"/>
          </w:tcPr>
          <w:p w14:paraId="35A99366"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1.447%</w:t>
            </w:r>
          </w:p>
        </w:tc>
        <w:tc>
          <w:tcPr>
            <w:tcW w:w="0" w:type="auto"/>
            <w:vAlign w:val="center"/>
          </w:tcPr>
          <w:p w14:paraId="458877D6" w14:textId="77777777" w:rsidR="00930405" w:rsidRPr="00FE0582" w:rsidRDefault="00930405" w:rsidP="00E25B74">
            <w:pPr>
              <w:jc w:val="center"/>
              <w:rPr>
                <w:rFonts w:ascii="Times New Roman" w:hAnsi="Times New Roman" w:cs="Times New Roman"/>
              </w:rPr>
            </w:pPr>
            <w:r w:rsidRPr="00FE0582">
              <w:rPr>
                <w:rFonts w:ascii="Times New Roman" w:hAnsi="Times New Roman" w:cs="Times New Roman"/>
              </w:rPr>
              <w:t>29</w:t>
            </w:r>
          </w:p>
        </w:tc>
      </w:tr>
      <w:tr w:rsidR="00930405" w:rsidRPr="00D77A48" w14:paraId="266F5DBA" w14:textId="77777777" w:rsidTr="00D3219D">
        <w:trPr>
          <w:jc w:val="center"/>
        </w:trPr>
        <w:tc>
          <w:tcPr>
            <w:tcW w:w="0" w:type="auto"/>
          </w:tcPr>
          <w:p w14:paraId="46683306"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New Hampshire</w:t>
            </w:r>
          </w:p>
        </w:tc>
        <w:tc>
          <w:tcPr>
            <w:tcW w:w="0" w:type="auto"/>
          </w:tcPr>
          <w:p w14:paraId="267A5435"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Manchester</w:t>
            </w:r>
          </w:p>
        </w:tc>
        <w:tc>
          <w:tcPr>
            <w:tcW w:w="0" w:type="auto"/>
            <w:vAlign w:val="center"/>
          </w:tcPr>
          <w:p w14:paraId="3DFD45BA"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 xml:space="preserve"> 609,238 </w:t>
            </w:r>
          </w:p>
        </w:tc>
        <w:tc>
          <w:tcPr>
            <w:tcW w:w="0" w:type="auto"/>
            <w:vAlign w:val="center"/>
          </w:tcPr>
          <w:p w14:paraId="3868CD8F"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1.218%</w:t>
            </w:r>
          </w:p>
        </w:tc>
        <w:tc>
          <w:tcPr>
            <w:tcW w:w="0" w:type="auto"/>
            <w:vAlign w:val="center"/>
          </w:tcPr>
          <w:p w14:paraId="27A2AA63" w14:textId="77777777" w:rsidR="00930405" w:rsidRPr="00FE0582" w:rsidRDefault="00930405" w:rsidP="00E25B74">
            <w:pPr>
              <w:jc w:val="center"/>
              <w:rPr>
                <w:rFonts w:ascii="Times New Roman" w:hAnsi="Times New Roman" w:cs="Times New Roman"/>
              </w:rPr>
            </w:pPr>
            <w:r w:rsidRPr="00FE0582">
              <w:rPr>
                <w:rFonts w:ascii="Times New Roman" w:hAnsi="Times New Roman" w:cs="Times New Roman"/>
              </w:rPr>
              <w:t>38</w:t>
            </w:r>
          </w:p>
        </w:tc>
      </w:tr>
      <w:tr w:rsidR="00930405" w:rsidRPr="00D77A48" w14:paraId="67795BF7" w14:textId="77777777" w:rsidTr="00D3219D">
        <w:trPr>
          <w:jc w:val="center"/>
        </w:trPr>
        <w:tc>
          <w:tcPr>
            <w:tcW w:w="0" w:type="auto"/>
          </w:tcPr>
          <w:p w14:paraId="0C8407F1"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Maine</w:t>
            </w:r>
          </w:p>
          <w:p w14:paraId="196B602B" w14:textId="77777777" w:rsidR="00D3219D" w:rsidRPr="00FE0582" w:rsidRDefault="00D3219D" w:rsidP="00E25B74">
            <w:pPr>
              <w:rPr>
                <w:rFonts w:ascii="Times New Roman" w:hAnsi="Times New Roman" w:cs="Times New Roman"/>
              </w:rPr>
            </w:pPr>
          </w:p>
        </w:tc>
        <w:tc>
          <w:tcPr>
            <w:tcW w:w="0" w:type="auto"/>
            <w:vAlign w:val="center"/>
          </w:tcPr>
          <w:p w14:paraId="475522EB" w14:textId="77777777" w:rsidR="00930405" w:rsidRPr="00FE0582" w:rsidRDefault="00930405" w:rsidP="00D3219D">
            <w:pPr>
              <w:rPr>
                <w:rFonts w:ascii="Times New Roman" w:hAnsi="Times New Roman" w:cs="Times New Roman"/>
              </w:rPr>
            </w:pPr>
            <w:r w:rsidRPr="00FE0582">
              <w:rPr>
                <w:rFonts w:ascii="Times New Roman" w:hAnsi="Times New Roman" w:cs="Times New Roman"/>
              </w:rPr>
              <w:t>Portland</w:t>
            </w:r>
          </w:p>
        </w:tc>
        <w:tc>
          <w:tcPr>
            <w:tcW w:w="0" w:type="auto"/>
            <w:vAlign w:val="center"/>
          </w:tcPr>
          <w:p w14:paraId="28296E49"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 xml:space="preserve"> 550,000 </w:t>
            </w:r>
          </w:p>
        </w:tc>
        <w:tc>
          <w:tcPr>
            <w:tcW w:w="0" w:type="auto"/>
            <w:vAlign w:val="center"/>
          </w:tcPr>
          <w:p w14:paraId="5878A2FC"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1.100%</w:t>
            </w:r>
          </w:p>
        </w:tc>
        <w:tc>
          <w:tcPr>
            <w:tcW w:w="0" w:type="auto"/>
            <w:vAlign w:val="center"/>
          </w:tcPr>
          <w:p w14:paraId="27118DCB" w14:textId="77777777" w:rsidR="00930405" w:rsidRPr="00FE0582" w:rsidRDefault="00930405" w:rsidP="00E25B74">
            <w:pPr>
              <w:jc w:val="center"/>
              <w:rPr>
                <w:rFonts w:ascii="Times New Roman" w:hAnsi="Times New Roman" w:cs="Times New Roman"/>
              </w:rPr>
            </w:pPr>
            <w:r w:rsidRPr="00FE0582">
              <w:rPr>
                <w:rFonts w:ascii="Times New Roman" w:hAnsi="Times New Roman" w:cs="Times New Roman"/>
              </w:rPr>
              <w:t>41</w:t>
            </w:r>
          </w:p>
        </w:tc>
      </w:tr>
      <w:tr w:rsidR="00930405" w:rsidRPr="00D77A48" w14:paraId="2384952A" w14:textId="77777777" w:rsidTr="00D3219D">
        <w:trPr>
          <w:jc w:val="center"/>
        </w:trPr>
        <w:tc>
          <w:tcPr>
            <w:tcW w:w="0" w:type="auto"/>
            <w:gridSpan w:val="5"/>
            <w:shd w:val="clear" w:color="auto" w:fill="D9D9D9" w:themeFill="background1" w:themeFillShade="D9"/>
            <w:vAlign w:val="center"/>
          </w:tcPr>
          <w:p w14:paraId="35CA0DEA" w14:textId="77777777" w:rsidR="00930405" w:rsidRPr="00FE0582" w:rsidRDefault="00930405" w:rsidP="00E25B74">
            <w:pPr>
              <w:jc w:val="center"/>
              <w:rPr>
                <w:rFonts w:ascii="Times New Roman" w:hAnsi="Times New Roman" w:cs="Times New Roman"/>
              </w:rPr>
            </w:pPr>
            <w:r w:rsidRPr="00FE0582">
              <w:rPr>
                <w:rFonts w:ascii="Times New Roman" w:hAnsi="Times New Roman" w:cs="Times New Roman"/>
              </w:rPr>
              <w:t>Rural</w:t>
            </w:r>
          </w:p>
        </w:tc>
      </w:tr>
      <w:tr w:rsidR="00930405" w:rsidRPr="00D77A48" w14:paraId="38C13A2A" w14:textId="77777777" w:rsidTr="00D3219D">
        <w:trPr>
          <w:jc w:val="center"/>
        </w:trPr>
        <w:tc>
          <w:tcPr>
            <w:tcW w:w="0" w:type="auto"/>
          </w:tcPr>
          <w:p w14:paraId="305B26DA"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New York</w:t>
            </w:r>
          </w:p>
        </w:tc>
        <w:tc>
          <w:tcPr>
            <w:tcW w:w="0" w:type="auto"/>
          </w:tcPr>
          <w:p w14:paraId="33EE54AF"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Warsaw</w:t>
            </w:r>
          </w:p>
        </w:tc>
        <w:tc>
          <w:tcPr>
            <w:tcW w:w="0" w:type="auto"/>
            <w:vAlign w:val="center"/>
          </w:tcPr>
          <w:p w14:paraId="59338F18"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 xml:space="preserve"> 896,175 </w:t>
            </w:r>
          </w:p>
        </w:tc>
        <w:tc>
          <w:tcPr>
            <w:tcW w:w="0" w:type="auto"/>
            <w:vAlign w:val="center"/>
          </w:tcPr>
          <w:p w14:paraId="2A057D89"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1.792%</w:t>
            </w:r>
          </w:p>
        </w:tc>
        <w:tc>
          <w:tcPr>
            <w:tcW w:w="0" w:type="auto"/>
            <w:vAlign w:val="center"/>
          </w:tcPr>
          <w:p w14:paraId="2FADC73D" w14:textId="77777777" w:rsidR="00930405" w:rsidRPr="00FE0582" w:rsidRDefault="00930405" w:rsidP="00E25B74">
            <w:pPr>
              <w:jc w:val="center"/>
              <w:rPr>
                <w:rFonts w:ascii="Times New Roman" w:hAnsi="Times New Roman" w:cs="Times New Roman"/>
              </w:rPr>
            </w:pPr>
            <w:r w:rsidRPr="00FE0582">
              <w:rPr>
                <w:rFonts w:ascii="Times New Roman" w:hAnsi="Times New Roman" w:cs="Times New Roman"/>
              </w:rPr>
              <w:t>9</w:t>
            </w:r>
          </w:p>
        </w:tc>
      </w:tr>
      <w:tr w:rsidR="00930405" w:rsidRPr="00D77A48" w14:paraId="7CF68AA9" w14:textId="77777777" w:rsidTr="00D3219D">
        <w:trPr>
          <w:jc w:val="center"/>
        </w:trPr>
        <w:tc>
          <w:tcPr>
            <w:tcW w:w="0" w:type="auto"/>
          </w:tcPr>
          <w:p w14:paraId="67E13047" w14:textId="77777777" w:rsidR="00930405" w:rsidRPr="00FE0582" w:rsidRDefault="00930405" w:rsidP="00E25B74">
            <w:pPr>
              <w:rPr>
                <w:rFonts w:ascii="Times New Roman" w:hAnsi="Times New Roman" w:cs="Times New Roman"/>
              </w:rPr>
            </w:pPr>
            <w:r w:rsidRPr="00FE0582">
              <w:rPr>
                <w:rFonts w:ascii="Times New Roman" w:hAnsi="Times New Roman" w:cs="Times New Roman"/>
                <w:b/>
              </w:rPr>
              <w:t>National average</w:t>
            </w:r>
          </w:p>
        </w:tc>
        <w:tc>
          <w:tcPr>
            <w:tcW w:w="0" w:type="auto"/>
          </w:tcPr>
          <w:p w14:paraId="4505F786" w14:textId="77777777" w:rsidR="00930405" w:rsidRPr="00FE0582" w:rsidRDefault="00930405" w:rsidP="00E25B74">
            <w:pPr>
              <w:rPr>
                <w:rFonts w:ascii="Times New Roman" w:hAnsi="Times New Roman" w:cs="Times New Roman"/>
              </w:rPr>
            </w:pPr>
          </w:p>
        </w:tc>
        <w:tc>
          <w:tcPr>
            <w:tcW w:w="0" w:type="auto"/>
            <w:vAlign w:val="center"/>
          </w:tcPr>
          <w:p w14:paraId="10F5A075"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 xml:space="preserve"> 647,029 </w:t>
            </w:r>
          </w:p>
        </w:tc>
        <w:tc>
          <w:tcPr>
            <w:tcW w:w="0" w:type="auto"/>
            <w:vAlign w:val="center"/>
          </w:tcPr>
          <w:p w14:paraId="3A1954A3"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1.294%</w:t>
            </w:r>
          </w:p>
        </w:tc>
        <w:tc>
          <w:tcPr>
            <w:tcW w:w="0" w:type="auto"/>
            <w:vAlign w:val="center"/>
          </w:tcPr>
          <w:p w14:paraId="78D0CA87" w14:textId="77777777" w:rsidR="00930405" w:rsidRPr="00FE0582" w:rsidRDefault="00930405" w:rsidP="00E25B74">
            <w:pPr>
              <w:jc w:val="center"/>
              <w:rPr>
                <w:rFonts w:ascii="Times New Roman" w:hAnsi="Times New Roman" w:cs="Times New Roman"/>
              </w:rPr>
            </w:pPr>
          </w:p>
        </w:tc>
      </w:tr>
      <w:tr w:rsidR="00930405" w:rsidRPr="00D77A48" w14:paraId="3853875E" w14:textId="77777777" w:rsidTr="00D3219D">
        <w:trPr>
          <w:jc w:val="center"/>
        </w:trPr>
        <w:tc>
          <w:tcPr>
            <w:tcW w:w="0" w:type="auto"/>
          </w:tcPr>
          <w:p w14:paraId="19326BB6"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Massachusetts</w:t>
            </w:r>
          </w:p>
        </w:tc>
        <w:tc>
          <w:tcPr>
            <w:tcW w:w="0" w:type="auto"/>
          </w:tcPr>
          <w:p w14:paraId="3E5AD166"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Adams</w:t>
            </w:r>
          </w:p>
        </w:tc>
        <w:tc>
          <w:tcPr>
            <w:tcW w:w="0" w:type="auto"/>
            <w:vAlign w:val="center"/>
          </w:tcPr>
          <w:p w14:paraId="3D201D4E"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 xml:space="preserve"> 639,630 </w:t>
            </w:r>
          </w:p>
        </w:tc>
        <w:tc>
          <w:tcPr>
            <w:tcW w:w="0" w:type="auto"/>
            <w:vAlign w:val="center"/>
          </w:tcPr>
          <w:p w14:paraId="14111EB8"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1.279%</w:t>
            </w:r>
          </w:p>
        </w:tc>
        <w:tc>
          <w:tcPr>
            <w:tcW w:w="0" w:type="auto"/>
            <w:vAlign w:val="center"/>
          </w:tcPr>
          <w:p w14:paraId="6FD4231A" w14:textId="77777777" w:rsidR="00930405" w:rsidRPr="00FE0582" w:rsidRDefault="00930405" w:rsidP="00E25B74">
            <w:pPr>
              <w:jc w:val="center"/>
              <w:rPr>
                <w:rFonts w:ascii="Times New Roman" w:hAnsi="Times New Roman" w:cs="Times New Roman"/>
              </w:rPr>
            </w:pPr>
            <w:r w:rsidRPr="00FE0582">
              <w:rPr>
                <w:rFonts w:ascii="Times New Roman" w:hAnsi="Times New Roman" w:cs="Times New Roman"/>
              </w:rPr>
              <w:t>22</w:t>
            </w:r>
          </w:p>
        </w:tc>
      </w:tr>
      <w:tr w:rsidR="00930405" w:rsidRPr="00D77A48" w14:paraId="0981ABA6" w14:textId="77777777" w:rsidTr="00D3219D">
        <w:trPr>
          <w:jc w:val="center"/>
        </w:trPr>
        <w:tc>
          <w:tcPr>
            <w:tcW w:w="0" w:type="auto"/>
          </w:tcPr>
          <w:p w14:paraId="777D02C7"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New Hampshire</w:t>
            </w:r>
          </w:p>
        </w:tc>
        <w:tc>
          <w:tcPr>
            <w:tcW w:w="0" w:type="auto"/>
          </w:tcPr>
          <w:p w14:paraId="11E08023"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Lancaster</w:t>
            </w:r>
          </w:p>
        </w:tc>
        <w:tc>
          <w:tcPr>
            <w:tcW w:w="0" w:type="auto"/>
            <w:vAlign w:val="center"/>
          </w:tcPr>
          <w:p w14:paraId="6CA06B4B"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 xml:space="preserve"> 603,135 </w:t>
            </w:r>
          </w:p>
        </w:tc>
        <w:tc>
          <w:tcPr>
            <w:tcW w:w="0" w:type="auto"/>
            <w:vAlign w:val="center"/>
          </w:tcPr>
          <w:p w14:paraId="61411F5E"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1.206%</w:t>
            </w:r>
          </w:p>
        </w:tc>
        <w:tc>
          <w:tcPr>
            <w:tcW w:w="0" w:type="auto"/>
            <w:vAlign w:val="center"/>
          </w:tcPr>
          <w:p w14:paraId="1A5D548F" w14:textId="77777777" w:rsidR="00930405" w:rsidRPr="00FE0582" w:rsidRDefault="00930405" w:rsidP="00E25B74">
            <w:pPr>
              <w:jc w:val="center"/>
              <w:rPr>
                <w:rFonts w:ascii="Times New Roman" w:hAnsi="Times New Roman" w:cs="Times New Roman"/>
              </w:rPr>
            </w:pPr>
            <w:r w:rsidRPr="00FE0582">
              <w:rPr>
                <w:rFonts w:ascii="Times New Roman" w:hAnsi="Times New Roman" w:cs="Times New Roman"/>
              </w:rPr>
              <w:t>23</w:t>
            </w:r>
          </w:p>
        </w:tc>
      </w:tr>
      <w:tr w:rsidR="00930405" w:rsidRPr="00D77A48" w14:paraId="25400CB6" w14:textId="77777777" w:rsidTr="00D3219D">
        <w:trPr>
          <w:jc w:val="center"/>
        </w:trPr>
        <w:tc>
          <w:tcPr>
            <w:tcW w:w="0" w:type="auto"/>
          </w:tcPr>
          <w:p w14:paraId="4EA2AD89"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New Jersey</w:t>
            </w:r>
          </w:p>
        </w:tc>
        <w:tc>
          <w:tcPr>
            <w:tcW w:w="0" w:type="auto"/>
          </w:tcPr>
          <w:p w14:paraId="51E83D61"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Maurice River Township</w:t>
            </w:r>
          </w:p>
        </w:tc>
        <w:tc>
          <w:tcPr>
            <w:tcW w:w="0" w:type="auto"/>
            <w:vAlign w:val="center"/>
          </w:tcPr>
          <w:p w14:paraId="55879F8F"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 xml:space="preserve"> 591,697 </w:t>
            </w:r>
          </w:p>
        </w:tc>
        <w:tc>
          <w:tcPr>
            <w:tcW w:w="0" w:type="auto"/>
            <w:vAlign w:val="center"/>
          </w:tcPr>
          <w:p w14:paraId="4F010B50"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1.183%</w:t>
            </w:r>
          </w:p>
        </w:tc>
        <w:tc>
          <w:tcPr>
            <w:tcW w:w="0" w:type="auto"/>
            <w:vAlign w:val="center"/>
          </w:tcPr>
          <w:p w14:paraId="761BD825" w14:textId="77777777" w:rsidR="00930405" w:rsidRPr="00FE0582" w:rsidRDefault="00930405" w:rsidP="00E25B74">
            <w:pPr>
              <w:jc w:val="center"/>
              <w:rPr>
                <w:rFonts w:ascii="Times New Roman" w:hAnsi="Times New Roman" w:cs="Times New Roman"/>
              </w:rPr>
            </w:pPr>
            <w:r w:rsidRPr="00FE0582">
              <w:rPr>
                <w:rFonts w:ascii="Times New Roman" w:hAnsi="Times New Roman" w:cs="Times New Roman"/>
              </w:rPr>
              <w:t>24</w:t>
            </w:r>
          </w:p>
        </w:tc>
      </w:tr>
      <w:tr w:rsidR="00930405" w:rsidRPr="00D77A48" w14:paraId="5F91460C" w14:textId="77777777" w:rsidTr="00D3219D">
        <w:trPr>
          <w:jc w:val="center"/>
        </w:trPr>
        <w:tc>
          <w:tcPr>
            <w:tcW w:w="0" w:type="auto"/>
          </w:tcPr>
          <w:p w14:paraId="253472F7"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Vermont</w:t>
            </w:r>
          </w:p>
        </w:tc>
        <w:tc>
          <w:tcPr>
            <w:tcW w:w="0" w:type="auto"/>
          </w:tcPr>
          <w:p w14:paraId="682B4731"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Hartford</w:t>
            </w:r>
          </w:p>
        </w:tc>
        <w:tc>
          <w:tcPr>
            <w:tcW w:w="0" w:type="auto"/>
            <w:vAlign w:val="center"/>
          </w:tcPr>
          <w:p w14:paraId="5F571E5B"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 xml:space="preserve"> 573,407 </w:t>
            </w:r>
          </w:p>
        </w:tc>
        <w:tc>
          <w:tcPr>
            <w:tcW w:w="0" w:type="auto"/>
            <w:vAlign w:val="center"/>
          </w:tcPr>
          <w:p w14:paraId="2C34770E"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1.147%</w:t>
            </w:r>
          </w:p>
        </w:tc>
        <w:tc>
          <w:tcPr>
            <w:tcW w:w="0" w:type="auto"/>
            <w:vAlign w:val="center"/>
          </w:tcPr>
          <w:p w14:paraId="73C8206F" w14:textId="77777777" w:rsidR="00930405" w:rsidRPr="00FE0582" w:rsidRDefault="00930405" w:rsidP="00E25B74">
            <w:pPr>
              <w:jc w:val="center"/>
              <w:rPr>
                <w:rFonts w:ascii="Times New Roman" w:hAnsi="Times New Roman" w:cs="Times New Roman"/>
              </w:rPr>
            </w:pPr>
            <w:r w:rsidRPr="00FE0582">
              <w:rPr>
                <w:rFonts w:ascii="Times New Roman" w:hAnsi="Times New Roman" w:cs="Times New Roman"/>
              </w:rPr>
              <w:t>26</w:t>
            </w:r>
          </w:p>
        </w:tc>
      </w:tr>
      <w:tr w:rsidR="00930405" w:rsidRPr="00D77A48" w14:paraId="54CF0480" w14:textId="77777777" w:rsidTr="00D3219D">
        <w:trPr>
          <w:jc w:val="center"/>
        </w:trPr>
        <w:tc>
          <w:tcPr>
            <w:tcW w:w="0" w:type="auto"/>
          </w:tcPr>
          <w:p w14:paraId="633920C9"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Maine</w:t>
            </w:r>
          </w:p>
        </w:tc>
        <w:tc>
          <w:tcPr>
            <w:tcW w:w="0" w:type="auto"/>
          </w:tcPr>
          <w:p w14:paraId="21ABA47A"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Rockland</w:t>
            </w:r>
          </w:p>
        </w:tc>
        <w:tc>
          <w:tcPr>
            <w:tcW w:w="0" w:type="auto"/>
            <w:vAlign w:val="center"/>
          </w:tcPr>
          <w:p w14:paraId="50D18D8C"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 xml:space="preserve"> 554,400 </w:t>
            </w:r>
          </w:p>
        </w:tc>
        <w:tc>
          <w:tcPr>
            <w:tcW w:w="0" w:type="auto"/>
            <w:vAlign w:val="center"/>
          </w:tcPr>
          <w:p w14:paraId="12301AAA"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1.109%</w:t>
            </w:r>
          </w:p>
        </w:tc>
        <w:tc>
          <w:tcPr>
            <w:tcW w:w="0" w:type="auto"/>
            <w:vAlign w:val="center"/>
          </w:tcPr>
          <w:p w14:paraId="5A7BA753" w14:textId="77777777" w:rsidR="00930405" w:rsidRPr="00FE0582" w:rsidRDefault="00930405" w:rsidP="00E25B74">
            <w:pPr>
              <w:jc w:val="center"/>
              <w:rPr>
                <w:rFonts w:ascii="Times New Roman" w:hAnsi="Times New Roman" w:cs="Times New Roman"/>
              </w:rPr>
            </w:pPr>
            <w:r w:rsidRPr="00FE0582">
              <w:rPr>
                <w:rFonts w:ascii="Times New Roman" w:hAnsi="Times New Roman" w:cs="Times New Roman"/>
              </w:rPr>
              <w:t>27</w:t>
            </w:r>
          </w:p>
        </w:tc>
      </w:tr>
      <w:tr w:rsidR="00930405" w:rsidRPr="00D77A48" w14:paraId="50D4B519" w14:textId="77777777" w:rsidTr="00D3219D">
        <w:trPr>
          <w:jc w:val="center"/>
        </w:trPr>
        <w:tc>
          <w:tcPr>
            <w:tcW w:w="0" w:type="auto"/>
          </w:tcPr>
          <w:p w14:paraId="24EC8B2D"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Rhode Island</w:t>
            </w:r>
          </w:p>
        </w:tc>
        <w:tc>
          <w:tcPr>
            <w:tcW w:w="0" w:type="auto"/>
          </w:tcPr>
          <w:p w14:paraId="21A40DAC" w14:textId="77777777" w:rsidR="00930405" w:rsidRPr="00FE0582" w:rsidRDefault="00930405" w:rsidP="00E25B74">
            <w:pPr>
              <w:rPr>
                <w:rFonts w:ascii="Times New Roman" w:hAnsi="Times New Roman" w:cs="Times New Roman"/>
              </w:rPr>
            </w:pPr>
            <w:r w:rsidRPr="00FE0582">
              <w:rPr>
                <w:rFonts w:ascii="Times New Roman" w:hAnsi="Times New Roman" w:cs="Times New Roman"/>
              </w:rPr>
              <w:t>Hopkinton</w:t>
            </w:r>
          </w:p>
        </w:tc>
        <w:tc>
          <w:tcPr>
            <w:tcW w:w="0" w:type="auto"/>
            <w:vAlign w:val="center"/>
          </w:tcPr>
          <w:p w14:paraId="2DAD4E89"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 xml:space="preserve"> 518,064 </w:t>
            </w:r>
          </w:p>
        </w:tc>
        <w:tc>
          <w:tcPr>
            <w:tcW w:w="0" w:type="auto"/>
            <w:vAlign w:val="center"/>
          </w:tcPr>
          <w:p w14:paraId="6CAAA972" w14:textId="77777777" w:rsidR="00930405" w:rsidRPr="00FE0582" w:rsidRDefault="00930405" w:rsidP="00E25B74">
            <w:pPr>
              <w:jc w:val="right"/>
              <w:rPr>
                <w:rFonts w:ascii="Times New Roman" w:hAnsi="Times New Roman" w:cs="Times New Roman"/>
              </w:rPr>
            </w:pPr>
            <w:r w:rsidRPr="00FE0582">
              <w:rPr>
                <w:rFonts w:ascii="Times New Roman" w:hAnsi="Times New Roman" w:cs="Times New Roman"/>
              </w:rPr>
              <w:t>1.036%</w:t>
            </w:r>
          </w:p>
        </w:tc>
        <w:tc>
          <w:tcPr>
            <w:tcW w:w="0" w:type="auto"/>
            <w:vAlign w:val="center"/>
          </w:tcPr>
          <w:p w14:paraId="6A3365C9" w14:textId="77777777" w:rsidR="00930405" w:rsidRPr="00FE0582" w:rsidRDefault="00930405" w:rsidP="00E25B74">
            <w:pPr>
              <w:jc w:val="center"/>
              <w:rPr>
                <w:rFonts w:ascii="Times New Roman" w:hAnsi="Times New Roman" w:cs="Times New Roman"/>
              </w:rPr>
            </w:pPr>
            <w:r w:rsidRPr="00FE0582">
              <w:rPr>
                <w:rFonts w:ascii="Times New Roman" w:hAnsi="Times New Roman" w:cs="Times New Roman"/>
              </w:rPr>
              <w:t>30</w:t>
            </w:r>
          </w:p>
        </w:tc>
      </w:tr>
      <w:tr w:rsidR="00930405" w:rsidRPr="00D77A48" w14:paraId="649BC9AE" w14:textId="77777777" w:rsidTr="00D3219D">
        <w:trPr>
          <w:jc w:val="center"/>
        </w:trPr>
        <w:tc>
          <w:tcPr>
            <w:tcW w:w="0" w:type="auto"/>
          </w:tcPr>
          <w:p w14:paraId="0B345B33" w14:textId="77777777" w:rsidR="00930405" w:rsidRPr="00FE0582" w:rsidRDefault="00930405" w:rsidP="00E25B74">
            <w:pPr>
              <w:rPr>
                <w:rFonts w:ascii="Times New Roman" w:hAnsi="Times New Roman" w:cs="Times New Roman"/>
                <w:b/>
              </w:rPr>
            </w:pPr>
            <w:r w:rsidRPr="00FE0582">
              <w:rPr>
                <w:rFonts w:ascii="Times New Roman" w:hAnsi="Times New Roman" w:cs="Times New Roman"/>
                <w:b/>
              </w:rPr>
              <w:t>Connecticut</w:t>
            </w:r>
          </w:p>
        </w:tc>
        <w:tc>
          <w:tcPr>
            <w:tcW w:w="0" w:type="auto"/>
          </w:tcPr>
          <w:p w14:paraId="729B6234" w14:textId="77777777" w:rsidR="00930405" w:rsidRPr="00FE0582" w:rsidRDefault="00930405" w:rsidP="00E25B74">
            <w:pPr>
              <w:rPr>
                <w:rFonts w:ascii="Times New Roman" w:hAnsi="Times New Roman" w:cs="Times New Roman"/>
                <w:b/>
              </w:rPr>
            </w:pPr>
            <w:r w:rsidRPr="00FE0582">
              <w:rPr>
                <w:rFonts w:ascii="Times New Roman" w:hAnsi="Times New Roman" w:cs="Times New Roman"/>
                <w:b/>
              </w:rPr>
              <w:t>Litchfield</w:t>
            </w:r>
          </w:p>
        </w:tc>
        <w:tc>
          <w:tcPr>
            <w:tcW w:w="0" w:type="auto"/>
            <w:vAlign w:val="center"/>
          </w:tcPr>
          <w:p w14:paraId="4E136B50" w14:textId="77777777" w:rsidR="00930405" w:rsidRPr="00FE0582" w:rsidRDefault="00930405" w:rsidP="00E25B74">
            <w:pPr>
              <w:jc w:val="right"/>
              <w:rPr>
                <w:rFonts w:ascii="Times New Roman" w:hAnsi="Times New Roman" w:cs="Times New Roman"/>
                <w:b/>
              </w:rPr>
            </w:pPr>
            <w:r w:rsidRPr="00FE0582">
              <w:rPr>
                <w:rFonts w:ascii="Times New Roman" w:hAnsi="Times New Roman" w:cs="Times New Roman"/>
                <w:b/>
              </w:rPr>
              <w:t xml:space="preserve"> 476,721 </w:t>
            </w:r>
          </w:p>
        </w:tc>
        <w:tc>
          <w:tcPr>
            <w:tcW w:w="0" w:type="auto"/>
            <w:vAlign w:val="center"/>
          </w:tcPr>
          <w:p w14:paraId="5A08B0CE" w14:textId="77777777" w:rsidR="00930405" w:rsidRPr="00FE0582" w:rsidRDefault="00930405" w:rsidP="00E25B74">
            <w:pPr>
              <w:jc w:val="right"/>
              <w:rPr>
                <w:rFonts w:ascii="Times New Roman" w:hAnsi="Times New Roman" w:cs="Times New Roman"/>
                <w:b/>
              </w:rPr>
            </w:pPr>
            <w:r w:rsidRPr="00FE0582">
              <w:rPr>
                <w:rFonts w:ascii="Times New Roman" w:hAnsi="Times New Roman" w:cs="Times New Roman"/>
                <w:b/>
              </w:rPr>
              <w:t>0.953%</w:t>
            </w:r>
          </w:p>
        </w:tc>
        <w:tc>
          <w:tcPr>
            <w:tcW w:w="0" w:type="auto"/>
            <w:vAlign w:val="center"/>
          </w:tcPr>
          <w:p w14:paraId="1A73B963" w14:textId="77777777" w:rsidR="00930405" w:rsidRPr="00FE0582" w:rsidRDefault="00930405" w:rsidP="00E25B74">
            <w:pPr>
              <w:jc w:val="center"/>
              <w:rPr>
                <w:rFonts w:ascii="Times New Roman" w:hAnsi="Times New Roman" w:cs="Times New Roman"/>
                <w:b/>
              </w:rPr>
            </w:pPr>
            <w:r w:rsidRPr="00FE0582">
              <w:rPr>
                <w:rFonts w:ascii="Times New Roman" w:hAnsi="Times New Roman" w:cs="Times New Roman"/>
                <w:b/>
              </w:rPr>
              <w:t>35</w:t>
            </w:r>
          </w:p>
        </w:tc>
      </w:tr>
    </w:tbl>
    <w:p w14:paraId="6D8A1AFA" w14:textId="55124F58" w:rsidR="00FE0582" w:rsidRPr="00FE0582" w:rsidRDefault="00D3219D" w:rsidP="00D3219D">
      <w:pPr>
        <w:rPr>
          <w:rFonts w:ascii="Times New Roman" w:hAnsi="Times New Roman" w:cs="Times New Roman"/>
        </w:rPr>
      </w:pPr>
      <w:r w:rsidRPr="00FE0582">
        <w:rPr>
          <w:rFonts w:ascii="Times New Roman" w:hAnsi="Times New Roman" w:cs="Times New Roman"/>
        </w:rPr>
        <w:tab/>
        <w:t xml:space="preserve">Source: </w:t>
      </w:r>
      <w:r w:rsidR="00FE0582" w:rsidRPr="00FE0582">
        <w:rPr>
          <w:rFonts w:ascii="Times New Roman" w:hAnsi="Times New Roman" w:cs="Times New Roman"/>
        </w:rPr>
        <w:t xml:space="preserve">Lincoln Institute of Land Policy and Minnesota Center for Fiscal Excellence </w:t>
      </w:r>
      <w:r w:rsidR="00FE0582" w:rsidRPr="00FE0582">
        <w:rPr>
          <w:rFonts w:ascii="Times New Roman" w:hAnsi="Times New Roman" w:cs="Times New Roman"/>
        </w:rPr>
        <w:fldChar w:fldCharType="begin"/>
      </w:r>
      <w:r w:rsidR="00FE0582" w:rsidRPr="00FE0582">
        <w:rPr>
          <w:rFonts w:ascii="Times New Roman" w:hAnsi="Times New Roman" w:cs="Times New Roman"/>
        </w:rPr>
        <w:instrText xml:space="preserve"> ADDIN EN.CITE &lt;EndNote&gt;&lt;Cite ExcludeAuth="1"&gt;&lt;Author&gt;LILP/MCFE&lt;/Author&gt;&lt;Year&gt;2015&lt;/Year&gt;&lt;RecNum&gt;28&lt;/RecNum&gt;&lt;DisplayText&gt;(2015)&lt;/DisplayText&gt;&lt;record&gt;&lt;rec-number&gt;28&lt;/rec-number&gt;&lt;foreign-keys&gt;&lt;key app="EN" db-id="efsrp25rfad5tverv0kv2ztwvdrzzzda2pwp" timestamp="1446588008"&gt;28&lt;/key&gt;&lt;/foreign-keys&gt;&lt;ref-type name="Book"&gt;6&lt;/ref-type&gt;&lt;contributors&gt;&lt;authors&gt;&lt;author&gt;LILP/MCFE,&lt;/author&gt;&lt;/authors&gt;&lt;/contributors&gt;&lt;titles&gt;&lt;title&gt;50-State Property Tax Comparison Study&lt;/title&gt;&lt;/titles&gt;&lt;dates&gt;&lt;year&gt;2015&lt;/year&gt;&lt;/dates&gt;&lt;pub-location&gt;Cambridge, MA; Saint Paul, MN&lt;/pub-location&gt;&lt;publisher&gt;Lincoln Institute of Land Policy and Minnesota Center for Fiscal Excellence &lt;/publisher&gt;&lt;urls&gt;&lt;/urls&gt;&lt;/record&gt;&lt;/Cite&gt;&lt;/EndNote&gt;</w:instrText>
      </w:r>
      <w:r w:rsidR="00FE0582" w:rsidRPr="00FE0582">
        <w:rPr>
          <w:rFonts w:ascii="Times New Roman" w:hAnsi="Times New Roman" w:cs="Times New Roman"/>
        </w:rPr>
        <w:fldChar w:fldCharType="separate"/>
      </w:r>
      <w:r w:rsidR="00FE0582" w:rsidRPr="00FE0582">
        <w:rPr>
          <w:rFonts w:ascii="Times New Roman" w:hAnsi="Times New Roman" w:cs="Times New Roman"/>
          <w:noProof/>
        </w:rPr>
        <w:t>(2015)</w:t>
      </w:r>
      <w:r w:rsidR="00FE0582" w:rsidRPr="00FE0582">
        <w:rPr>
          <w:rFonts w:ascii="Times New Roman" w:hAnsi="Times New Roman" w:cs="Times New Roman"/>
        </w:rPr>
        <w:fldChar w:fldCharType="end"/>
      </w:r>
      <w:r w:rsidR="00FE0582">
        <w:rPr>
          <w:rFonts w:ascii="Times New Roman" w:hAnsi="Times New Roman" w:cs="Times New Roman"/>
        </w:rPr>
        <w:t xml:space="preserve"> </w:t>
      </w:r>
    </w:p>
    <w:p w14:paraId="6DF8714C" w14:textId="2B30094B" w:rsidR="00930405" w:rsidRPr="00C43423" w:rsidRDefault="00D3219D" w:rsidP="00C43423">
      <w:pPr>
        <w:jc w:val="both"/>
        <w:rPr>
          <w:rFonts w:ascii="Times New Roman" w:hAnsi="Times New Roman" w:cs="Times New Roman"/>
        </w:rPr>
      </w:pPr>
      <w:r w:rsidRPr="00C43423">
        <w:rPr>
          <w:rFonts w:ascii="Times New Roman" w:hAnsi="Times New Roman" w:cs="Times New Roman"/>
        </w:rPr>
        <w:lastRenderedPageBreak/>
        <w:t xml:space="preserve">The </w:t>
      </w:r>
      <w:r w:rsidR="00C43423" w:rsidRPr="00C43423">
        <w:rPr>
          <w:rFonts w:ascii="Times New Roman" w:hAnsi="Times New Roman" w:cs="Times New Roman"/>
        </w:rPr>
        <w:t>Lincoln Institute/Minnesota</w:t>
      </w:r>
      <w:r w:rsidR="00930405" w:rsidRPr="00C43423">
        <w:rPr>
          <w:rFonts w:ascii="Times New Roman" w:hAnsi="Times New Roman" w:cs="Times New Roman"/>
        </w:rPr>
        <w:t xml:space="preserve"> study selects Bridgeport, CT for the urban comparisons and Litchfield, CT for the rural comparisons. The mill rate in Bridgeport is </w:t>
      </w:r>
      <w:r w:rsidRPr="00C43423">
        <w:rPr>
          <w:rFonts w:ascii="Times New Roman" w:hAnsi="Times New Roman" w:cs="Times New Roman"/>
        </w:rPr>
        <w:t>in the 95th percentile of all Connecticut</w:t>
      </w:r>
      <w:r w:rsidR="00930405" w:rsidRPr="00C43423">
        <w:rPr>
          <w:rFonts w:ascii="Times New Roman" w:hAnsi="Times New Roman" w:cs="Times New Roman"/>
        </w:rPr>
        <w:t xml:space="preserve"> cities and towns, while Litchfield is in the 36</w:t>
      </w:r>
      <w:r w:rsidR="00930405" w:rsidRPr="00C43423">
        <w:rPr>
          <w:rFonts w:ascii="Times New Roman" w:hAnsi="Times New Roman" w:cs="Times New Roman"/>
          <w:vertAlign w:val="superscript"/>
        </w:rPr>
        <w:t>th</w:t>
      </w:r>
      <w:r w:rsidR="00930405" w:rsidRPr="00C43423">
        <w:rPr>
          <w:rFonts w:ascii="Times New Roman" w:hAnsi="Times New Roman" w:cs="Times New Roman"/>
        </w:rPr>
        <w:t xml:space="preserve"> percentile. This means that the calculations for Bridgeport are 48.2% higher than the tax obligation calculated at the state median, while the estimates for Litchfield are 10.1% lower than they would be at the state median. </w:t>
      </w:r>
    </w:p>
    <w:p w14:paraId="6F1F7395" w14:textId="65B6B058" w:rsidR="00930405" w:rsidRPr="00C43423" w:rsidRDefault="00930405" w:rsidP="00C43423">
      <w:pPr>
        <w:jc w:val="both"/>
        <w:rPr>
          <w:rFonts w:ascii="Times New Roman" w:hAnsi="Times New Roman" w:cs="Times New Roman"/>
        </w:rPr>
      </w:pPr>
      <w:r w:rsidRPr="00C43423">
        <w:rPr>
          <w:rFonts w:ascii="Times New Roman" w:hAnsi="Times New Roman" w:cs="Times New Roman"/>
        </w:rPr>
        <w:t>The two tables suggest that the</w:t>
      </w:r>
      <w:r w:rsidR="00B61C7F" w:rsidRPr="00C43423">
        <w:rPr>
          <w:rFonts w:ascii="Times New Roman" w:hAnsi="Times New Roman" w:cs="Times New Roman"/>
        </w:rPr>
        <w:t xml:space="preserve"> Connecticut</w:t>
      </w:r>
      <w:r w:rsidRPr="00C43423">
        <w:rPr>
          <w:rFonts w:ascii="Times New Roman" w:hAnsi="Times New Roman" w:cs="Times New Roman"/>
        </w:rPr>
        <w:t xml:space="preserve"> property tax (real estate and business personal property combined) </w:t>
      </w:r>
      <w:r w:rsidR="00B61C7F" w:rsidRPr="00C43423">
        <w:rPr>
          <w:rFonts w:ascii="Times New Roman" w:hAnsi="Times New Roman" w:cs="Times New Roman"/>
        </w:rPr>
        <w:t>is</w:t>
      </w:r>
      <w:r w:rsidRPr="00C43423">
        <w:rPr>
          <w:rFonts w:ascii="Times New Roman" w:hAnsi="Times New Roman" w:cs="Times New Roman"/>
        </w:rPr>
        <w:t xml:space="preserve"> above the national average for urban areas and below the national average for rural areas. But even for the urban areas, there are a number of states that appear to have higher combined property tax burdens for commercial and industrial property. </w:t>
      </w:r>
    </w:p>
    <w:p w14:paraId="24A20874" w14:textId="5F2794CB" w:rsidR="00930405" w:rsidRPr="00C43423" w:rsidRDefault="00930405" w:rsidP="00C43423">
      <w:pPr>
        <w:jc w:val="both"/>
        <w:rPr>
          <w:rFonts w:ascii="Times New Roman" w:hAnsi="Times New Roman" w:cs="Times New Roman"/>
        </w:rPr>
      </w:pPr>
      <w:r w:rsidRPr="00C43423">
        <w:rPr>
          <w:rFonts w:ascii="Times New Roman" w:hAnsi="Times New Roman" w:cs="Times New Roman"/>
        </w:rPr>
        <w:t xml:space="preserve">The treatment of </w:t>
      </w:r>
      <w:r w:rsidR="00D3219D" w:rsidRPr="00C43423">
        <w:rPr>
          <w:rFonts w:ascii="Times New Roman" w:hAnsi="Times New Roman" w:cs="Times New Roman"/>
        </w:rPr>
        <w:t>business personal property in Connecticut does not appear to set Connecticut</w:t>
      </w:r>
      <w:r w:rsidRPr="00C43423">
        <w:rPr>
          <w:rFonts w:ascii="Times New Roman" w:hAnsi="Times New Roman" w:cs="Times New Roman"/>
        </w:rPr>
        <w:t xml:space="preserve"> apart from other states. There are several reasons for this. First, many states use a different approach to valuing large complex properties such as those owned by electric utilities, natural gas transmission and distribution companies, railroads and similar large complex firms. In 40 of the 50 states, such companies are valued by state tax assessment entities using an approach that values the assets of these firms as a unified whole without distinguishing between real and personal property. Consequently, reports on the structure of the tax base from such states may appear to understate the amount of personal property in the tax base. </w:t>
      </w:r>
    </w:p>
    <w:p w14:paraId="2C980F04" w14:textId="6E07FF97" w:rsidR="00B61C7F" w:rsidRPr="00C43423" w:rsidRDefault="00B61C7F" w:rsidP="00C43423">
      <w:pPr>
        <w:jc w:val="both"/>
        <w:rPr>
          <w:rFonts w:ascii="Times New Roman" w:hAnsi="Times New Roman" w:cs="Times New Roman"/>
        </w:rPr>
      </w:pPr>
      <w:r w:rsidRPr="00C43423">
        <w:rPr>
          <w:rFonts w:ascii="Times New Roman" w:hAnsi="Times New Roman" w:cs="Times New Roman"/>
        </w:rPr>
        <w:t xml:space="preserve">A second likely reason is that states which appear to exempt personal property compensate by raising the rate on real property to offset the lost revenue. This appears to be the case in New York. It is also likely that in some states with apparently low tax rates, aggressive valuation practices and high assessment ratios result in net tax obligations that do not differ much from or may even be higher than the national average. For example, if the assessment ratio in Connecticut were 100% rather than 70%, all </w:t>
      </w:r>
      <w:r w:rsidR="006F5FD7" w:rsidRPr="00C43423">
        <w:rPr>
          <w:rFonts w:ascii="Times New Roman" w:hAnsi="Times New Roman" w:cs="Times New Roman"/>
        </w:rPr>
        <w:t xml:space="preserve">mill </w:t>
      </w:r>
      <w:r w:rsidRPr="00C43423">
        <w:rPr>
          <w:rFonts w:ascii="Times New Roman" w:hAnsi="Times New Roman" w:cs="Times New Roman"/>
        </w:rPr>
        <w:t xml:space="preserve">rates could be reduced by 30%, but the final tax bills would not change. </w:t>
      </w:r>
    </w:p>
    <w:p w14:paraId="6EA10CA5" w14:textId="25AB8F29" w:rsidR="00552B60" w:rsidRPr="00C43423" w:rsidRDefault="007E4D8B" w:rsidP="00C43423">
      <w:pPr>
        <w:jc w:val="both"/>
        <w:rPr>
          <w:rFonts w:ascii="Times New Roman" w:hAnsi="Times New Roman" w:cs="Times New Roman"/>
        </w:rPr>
      </w:pPr>
      <w:r w:rsidRPr="00C43423">
        <w:rPr>
          <w:rFonts w:ascii="Times New Roman" w:hAnsi="Times New Roman" w:cs="Times New Roman"/>
        </w:rPr>
        <w:t xml:space="preserve">A similar point can be made with a more direct comparison of states that tax personal property and those that do not. Combining the analysis presented in the </w:t>
      </w:r>
      <w:r w:rsidR="00C43423" w:rsidRPr="00C43423">
        <w:rPr>
          <w:rFonts w:ascii="Times New Roman" w:hAnsi="Times New Roman" w:cs="Times New Roman"/>
        </w:rPr>
        <w:t xml:space="preserve">Lincoln Institute/Minnesota </w:t>
      </w:r>
      <w:r w:rsidRPr="00C43423">
        <w:rPr>
          <w:rFonts w:ascii="Times New Roman" w:hAnsi="Times New Roman" w:cs="Times New Roman"/>
        </w:rPr>
        <w:t xml:space="preserve">study with information taken from the </w:t>
      </w:r>
      <w:r w:rsidR="00C43423" w:rsidRPr="00C43423">
        <w:rPr>
          <w:rFonts w:ascii="Times New Roman" w:hAnsi="Times New Roman" w:cs="Times New Roman"/>
        </w:rPr>
        <w:t xml:space="preserve">Lincoln Institute/George Washington </w:t>
      </w:r>
      <w:r w:rsidR="00C43423">
        <w:rPr>
          <w:rFonts w:ascii="Times New Roman" w:hAnsi="Times New Roman" w:cs="Times New Roman"/>
        </w:rPr>
        <w:t xml:space="preserve">University </w:t>
      </w:r>
      <w:r w:rsidRPr="00C43423">
        <w:rPr>
          <w:rFonts w:ascii="Times New Roman" w:hAnsi="Times New Roman" w:cs="Times New Roman"/>
        </w:rPr>
        <w:t>databas</w:t>
      </w:r>
      <w:r w:rsidR="00552B60" w:rsidRPr="00C43423">
        <w:rPr>
          <w:rFonts w:ascii="Times New Roman" w:hAnsi="Times New Roman" w:cs="Times New Roman"/>
        </w:rPr>
        <w:t xml:space="preserve">e on state property tax systems, it is possible to compare the effective tax rates for states that do and do not tax personal property and even two segments of personal property. </w:t>
      </w:r>
    </w:p>
    <w:p w14:paraId="44B0A81F" w14:textId="2A15C21D" w:rsidR="007E4D8B" w:rsidRDefault="00552B60" w:rsidP="00C43423">
      <w:pPr>
        <w:jc w:val="both"/>
        <w:rPr>
          <w:rFonts w:ascii="Times New Roman" w:hAnsi="Times New Roman" w:cs="Times New Roman"/>
        </w:rPr>
      </w:pPr>
      <w:r w:rsidRPr="00C43423">
        <w:rPr>
          <w:rFonts w:ascii="Times New Roman" w:hAnsi="Times New Roman" w:cs="Times New Roman"/>
        </w:rPr>
        <w:t>If the tax on personal property creates an increased tax burden for businesses, that burden should show up as a higher effective tax rate in states tha</w:t>
      </w:r>
      <w:r w:rsidR="00C43423" w:rsidRPr="00C43423">
        <w:rPr>
          <w:rFonts w:ascii="Times New Roman" w:hAnsi="Times New Roman" w:cs="Times New Roman"/>
        </w:rPr>
        <w:t>t tax personal property. Table 9</w:t>
      </w:r>
      <w:r w:rsidRPr="00C43423">
        <w:rPr>
          <w:rFonts w:ascii="Times New Roman" w:hAnsi="Times New Roman" w:cs="Times New Roman"/>
        </w:rPr>
        <w:t xml:space="preserve"> compares the average effective tax rates for commercial firms in states that do and do not tax personal property in general, inventories and specifically machinery and equipment. The table clearly shows that there is very little difference in the average rate regardless of firm size. If anything, the average rate is lower in states that tax personal property. The averages mask a certain amount of within group variation, so the differences shown in the table should not be overstressed. They are consistent with expectations about broad versus narrow tax bases</w:t>
      </w:r>
      <w:r w:rsidR="00C43423">
        <w:rPr>
          <w:rFonts w:ascii="Times New Roman" w:hAnsi="Times New Roman" w:cs="Times New Roman"/>
        </w:rPr>
        <w:t xml:space="preserve"> (i.e., the broader the tax base, the lower the tax rates overall)</w:t>
      </w:r>
      <w:r w:rsidRPr="00C43423">
        <w:rPr>
          <w:rFonts w:ascii="Times New Roman" w:hAnsi="Times New Roman" w:cs="Times New Roman"/>
        </w:rPr>
        <w:t>. But the key point is that there is no evidence that tax burdens are higher for commercial firms in states that tax any of the types of personal property.</w:t>
      </w:r>
    </w:p>
    <w:p w14:paraId="69F60FC8" w14:textId="77777777" w:rsidR="00403E2E" w:rsidRDefault="00403E2E" w:rsidP="00C43423">
      <w:pPr>
        <w:jc w:val="both"/>
        <w:rPr>
          <w:rFonts w:ascii="Times New Roman" w:hAnsi="Times New Roman" w:cs="Times New Roman"/>
        </w:rPr>
      </w:pPr>
    </w:p>
    <w:p w14:paraId="1FC85B4D" w14:textId="77777777" w:rsidR="00403E2E" w:rsidRDefault="00403E2E" w:rsidP="00C43423">
      <w:pPr>
        <w:jc w:val="both"/>
        <w:rPr>
          <w:rFonts w:ascii="Times New Roman" w:hAnsi="Times New Roman" w:cs="Times New Roman"/>
        </w:rPr>
      </w:pPr>
    </w:p>
    <w:p w14:paraId="6463652C" w14:textId="77777777" w:rsidR="00403E2E" w:rsidRDefault="00403E2E" w:rsidP="00C43423">
      <w:pPr>
        <w:jc w:val="both"/>
        <w:rPr>
          <w:rFonts w:ascii="Times New Roman" w:hAnsi="Times New Roman" w:cs="Times New Roman"/>
        </w:rPr>
      </w:pPr>
    </w:p>
    <w:p w14:paraId="542D3EC5" w14:textId="77777777" w:rsidR="00403E2E" w:rsidRDefault="00403E2E" w:rsidP="00C43423">
      <w:pPr>
        <w:jc w:val="both"/>
        <w:rPr>
          <w:rFonts w:ascii="Times New Roman" w:hAnsi="Times New Roman" w:cs="Times New Roman"/>
        </w:rPr>
      </w:pPr>
    </w:p>
    <w:p w14:paraId="66CDFA15" w14:textId="77777777" w:rsidR="00403E2E" w:rsidRPr="00C43423" w:rsidRDefault="00403E2E" w:rsidP="00C43423">
      <w:pPr>
        <w:jc w:val="both"/>
        <w:rPr>
          <w:rFonts w:ascii="Times New Roman" w:hAnsi="Times New Roman" w:cs="Times New Roman"/>
        </w:rPr>
      </w:pPr>
    </w:p>
    <w:p w14:paraId="37D73DF5" w14:textId="266F3735" w:rsidR="00C43423" w:rsidRPr="00C43423" w:rsidRDefault="00C43423" w:rsidP="00C43423">
      <w:pPr>
        <w:pStyle w:val="NoSpacing"/>
        <w:jc w:val="center"/>
        <w:rPr>
          <w:rFonts w:ascii="Times New Roman" w:hAnsi="Times New Roman" w:cs="Times New Roman"/>
          <w:b/>
        </w:rPr>
      </w:pPr>
      <w:r w:rsidRPr="00C43423">
        <w:rPr>
          <w:rFonts w:ascii="Times New Roman" w:hAnsi="Times New Roman" w:cs="Times New Roman"/>
          <w:b/>
        </w:rPr>
        <w:lastRenderedPageBreak/>
        <w:t>Table 9</w:t>
      </w:r>
      <w:r w:rsidR="007E4D8B" w:rsidRPr="00C43423">
        <w:rPr>
          <w:rFonts w:ascii="Times New Roman" w:hAnsi="Times New Roman" w:cs="Times New Roman"/>
          <w:b/>
        </w:rPr>
        <w:t>: Effective property tax rates for urban commercial property</w:t>
      </w:r>
    </w:p>
    <w:p w14:paraId="3ACE2FF5" w14:textId="5770C382" w:rsidR="007E4D8B" w:rsidRPr="00C43423" w:rsidRDefault="007E4D8B" w:rsidP="00C43423">
      <w:pPr>
        <w:pStyle w:val="NoSpacing"/>
        <w:jc w:val="center"/>
        <w:rPr>
          <w:rFonts w:ascii="Times New Roman" w:hAnsi="Times New Roman" w:cs="Times New Roman"/>
          <w:b/>
        </w:rPr>
      </w:pPr>
      <w:r w:rsidRPr="00C43423">
        <w:rPr>
          <w:rFonts w:ascii="Times New Roman" w:hAnsi="Times New Roman" w:cs="Times New Roman"/>
          <w:b/>
        </w:rPr>
        <w:t xml:space="preserve">by </w:t>
      </w:r>
      <w:r w:rsidR="00C43423" w:rsidRPr="00C43423">
        <w:rPr>
          <w:rFonts w:ascii="Times New Roman" w:hAnsi="Times New Roman" w:cs="Times New Roman"/>
          <w:b/>
        </w:rPr>
        <w:t xml:space="preserve">tax status of personal property and </w:t>
      </w:r>
      <w:r w:rsidRPr="00C43423">
        <w:rPr>
          <w:rFonts w:ascii="Times New Roman" w:hAnsi="Times New Roman" w:cs="Times New Roman"/>
          <w:b/>
        </w:rPr>
        <w:t>size of firm</w:t>
      </w:r>
    </w:p>
    <w:tbl>
      <w:tblPr>
        <w:tblStyle w:val="TableGrid"/>
        <w:tblW w:w="0" w:type="auto"/>
        <w:jc w:val="center"/>
        <w:tblLook w:val="04A0" w:firstRow="1" w:lastRow="0" w:firstColumn="1" w:lastColumn="0" w:noHBand="0" w:noVBand="1"/>
      </w:tblPr>
      <w:tblGrid>
        <w:gridCol w:w="1596"/>
        <w:gridCol w:w="1596"/>
        <w:gridCol w:w="1596"/>
        <w:gridCol w:w="1596"/>
        <w:gridCol w:w="1596"/>
      </w:tblGrid>
      <w:tr w:rsidR="007E4D8B" w:rsidRPr="00D77A48" w14:paraId="06942917" w14:textId="77777777" w:rsidTr="00552B60">
        <w:trPr>
          <w:jc w:val="center"/>
        </w:trPr>
        <w:tc>
          <w:tcPr>
            <w:tcW w:w="1596" w:type="dxa"/>
            <w:vMerge w:val="restart"/>
            <w:vAlign w:val="center"/>
          </w:tcPr>
          <w:p w14:paraId="13128FFD" w14:textId="77777777" w:rsidR="007E4D8B" w:rsidRPr="00C43423" w:rsidRDefault="007E4D8B" w:rsidP="00E25B74">
            <w:pPr>
              <w:jc w:val="center"/>
              <w:rPr>
                <w:rFonts w:ascii="Times New Roman" w:hAnsi="Times New Roman" w:cs="Times New Roman"/>
                <w:b/>
              </w:rPr>
            </w:pPr>
            <w:r w:rsidRPr="00C43423">
              <w:rPr>
                <w:rFonts w:ascii="Times New Roman" w:hAnsi="Times New Roman" w:cs="Times New Roman"/>
                <w:b/>
              </w:rPr>
              <w:t>State tax policy</w:t>
            </w:r>
          </w:p>
        </w:tc>
        <w:tc>
          <w:tcPr>
            <w:tcW w:w="1596" w:type="dxa"/>
            <w:vMerge w:val="restart"/>
            <w:vAlign w:val="center"/>
          </w:tcPr>
          <w:p w14:paraId="4A2AA969" w14:textId="77777777" w:rsidR="007E4D8B" w:rsidRPr="00C43423" w:rsidRDefault="007E4D8B" w:rsidP="00E25B74">
            <w:pPr>
              <w:jc w:val="center"/>
              <w:rPr>
                <w:rFonts w:ascii="Times New Roman" w:hAnsi="Times New Roman" w:cs="Times New Roman"/>
                <w:b/>
              </w:rPr>
            </w:pPr>
            <w:r w:rsidRPr="00C43423">
              <w:rPr>
                <w:rFonts w:ascii="Times New Roman" w:hAnsi="Times New Roman" w:cs="Times New Roman"/>
                <w:b/>
              </w:rPr>
              <w:t>Number of states</w:t>
            </w:r>
          </w:p>
        </w:tc>
        <w:tc>
          <w:tcPr>
            <w:tcW w:w="4788" w:type="dxa"/>
            <w:gridSpan w:val="3"/>
            <w:vAlign w:val="center"/>
          </w:tcPr>
          <w:p w14:paraId="61B20C71" w14:textId="77777777" w:rsidR="007E4D8B" w:rsidRPr="00C43423" w:rsidRDefault="007E4D8B" w:rsidP="00E25B74">
            <w:pPr>
              <w:jc w:val="center"/>
              <w:rPr>
                <w:rFonts w:ascii="Times New Roman" w:hAnsi="Times New Roman" w:cs="Times New Roman"/>
                <w:b/>
              </w:rPr>
            </w:pPr>
            <w:r w:rsidRPr="00C43423">
              <w:rPr>
                <w:rFonts w:ascii="Times New Roman" w:hAnsi="Times New Roman" w:cs="Times New Roman"/>
                <w:b/>
              </w:rPr>
              <w:t xml:space="preserve">Average effective rate for </w:t>
            </w:r>
          </w:p>
        </w:tc>
      </w:tr>
      <w:tr w:rsidR="007E4D8B" w:rsidRPr="00D77A48" w14:paraId="66D4A541" w14:textId="77777777" w:rsidTr="00552B60">
        <w:trPr>
          <w:jc w:val="center"/>
        </w:trPr>
        <w:tc>
          <w:tcPr>
            <w:tcW w:w="1596" w:type="dxa"/>
            <w:vMerge/>
            <w:vAlign w:val="center"/>
          </w:tcPr>
          <w:p w14:paraId="7CF90941" w14:textId="77777777" w:rsidR="007E4D8B" w:rsidRPr="00C43423" w:rsidRDefault="007E4D8B" w:rsidP="00E25B74">
            <w:pPr>
              <w:jc w:val="center"/>
              <w:rPr>
                <w:rFonts w:ascii="Times New Roman" w:hAnsi="Times New Roman" w:cs="Times New Roman"/>
                <w:b/>
              </w:rPr>
            </w:pPr>
          </w:p>
        </w:tc>
        <w:tc>
          <w:tcPr>
            <w:tcW w:w="1596" w:type="dxa"/>
            <w:vMerge/>
            <w:vAlign w:val="center"/>
          </w:tcPr>
          <w:p w14:paraId="78E501C3" w14:textId="77777777" w:rsidR="007E4D8B" w:rsidRPr="00C43423" w:rsidRDefault="007E4D8B" w:rsidP="00E25B74">
            <w:pPr>
              <w:jc w:val="center"/>
              <w:rPr>
                <w:rFonts w:ascii="Times New Roman" w:hAnsi="Times New Roman" w:cs="Times New Roman"/>
                <w:b/>
              </w:rPr>
            </w:pPr>
          </w:p>
        </w:tc>
        <w:tc>
          <w:tcPr>
            <w:tcW w:w="1596" w:type="dxa"/>
            <w:vAlign w:val="center"/>
          </w:tcPr>
          <w:p w14:paraId="04819F7D" w14:textId="77777777" w:rsidR="007E4D8B" w:rsidRPr="00C43423" w:rsidRDefault="007E4D8B" w:rsidP="00E25B74">
            <w:pPr>
              <w:jc w:val="center"/>
              <w:rPr>
                <w:rFonts w:ascii="Times New Roman" w:hAnsi="Times New Roman" w:cs="Times New Roman"/>
                <w:b/>
              </w:rPr>
            </w:pPr>
            <w:r w:rsidRPr="00C43423">
              <w:rPr>
                <w:rFonts w:ascii="Times New Roman" w:hAnsi="Times New Roman" w:cs="Times New Roman"/>
                <w:b/>
              </w:rPr>
              <w:t>Small firm</w:t>
            </w:r>
            <w:r w:rsidRPr="00C43423">
              <w:rPr>
                <w:rFonts w:ascii="Times New Roman" w:hAnsi="Times New Roman" w:cs="Times New Roman"/>
                <w:b/>
                <w:vertAlign w:val="superscript"/>
              </w:rPr>
              <w:t>a</w:t>
            </w:r>
          </w:p>
        </w:tc>
        <w:tc>
          <w:tcPr>
            <w:tcW w:w="1596" w:type="dxa"/>
            <w:vAlign w:val="center"/>
          </w:tcPr>
          <w:p w14:paraId="7BD02572" w14:textId="77777777" w:rsidR="007E4D8B" w:rsidRPr="00C43423" w:rsidRDefault="007E4D8B" w:rsidP="00E25B74">
            <w:pPr>
              <w:jc w:val="center"/>
              <w:rPr>
                <w:rFonts w:ascii="Times New Roman" w:hAnsi="Times New Roman" w:cs="Times New Roman"/>
                <w:b/>
              </w:rPr>
            </w:pPr>
            <w:r w:rsidRPr="00C43423">
              <w:rPr>
                <w:rFonts w:ascii="Times New Roman" w:hAnsi="Times New Roman" w:cs="Times New Roman"/>
                <w:b/>
              </w:rPr>
              <w:t>Medium firm</w:t>
            </w:r>
            <w:r w:rsidRPr="00C43423">
              <w:rPr>
                <w:rFonts w:ascii="Times New Roman" w:hAnsi="Times New Roman" w:cs="Times New Roman"/>
                <w:b/>
                <w:vertAlign w:val="superscript"/>
              </w:rPr>
              <w:t>b</w:t>
            </w:r>
          </w:p>
        </w:tc>
        <w:tc>
          <w:tcPr>
            <w:tcW w:w="1596" w:type="dxa"/>
            <w:vAlign w:val="center"/>
          </w:tcPr>
          <w:p w14:paraId="7B39789A" w14:textId="77777777" w:rsidR="007E4D8B" w:rsidRPr="00C43423" w:rsidRDefault="007E4D8B" w:rsidP="00E25B74">
            <w:pPr>
              <w:jc w:val="center"/>
              <w:rPr>
                <w:rFonts w:ascii="Times New Roman" w:hAnsi="Times New Roman" w:cs="Times New Roman"/>
                <w:b/>
              </w:rPr>
            </w:pPr>
            <w:r w:rsidRPr="00C43423">
              <w:rPr>
                <w:rFonts w:ascii="Times New Roman" w:hAnsi="Times New Roman" w:cs="Times New Roman"/>
                <w:b/>
              </w:rPr>
              <w:t>Large firm</w:t>
            </w:r>
            <w:r w:rsidRPr="00C43423">
              <w:rPr>
                <w:rFonts w:ascii="Times New Roman" w:hAnsi="Times New Roman" w:cs="Times New Roman"/>
                <w:b/>
                <w:vertAlign w:val="superscript"/>
              </w:rPr>
              <w:t>c</w:t>
            </w:r>
          </w:p>
        </w:tc>
      </w:tr>
      <w:tr w:rsidR="007E4D8B" w:rsidRPr="00D77A48" w14:paraId="68FDDF94" w14:textId="77777777" w:rsidTr="00552B60">
        <w:trPr>
          <w:jc w:val="center"/>
        </w:trPr>
        <w:tc>
          <w:tcPr>
            <w:tcW w:w="1596" w:type="dxa"/>
          </w:tcPr>
          <w:p w14:paraId="06D48B74" w14:textId="77777777" w:rsidR="007E4D8B" w:rsidRPr="00C43423" w:rsidRDefault="007E4D8B" w:rsidP="00E25B74">
            <w:pPr>
              <w:rPr>
                <w:rFonts w:ascii="Times New Roman" w:hAnsi="Times New Roman" w:cs="Times New Roman"/>
              </w:rPr>
            </w:pPr>
          </w:p>
        </w:tc>
        <w:tc>
          <w:tcPr>
            <w:tcW w:w="6384" w:type="dxa"/>
            <w:gridSpan w:val="4"/>
            <w:shd w:val="clear" w:color="auto" w:fill="D9D9D9" w:themeFill="background1" w:themeFillShade="D9"/>
            <w:vAlign w:val="center"/>
          </w:tcPr>
          <w:p w14:paraId="22F696A4" w14:textId="77777777" w:rsidR="007E4D8B" w:rsidRPr="00C43423" w:rsidRDefault="007E4D8B" w:rsidP="00E25B74">
            <w:pPr>
              <w:jc w:val="center"/>
              <w:rPr>
                <w:rFonts w:ascii="Times New Roman" w:hAnsi="Times New Roman" w:cs="Times New Roman"/>
              </w:rPr>
            </w:pPr>
            <w:r w:rsidRPr="00C43423">
              <w:rPr>
                <w:rFonts w:ascii="Times New Roman" w:hAnsi="Times New Roman" w:cs="Times New Roman"/>
              </w:rPr>
              <w:t>Is personal property taxed?</w:t>
            </w:r>
          </w:p>
        </w:tc>
      </w:tr>
      <w:tr w:rsidR="007E4D8B" w:rsidRPr="00D77A48" w14:paraId="5AFAAD7E" w14:textId="77777777" w:rsidTr="00552B60">
        <w:trPr>
          <w:jc w:val="center"/>
        </w:trPr>
        <w:tc>
          <w:tcPr>
            <w:tcW w:w="1596" w:type="dxa"/>
          </w:tcPr>
          <w:p w14:paraId="6E770DF9" w14:textId="77777777" w:rsidR="007E4D8B" w:rsidRPr="00C43423" w:rsidRDefault="007E4D8B" w:rsidP="00E25B74">
            <w:pPr>
              <w:rPr>
                <w:rFonts w:ascii="Times New Roman" w:hAnsi="Times New Roman" w:cs="Times New Roman"/>
              </w:rPr>
            </w:pPr>
            <w:r w:rsidRPr="00C43423">
              <w:rPr>
                <w:rFonts w:ascii="Times New Roman" w:hAnsi="Times New Roman" w:cs="Times New Roman"/>
              </w:rPr>
              <w:t>Yes</w:t>
            </w:r>
          </w:p>
        </w:tc>
        <w:tc>
          <w:tcPr>
            <w:tcW w:w="1596" w:type="dxa"/>
            <w:vAlign w:val="center"/>
          </w:tcPr>
          <w:p w14:paraId="68600829" w14:textId="77777777" w:rsidR="007E4D8B" w:rsidRPr="00C43423" w:rsidRDefault="007E4D8B" w:rsidP="00E25B74">
            <w:pPr>
              <w:jc w:val="center"/>
              <w:rPr>
                <w:rFonts w:ascii="Times New Roman" w:hAnsi="Times New Roman" w:cs="Times New Roman"/>
              </w:rPr>
            </w:pPr>
            <w:r w:rsidRPr="00C43423">
              <w:rPr>
                <w:rFonts w:ascii="Times New Roman" w:hAnsi="Times New Roman" w:cs="Times New Roman"/>
              </w:rPr>
              <w:t>37</w:t>
            </w:r>
          </w:p>
        </w:tc>
        <w:tc>
          <w:tcPr>
            <w:tcW w:w="1596" w:type="dxa"/>
            <w:vAlign w:val="center"/>
          </w:tcPr>
          <w:p w14:paraId="4725ECBA" w14:textId="77777777" w:rsidR="007E4D8B" w:rsidRPr="00C43423" w:rsidRDefault="007E4D8B" w:rsidP="00E25B74">
            <w:pPr>
              <w:jc w:val="center"/>
              <w:rPr>
                <w:rFonts w:ascii="Times New Roman" w:hAnsi="Times New Roman" w:cs="Times New Roman"/>
              </w:rPr>
            </w:pPr>
            <w:r w:rsidRPr="00C43423">
              <w:rPr>
                <w:rFonts w:ascii="Times New Roman" w:hAnsi="Times New Roman" w:cs="Times New Roman"/>
              </w:rPr>
              <w:t>1.98</w:t>
            </w:r>
          </w:p>
        </w:tc>
        <w:tc>
          <w:tcPr>
            <w:tcW w:w="1596" w:type="dxa"/>
            <w:vAlign w:val="center"/>
          </w:tcPr>
          <w:p w14:paraId="14F781A0" w14:textId="77777777" w:rsidR="007E4D8B" w:rsidRPr="00C43423" w:rsidRDefault="007E4D8B" w:rsidP="00E25B74">
            <w:pPr>
              <w:jc w:val="center"/>
              <w:rPr>
                <w:rFonts w:ascii="Times New Roman" w:hAnsi="Times New Roman" w:cs="Times New Roman"/>
              </w:rPr>
            </w:pPr>
            <w:r w:rsidRPr="00C43423">
              <w:rPr>
                <w:rFonts w:ascii="Times New Roman" w:hAnsi="Times New Roman" w:cs="Times New Roman"/>
              </w:rPr>
              <w:t>2.01</w:t>
            </w:r>
          </w:p>
        </w:tc>
        <w:tc>
          <w:tcPr>
            <w:tcW w:w="1596" w:type="dxa"/>
            <w:vAlign w:val="center"/>
          </w:tcPr>
          <w:p w14:paraId="763499BC" w14:textId="77777777" w:rsidR="007E4D8B" w:rsidRPr="00C43423" w:rsidRDefault="007E4D8B" w:rsidP="00E25B74">
            <w:pPr>
              <w:jc w:val="center"/>
              <w:rPr>
                <w:rFonts w:ascii="Times New Roman" w:hAnsi="Times New Roman" w:cs="Times New Roman"/>
              </w:rPr>
            </w:pPr>
            <w:r w:rsidRPr="00C43423">
              <w:rPr>
                <w:rFonts w:ascii="Times New Roman" w:hAnsi="Times New Roman" w:cs="Times New Roman"/>
              </w:rPr>
              <w:t>2.03</w:t>
            </w:r>
          </w:p>
        </w:tc>
      </w:tr>
      <w:tr w:rsidR="007E4D8B" w:rsidRPr="00D77A48" w14:paraId="74638481" w14:textId="77777777" w:rsidTr="00552B60">
        <w:trPr>
          <w:jc w:val="center"/>
        </w:trPr>
        <w:tc>
          <w:tcPr>
            <w:tcW w:w="1596" w:type="dxa"/>
          </w:tcPr>
          <w:p w14:paraId="5DDE9FB3" w14:textId="77777777" w:rsidR="007E4D8B" w:rsidRPr="00C43423" w:rsidRDefault="007E4D8B" w:rsidP="00E25B74">
            <w:pPr>
              <w:rPr>
                <w:rFonts w:ascii="Times New Roman" w:hAnsi="Times New Roman" w:cs="Times New Roman"/>
              </w:rPr>
            </w:pPr>
            <w:r w:rsidRPr="00C43423">
              <w:rPr>
                <w:rFonts w:ascii="Times New Roman" w:hAnsi="Times New Roman" w:cs="Times New Roman"/>
              </w:rPr>
              <w:t>No</w:t>
            </w:r>
          </w:p>
        </w:tc>
        <w:tc>
          <w:tcPr>
            <w:tcW w:w="1596" w:type="dxa"/>
            <w:vAlign w:val="center"/>
          </w:tcPr>
          <w:p w14:paraId="40A18991" w14:textId="77777777" w:rsidR="007E4D8B" w:rsidRPr="00C43423" w:rsidRDefault="007E4D8B" w:rsidP="00E25B74">
            <w:pPr>
              <w:jc w:val="center"/>
              <w:rPr>
                <w:rFonts w:ascii="Times New Roman" w:hAnsi="Times New Roman" w:cs="Times New Roman"/>
              </w:rPr>
            </w:pPr>
            <w:r w:rsidRPr="00C43423">
              <w:rPr>
                <w:rFonts w:ascii="Times New Roman" w:hAnsi="Times New Roman" w:cs="Times New Roman"/>
              </w:rPr>
              <w:t>14</w:t>
            </w:r>
          </w:p>
        </w:tc>
        <w:tc>
          <w:tcPr>
            <w:tcW w:w="1596" w:type="dxa"/>
            <w:vAlign w:val="center"/>
          </w:tcPr>
          <w:p w14:paraId="10275CF7" w14:textId="77777777" w:rsidR="007E4D8B" w:rsidRPr="00C43423" w:rsidRDefault="007E4D8B" w:rsidP="00E25B74">
            <w:pPr>
              <w:jc w:val="center"/>
              <w:rPr>
                <w:rFonts w:ascii="Times New Roman" w:hAnsi="Times New Roman" w:cs="Times New Roman"/>
              </w:rPr>
            </w:pPr>
            <w:r w:rsidRPr="00C43423">
              <w:rPr>
                <w:rFonts w:ascii="Times New Roman" w:hAnsi="Times New Roman" w:cs="Times New Roman"/>
              </w:rPr>
              <w:t>2.36</w:t>
            </w:r>
          </w:p>
        </w:tc>
        <w:tc>
          <w:tcPr>
            <w:tcW w:w="1596" w:type="dxa"/>
            <w:vAlign w:val="center"/>
          </w:tcPr>
          <w:p w14:paraId="512628AD" w14:textId="77777777" w:rsidR="007E4D8B" w:rsidRPr="00C43423" w:rsidRDefault="007E4D8B" w:rsidP="00E25B74">
            <w:pPr>
              <w:jc w:val="center"/>
              <w:rPr>
                <w:rFonts w:ascii="Times New Roman" w:hAnsi="Times New Roman" w:cs="Times New Roman"/>
              </w:rPr>
            </w:pPr>
            <w:r w:rsidRPr="00C43423">
              <w:rPr>
                <w:rFonts w:ascii="Times New Roman" w:hAnsi="Times New Roman" w:cs="Times New Roman"/>
              </w:rPr>
              <w:t>2.50</w:t>
            </w:r>
          </w:p>
        </w:tc>
        <w:tc>
          <w:tcPr>
            <w:tcW w:w="1596" w:type="dxa"/>
            <w:vAlign w:val="center"/>
          </w:tcPr>
          <w:p w14:paraId="3FF3507C" w14:textId="77777777" w:rsidR="007E4D8B" w:rsidRPr="00C43423" w:rsidRDefault="007E4D8B" w:rsidP="00E25B74">
            <w:pPr>
              <w:jc w:val="center"/>
              <w:rPr>
                <w:rFonts w:ascii="Times New Roman" w:hAnsi="Times New Roman" w:cs="Times New Roman"/>
              </w:rPr>
            </w:pPr>
            <w:r w:rsidRPr="00C43423">
              <w:rPr>
                <w:rFonts w:ascii="Times New Roman" w:hAnsi="Times New Roman" w:cs="Times New Roman"/>
              </w:rPr>
              <w:t>2.56</w:t>
            </w:r>
          </w:p>
        </w:tc>
      </w:tr>
      <w:tr w:rsidR="007E4D8B" w:rsidRPr="00D77A48" w14:paraId="07B76D1E" w14:textId="77777777" w:rsidTr="00552B60">
        <w:trPr>
          <w:jc w:val="center"/>
        </w:trPr>
        <w:tc>
          <w:tcPr>
            <w:tcW w:w="1596" w:type="dxa"/>
          </w:tcPr>
          <w:p w14:paraId="28DF3270" w14:textId="77777777" w:rsidR="007E4D8B" w:rsidRPr="00C43423" w:rsidRDefault="007E4D8B" w:rsidP="00E25B74">
            <w:pPr>
              <w:rPr>
                <w:rFonts w:ascii="Times New Roman" w:hAnsi="Times New Roman" w:cs="Times New Roman"/>
              </w:rPr>
            </w:pPr>
          </w:p>
        </w:tc>
        <w:tc>
          <w:tcPr>
            <w:tcW w:w="6384" w:type="dxa"/>
            <w:gridSpan w:val="4"/>
            <w:shd w:val="clear" w:color="auto" w:fill="D9D9D9" w:themeFill="background1" w:themeFillShade="D9"/>
            <w:vAlign w:val="center"/>
          </w:tcPr>
          <w:p w14:paraId="159EC9FB" w14:textId="77777777" w:rsidR="007E4D8B" w:rsidRPr="00C43423" w:rsidRDefault="007E4D8B" w:rsidP="00E25B74">
            <w:pPr>
              <w:jc w:val="center"/>
              <w:rPr>
                <w:rFonts w:ascii="Times New Roman" w:hAnsi="Times New Roman" w:cs="Times New Roman"/>
              </w:rPr>
            </w:pPr>
            <w:r w:rsidRPr="00C43423">
              <w:rPr>
                <w:rFonts w:ascii="Times New Roman" w:hAnsi="Times New Roman" w:cs="Times New Roman"/>
              </w:rPr>
              <w:t>Are inventories taxed?</w:t>
            </w:r>
          </w:p>
        </w:tc>
      </w:tr>
      <w:tr w:rsidR="007E4D8B" w:rsidRPr="00D77A48" w14:paraId="0B7FA619" w14:textId="77777777" w:rsidTr="00552B60">
        <w:trPr>
          <w:jc w:val="center"/>
        </w:trPr>
        <w:tc>
          <w:tcPr>
            <w:tcW w:w="1596" w:type="dxa"/>
          </w:tcPr>
          <w:p w14:paraId="22E1BD97" w14:textId="77777777" w:rsidR="007E4D8B" w:rsidRPr="00C43423" w:rsidRDefault="007E4D8B" w:rsidP="00E25B74">
            <w:pPr>
              <w:rPr>
                <w:rFonts w:ascii="Times New Roman" w:hAnsi="Times New Roman" w:cs="Times New Roman"/>
              </w:rPr>
            </w:pPr>
            <w:r w:rsidRPr="00C43423">
              <w:rPr>
                <w:rFonts w:ascii="Times New Roman" w:hAnsi="Times New Roman" w:cs="Times New Roman"/>
              </w:rPr>
              <w:t>Yes</w:t>
            </w:r>
          </w:p>
        </w:tc>
        <w:tc>
          <w:tcPr>
            <w:tcW w:w="1596" w:type="dxa"/>
            <w:vAlign w:val="center"/>
          </w:tcPr>
          <w:p w14:paraId="49330B58" w14:textId="77777777" w:rsidR="007E4D8B" w:rsidRPr="00C43423" w:rsidRDefault="007E4D8B" w:rsidP="00E25B74">
            <w:pPr>
              <w:jc w:val="center"/>
              <w:rPr>
                <w:rFonts w:ascii="Times New Roman" w:hAnsi="Times New Roman" w:cs="Times New Roman"/>
              </w:rPr>
            </w:pPr>
            <w:r w:rsidRPr="00C43423">
              <w:rPr>
                <w:rFonts w:ascii="Times New Roman" w:hAnsi="Times New Roman" w:cs="Times New Roman"/>
              </w:rPr>
              <w:t>12</w:t>
            </w:r>
          </w:p>
        </w:tc>
        <w:tc>
          <w:tcPr>
            <w:tcW w:w="1596" w:type="dxa"/>
            <w:vAlign w:val="center"/>
          </w:tcPr>
          <w:p w14:paraId="4646FF5E" w14:textId="77777777" w:rsidR="007E4D8B" w:rsidRPr="00C43423" w:rsidRDefault="007E4D8B" w:rsidP="00E25B74">
            <w:pPr>
              <w:jc w:val="center"/>
              <w:rPr>
                <w:rFonts w:ascii="Times New Roman" w:hAnsi="Times New Roman" w:cs="Times New Roman"/>
              </w:rPr>
            </w:pPr>
            <w:r w:rsidRPr="00C43423">
              <w:rPr>
                <w:rFonts w:ascii="Times New Roman" w:hAnsi="Times New Roman" w:cs="Times New Roman"/>
              </w:rPr>
              <w:t>1.81</w:t>
            </w:r>
          </w:p>
        </w:tc>
        <w:tc>
          <w:tcPr>
            <w:tcW w:w="1596" w:type="dxa"/>
            <w:vAlign w:val="center"/>
          </w:tcPr>
          <w:p w14:paraId="2CBF8F2B" w14:textId="77777777" w:rsidR="007E4D8B" w:rsidRPr="00C43423" w:rsidRDefault="007E4D8B" w:rsidP="00E25B74">
            <w:pPr>
              <w:jc w:val="center"/>
              <w:rPr>
                <w:rFonts w:ascii="Times New Roman" w:hAnsi="Times New Roman" w:cs="Times New Roman"/>
              </w:rPr>
            </w:pPr>
            <w:r w:rsidRPr="00C43423">
              <w:rPr>
                <w:rFonts w:ascii="Times New Roman" w:hAnsi="Times New Roman" w:cs="Times New Roman"/>
              </w:rPr>
              <w:t>1.83</w:t>
            </w:r>
          </w:p>
        </w:tc>
        <w:tc>
          <w:tcPr>
            <w:tcW w:w="1596" w:type="dxa"/>
            <w:vAlign w:val="center"/>
          </w:tcPr>
          <w:p w14:paraId="4BE42C2D" w14:textId="77777777" w:rsidR="007E4D8B" w:rsidRPr="00C43423" w:rsidRDefault="007E4D8B" w:rsidP="00E25B74">
            <w:pPr>
              <w:jc w:val="center"/>
              <w:rPr>
                <w:rFonts w:ascii="Times New Roman" w:hAnsi="Times New Roman" w:cs="Times New Roman"/>
              </w:rPr>
            </w:pPr>
            <w:r w:rsidRPr="00C43423">
              <w:rPr>
                <w:rFonts w:ascii="Times New Roman" w:hAnsi="Times New Roman" w:cs="Times New Roman"/>
              </w:rPr>
              <w:t>1.83</w:t>
            </w:r>
          </w:p>
        </w:tc>
      </w:tr>
      <w:tr w:rsidR="007E4D8B" w:rsidRPr="00D77A48" w14:paraId="1AB82200" w14:textId="77777777" w:rsidTr="00552B60">
        <w:trPr>
          <w:jc w:val="center"/>
        </w:trPr>
        <w:tc>
          <w:tcPr>
            <w:tcW w:w="1596" w:type="dxa"/>
          </w:tcPr>
          <w:p w14:paraId="3B13C833" w14:textId="77777777" w:rsidR="007E4D8B" w:rsidRPr="00C43423" w:rsidRDefault="007E4D8B" w:rsidP="00E25B74">
            <w:pPr>
              <w:rPr>
                <w:rFonts w:ascii="Times New Roman" w:hAnsi="Times New Roman" w:cs="Times New Roman"/>
              </w:rPr>
            </w:pPr>
            <w:r w:rsidRPr="00C43423">
              <w:rPr>
                <w:rFonts w:ascii="Times New Roman" w:hAnsi="Times New Roman" w:cs="Times New Roman"/>
              </w:rPr>
              <w:t>No</w:t>
            </w:r>
          </w:p>
        </w:tc>
        <w:tc>
          <w:tcPr>
            <w:tcW w:w="1596" w:type="dxa"/>
            <w:vAlign w:val="center"/>
          </w:tcPr>
          <w:p w14:paraId="00F4326F" w14:textId="77777777" w:rsidR="007E4D8B" w:rsidRPr="00C43423" w:rsidRDefault="007E4D8B" w:rsidP="00E25B74">
            <w:pPr>
              <w:jc w:val="center"/>
              <w:rPr>
                <w:rFonts w:ascii="Times New Roman" w:hAnsi="Times New Roman" w:cs="Times New Roman"/>
              </w:rPr>
            </w:pPr>
            <w:r w:rsidRPr="00C43423">
              <w:rPr>
                <w:rFonts w:ascii="Times New Roman" w:hAnsi="Times New Roman" w:cs="Times New Roman"/>
              </w:rPr>
              <w:t>39</w:t>
            </w:r>
          </w:p>
        </w:tc>
        <w:tc>
          <w:tcPr>
            <w:tcW w:w="1596" w:type="dxa"/>
            <w:vAlign w:val="center"/>
          </w:tcPr>
          <w:p w14:paraId="333F8100" w14:textId="77777777" w:rsidR="007E4D8B" w:rsidRPr="00C43423" w:rsidRDefault="007E4D8B" w:rsidP="00E25B74">
            <w:pPr>
              <w:jc w:val="center"/>
              <w:rPr>
                <w:rFonts w:ascii="Times New Roman" w:hAnsi="Times New Roman" w:cs="Times New Roman"/>
              </w:rPr>
            </w:pPr>
            <w:r w:rsidRPr="00C43423">
              <w:rPr>
                <w:rFonts w:ascii="Times New Roman" w:hAnsi="Times New Roman" w:cs="Times New Roman"/>
              </w:rPr>
              <w:t>2.18</w:t>
            </w:r>
          </w:p>
        </w:tc>
        <w:tc>
          <w:tcPr>
            <w:tcW w:w="1596" w:type="dxa"/>
            <w:vAlign w:val="center"/>
          </w:tcPr>
          <w:p w14:paraId="2644AB14" w14:textId="77777777" w:rsidR="007E4D8B" w:rsidRPr="00C43423" w:rsidRDefault="007E4D8B" w:rsidP="00E25B74">
            <w:pPr>
              <w:jc w:val="center"/>
              <w:rPr>
                <w:rFonts w:ascii="Times New Roman" w:hAnsi="Times New Roman" w:cs="Times New Roman"/>
              </w:rPr>
            </w:pPr>
            <w:r w:rsidRPr="00C43423">
              <w:rPr>
                <w:rFonts w:ascii="Times New Roman" w:hAnsi="Times New Roman" w:cs="Times New Roman"/>
              </w:rPr>
              <w:t>2.25</w:t>
            </w:r>
          </w:p>
        </w:tc>
        <w:tc>
          <w:tcPr>
            <w:tcW w:w="1596" w:type="dxa"/>
            <w:vAlign w:val="center"/>
          </w:tcPr>
          <w:p w14:paraId="3363E796" w14:textId="77777777" w:rsidR="007E4D8B" w:rsidRPr="00C43423" w:rsidRDefault="007E4D8B" w:rsidP="00E25B74">
            <w:pPr>
              <w:jc w:val="center"/>
              <w:rPr>
                <w:rFonts w:ascii="Times New Roman" w:hAnsi="Times New Roman" w:cs="Times New Roman"/>
              </w:rPr>
            </w:pPr>
            <w:r w:rsidRPr="00C43423">
              <w:rPr>
                <w:rFonts w:ascii="Times New Roman" w:hAnsi="Times New Roman" w:cs="Times New Roman"/>
              </w:rPr>
              <w:t>2.29</w:t>
            </w:r>
          </w:p>
        </w:tc>
      </w:tr>
      <w:tr w:rsidR="007E4D8B" w:rsidRPr="00D77A48" w14:paraId="311B38E1" w14:textId="77777777" w:rsidTr="00552B60">
        <w:trPr>
          <w:jc w:val="center"/>
        </w:trPr>
        <w:tc>
          <w:tcPr>
            <w:tcW w:w="1596" w:type="dxa"/>
          </w:tcPr>
          <w:p w14:paraId="24FD142F" w14:textId="77777777" w:rsidR="007E4D8B" w:rsidRPr="00C43423" w:rsidRDefault="007E4D8B" w:rsidP="00E25B74">
            <w:pPr>
              <w:rPr>
                <w:rFonts w:ascii="Times New Roman" w:hAnsi="Times New Roman" w:cs="Times New Roman"/>
              </w:rPr>
            </w:pPr>
          </w:p>
        </w:tc>
        <w:tc>
          <w:tcPr>
            <w:tcW w:w="6384" w:type="dxa"/>
            <w:gridSpan w:val="4"/>
            <w:shd w:val="clear" w:color="auto" w:fill="D9D9D9" w:themeFill="background1" w:themeFillShade="D9"/>
            <w:vAlign w:val="center"/>
          </w:tcPr>
          <w:p w14:paraId="1BFC176C" w14:textId="77777777" w:rsidR="007E4D8B" w:rsidRPr="00C43423" w:rsidRDefault="007E4D8B" w:rsidP="00E25B74">
            <w:pPr>
              <w:jc w:val="center"/>
              <w:rPr>
                <w:rFonts w:ascii="Times New Roman" w:hAnsi="Times New Roman" w:cs="Times New Roman"/>
              </w:rPr>
            </w:pPr>
            <w:r w:rsidRPr="00C43423">
              <w:rPr>
                <w:rFonts w:ascii="Times New Roman" w:hAnsi="Times New Roman" w:cs="Times New Roman"/>
              </w:rPr>
              <w:t>Are machinery and equipment taxed?</w:t>
            </w:r>
          </w:p>
        </w:tc>
      </w:tr>
      <w:tr w:rsidR="007E4D8B" w:rsidRPr="00D77A48" w14:paraId="7365FD5C" w14:textId="77777777" w:rsidTr="00552B60">
        <w:trPr>
          <w:jc w:val="center"/>
        </w:trPr>
        <w:tc>
          <w:tcPr>
            <w:tcW w:w="1596" w:type="dxa"/>
          </w:tcPr>
          <w:p w14:paraId="7C61D921" w14:textId="77777777" w:rsidR="007E4D8B" w:rsidRPr="00C43423" w:rsidRDefault="007E4D8B" w:rsidP="00E25B74">
            <w:pPr>
              <w:rPr>
                <w:rFonts w:ascii="Times New Roman" w:hAnsi="Times New Roman" w:cs="Times New Roman"/>
              </w:rPr>
            </w:pPr>
            <w:r w:rsidRPr="00C43423">
              <w:rPr>
                <w:rFonts w:ascii="Times New Roman" w:hAnsi="Times New Roman" w:cs="Times New Roman"/>
              </w:rPr>
              <w:t>Yes</w:t>
            </w:r>
          </w:p>
        </w:tc>
        <w:tc>
          <w:tcPr>
            <w:tcW w:w="1596" w:type="dxa"/>
            <w:vAlign w:val="center"/>
          </w:tcPr>
          <w:p w14:paraId="50D3B0D3" w14:textId="77777777" w:rsidR="007E4D8B" w:rsidRPr="00C43423" w:rsidRDefault="007E4D8B" w:rsidP="00E25B74">
            <w:pPr>
              <w:jc w:val="center"/>
              <w:rPr>
                <w:rFonts w:ascii="Times New Roman" w:hAnsi="Times New Roman" w:cs="Times New Roman"/>
              </w:rPr>
            </w:pPr>
            <w:r w:rsidRPr="00C43423">
              <w:rPr>
                <w:rFonts w:ascii="Times New Roman" w:hAnsi="Times New Roman" w:cs="Times New Roman"/>
              </w:rPr>
              <w:t>36</w:t>
            </w:r>
          </w:p>
        </w:tc>
        <w:tc>
          <w:tcPr>
            <w:tcW w:w="1596" w:type="dxa"/>
            <w:vAlign w:val="center"/>
          </w:tcPr>
          <w:p w14:paraId="64336B30" w14:textId="77777777" w:rsidR="007E4D8B" w:rsidRPr="00C43423" w:rsidRDefault="007E4D8B" w:rsidP="00E25B74">
            <w:pPr>
              <w:jc w:val="center"/>
              <w:rPr>
                <w:rFonts w:ascii="Times New Roman" w:hAnsi="Times New Roman" w:cs="Times New Roman"/>
              </w:rPr>
            </w:pPr>
            <w:r w:rsidRPr="00C43423">
              <w:rPr>
                <w:rFonts w:ascii="Times New Roman" w:hAnsi="Times New Roman" w:cs="Times New Roman"/>
              </w:rPr>
              <w:t>1.96</w:t>
            </w:r>
          </w:p>
        </w:tc>
        <w:tc>
          <w:tcPr>
            <w:tcW w:w="1596" w:type="dxa"/>
            <w:vAlign w:val="center"/>
          </w:tcPr>
          <w:p w14:paraId="23A3F6CB" w14:textId="77777777" w:rsidR="007E4D8B" w:rsidRPr="00C43423" w:rsidRDefault="007E4D8B" w:rsidP="00E25B74">
            <w:pPr>
              <w:jc w:val="center"/>
              <w:rPr>
                <w:rFonts w:ascii="Times New Roman" w:hAnsi="Times New Roman" w:cs="Times New Roman"/>
              </w:rPr>
            </w:pPr>
            <w:r w:rsidRPr="00C43423">
              <w:rPr>
                <w:rFonts w:ascii="Times New Roman" w:hAnsi="Times New Roman" w:cs="Times New Roman"/>
              </w:rPr>
              <w:t>1.98</w:t>
            </w:r>
          </w:p>
        </w:tc>
        <w:tc>
          <w:tcPr>
            <w:tcW w:w="1596" w:type="dxa"/>
            <w:vAlign w:val="center"/>
          </w:tcPr>
          <w:p w14:paraId="643F81DE" w14:textId="77777777" w:rsidR="007E4D8B" w:rsidRPr="00C43423" w:rsidRDefault="007E4D8B" w:rsidP="00E25B74">
            <w:pPr>
              <w:jc w:val="center"/>
              <w:rPr>
                <w:rFonts w:ascii="Times New Roman" w:hAnsi="Times New Roman" w:cs="Times New Roman"/>
              </w:rPr>
            </w:pPr>
            <w:r w:rsidRPr="00C43423">
              <w:rPr>
                <w:rFonts w:ascii="Times New Roman" w:hAnsi="Times New Roman" w:cs="Times New Roman"/>
              </w:rPr>
              <w:t>2.00</w:t>
            </w:r>
          </w:p>
        </w:tc>
      </w:tr>
      <w:tr w:rsidR="007E4D8B" w:rsidRPr="00D77A48" w14:paraId="1CB6C2AF" w14:textId="77777777" w:rsidTr="00552B60">
        <w:trPr>
          <w:jc w:val="center"/>
        </w:trPr>
        <w:tc>
          <w:tcPr>
            <w:tcW w:w="1596" w:type="dxa"/>
          </w:tcPr>
          <w:p w14:paraId="2AB598DA" w14:textId="77777777" w:rsidR="007E4D8B" w:rsidRPr="00C43423" w:rsidRDefault="007E4D8B" w:rsidP="00E25B74">
            <w:pPr>
              <w:rPr>
                <w:rFonts w:ascii="Times New Roman" w:hAnsi="Times New Roman" w:cs="Times New Roman"/>
              </w:rPr>
            </w:pPr>
            <w:r w:rsidRPr="00C43423">
              <w:rPr>
                <w:rFonts w:ascii="Times New Roman" w:hAnsi="Times New Roman" w:cs="Times New Roman"/>
              </w:rPr>
              <w:t>No</w:t>
            </w:r>
          </w:p>
        </w:tc>
        <w:tc>
          <w:tcPr>
            <w:tcW w:w="1596" w:type="dxa"/>
            <w:vAlign w:val="center"/>
          </w:tcPr>
          <w:p w14:paraId="13B5A25D" w14:textId="77777777" w:rsidR="007E4D8B" w:rsidRPr="00C43423" w:rsidRDefault="007E4D8B" w:rsidP="00E25B74">
            <w:pPr>
              <w:jc w:val="center"/>
              <w:rPr>
                <w:rFonts w:ascii="Times New Roman" w:hAnsi="Times New Roman" w:cs="Times New Roman"/>
              </w:rPr>
            </w:pPr>
            <w:r w:rsidRPr="00C43423">
              <w:rPr>
                <w:rFonts w:ascii="Times New Roman" w:hAnsi="Times New Roman" w:cs="Times New Roman"/>
              </w:rPr>
              <w:t>15</w:t>
            </w:r>
          </w:p>
        </w:tc>
        <w:tc>
          <w:tcPr>
            <w:tcW w:w="1596" w:type="dxa"/>
            <w:vAlign w:val="center"/>
          </w:tcPr>
          <w:p w14:paraId="3A2281FB" w14:textId="77777777" w:rsidR="007E4D8B" w:rsidRPr="00C43423" w:rsidRDefault="007E4D8B" w:rsidP="00E25B74">
            <w:pPr>
              <w:jc w:val="center"/>
              <w:rPr>
                <w:rFonts w:ascii="Times New Roman" w:hAnsi="Times New Roman" w:cs="Times New Roman"/>
              </w:rPr>
            </w:pPr>
            <w:r w:rsidRPr="00C43423">
              <w:rPr>
                <w:rFonts w:ascii="Times New Roman" w:hAnsi="Times New Roman" w:cs="Times New Roman"/>
              </w:rPr>
              <w:t>2.40</w:t>
            </w:r>
          </w:p>
        </w:tc>
        <w:tc>
          <w:tcPr>
            <w:tcW w:w="1596" w:type="dxa"/>
            <w:vAlign w:val="center"/>
          </w:tcPr>
          <w:p w14:paraId="58E15CDD" w14:textId="77777777" w:rsidR="007E4D8B" w:rsidRPr="00C43423" w:rsidRDefault="007E4D8B" w:rsidP="00E25B74">
            <w:pPr>
              <w:jc w:val="center"/>
              <w:rPr>
                <w:rFonts w:ascii="Times New Roman" w:hAnsi="Times New Roman" w:cs="Times New Roman"/>
              </w:rPr>
            </w:pPr>
            <w:r w:rsidRPr="00C43423">
              <w:rPr>
                <w:rFonts w:ascii="Times New Roman" w:hAnsi="Times New Roman" w:cs="Times New Roman"/>
              </w:rPr>
              <w:t>2.52</w:t>
            </w:r>
          </w:p>
        </w:tc>
        <w:tc>
          <w:tcPr>
            <w:tcW w:w="1596" w:type="dxa"/>
            <w:vAlign w:val="center"/>
          </w:tcPr>
          <w:p w14:paraId="58B46C97" w14:textId="77777777" w:rsidR="007E4D8B" w:rsidRPr="00C43423" w:rsidRDefault="007E4D8B" w:rsidP="00E25B74">
            <w:pPr>
              <w:jc w:val="center"/>
              <w:rPr>
                <w:rFonts w:ascii="Times New Roman" w:hAnsi="Times New Roman" w:cs="Times New Roman"/>
              </w:rPr>
            </w:pPr>
            <w:r w:rsidRPr="00C43423">
              <w:rPr>
                <w:rFonts w:ascii="Times New Roman" w:hAnsi="Times New Roman" w:cs="Times New Roman"/>
              </w:rPr>
              <w:t>2.58</w:t>
            </w:r>
          </w:p>
        </w:tc>
      </w:tr>
    </w:tbl>
    <w:p w14:paraId="2A5787A5" w14:textId="77777777" w:rsidR="007E4D8B" w:rsidRPr="00C43423" w:rsidRDefault="007E4D8B" w:rsidP="00552B60">
      <w:pPr>
        <w:pStyle w:val="ListParagraph"/>
        <w:numPr>
          <w:ilvl w:val="0"/>
          <w:numId w:val="6"/>
        </w:numPr>
        <w:ind w:left="1440"/>
        <w:rPr>
          <w:rFonts w:ascii="Times New Roman" w:hAnsi="Times New Roman" w:cs="Times New Roman"/>
        </w:rPr>
      </w:pPr>
      <w:r w:rsidRPr="00C43423">
        <w:rPr>
          <w:rFonts w:ascii="Times New Roman" w:hAnsi="Times New Roman" w:cs="Times New Roman"/>
        </w:rPr>
        <w:t>Small firm: $100,000 in real property value; $20,000 in fixtures</w:t>
      </w:r>
    </w:p>
    <w:p w14:paraId="7AFB9722" w14:textId="77777777" w:rsidR="007E4D8B" w:rsidRPr="00C43423" w:rsidRDefault="007E4D8B" w:rsidP="00552B60">
      <w:pPr>
        <w:pStyle w:val="ListParagraph"/>
        <w:numPr>
          <w:ilvl w:val="0"/>
          <w:numId w:val="6"/>
        </w:numPr>
        <w:ind w:left="1440"/>
        <w:rPr>
          <w:rFonts w:ascii="Times New Roman" w:hAnsi="Times New Roman" w:cs="Times New Roman"/>
        </w:rPr>
      </w:pPr>
      <w:r w:rsidRPr="00C43423">
        <w:rPr>
          <w:rFonts w:ascii="Times New Roman" w:hAnsi="Times New Roman" w:cs="Times New Roman"/>
        </w:rPr>
        <w:t>Medium firm: $1 million in real property value; $200,000 in fixtures</w:t>
      </w:r>
    </w:p>
    <w:p w14:paraId="20E1FD86" w14:textId="77777777" w:rsidR="007E4D8B" w:rsidRPr="00C43423" w:rsidRDefault="007E4D8B" w:rsidP="00552B60">
      <w:pPr>
        <w:pStyle w:val="ListParagraph"/>
        <w:numPr>
          <w:ilvl w:val="0"/>
          <w:numId w:val="6"/>
        </w:numPr>
        <w:spacing w:after="0"/>
        <w:ind w:left="1440"/>
        <w:rPr>
          <w:rFonts w:ascii="Times New Roman" w:hAnsi="Times New Roman" w:cs="Times New Roman"/>
        </w:rPr>
      </w:pPr>
      <w:r w:rsidRPr="00C43423">
        <w:rPr>
          <w:rFonts w:ascii="Times New Roman" w:hAnsi="Times New Roman" w:cs="Times New Roman"/>
        </w:rPr>
        <w:t>Large firm: $25 million in real property value; $5 million in fixtures</w:t>
      </w:r>
    </w:p>
    <w:p w14:paraId="18C7AF0F" w14:textId="4EB9088E" w:rsidR="007E4D8B" w:rsidRPr="00C43423" w:rsidRDefault="007E4D8B" w:rsidP="00552B60">
      <w:pPr>
        <w:ind w:left="720"/>
        <w:rPr>
          <w:rFonts w:ascii="Times New Roman" w:hAnsi="Times New Roman" w:cs="Times New Roman"/>
        </w:rPr>
      </w:pPr>
      <w:r w:rsidRPr="00C43423">
        <w:rPr>
          <w:rFonts w:ascii="Times New Roman" w:hAnsi="Times New Roman" w:cs="Times New Roman"/>
        </w:rPr>
        <w:t xml:space="preserve">Source: </w:t>
      </w:r>
      <w:r w:rsidR="00403E2E">
        <w:rPr>
          <w:rFonts w:ascii="Times New Roman" w:hAnsi="Times New Roman" w:cs="Times New Roman"/>
        </w:rPr>
        <w:t xml:space="preserve">Lincoln Institute/Minnesota Center for Fiscal Excellence </w:t>
      </w:r>
      <w:r w:rsidR="00403E2E">
        <w:rPr>
          <w:rFonts w:ascii="Times New Roman" w:hAnsi="Times New Roman" w:cs="Times New Roman"/>
        </w:rPr>
        <w:fldChar w:fldCharType="begin"/>
      </w:r>
      <w:r w:rsidR="00403E2E">
        <w:rPr>
          <w:rFonts w:ascii="Times New Roman" w:hAnsi="Times New Roman" w:cs="Times New Roman"/>
        </w:rPr>
        <w:instrText xml:space="preserve"> ADDIN EN.CITE &lt;EndNote&gt;&lt;Cite ExcludeAuth="1"&gt;&lt;Author&gt;LILP/MCFE&lt;/Author&gt;&lt;Year&gt;2015&lt;/Year&gt;&lt;RecNum&gt;28&lt;/RecNum&gt;&lt;DisplayText&gt;(2015)&lt;/DisplayText&gt;&lt;record&gt;&lt;rec-number&gt;28&lt;/rec-number&gt;&lt;foreign-keys&gt;&lt;key app="EN" db-id="efsrp25rfad5tverv0kv2ztwvdrzzzda2pwp" timestamp="1446588008"&gt;28&lt;/key&gt;&lt;/foreign-keys&gt;&lt;ref-type name="Book"&gt;6&lt;/ref-type&gt;&lt;contributors&gt;&lt;authors&gt;&lt;author&gt;LILP/MCFE,&lt;/author&gt;&lt;/authors&gt;&lt;/contributors&gt;&lt;titles&gt;&lt;title&gt;50-State Property Tax Comparison Study&lt;/title&gt;&lt;/titles&gt;&lt;dates&gt;&lt;year&gt;2015&lt;/year&gt;&lt;/dates&gt;&lt;pub-location&gt;Cambridge, MA; Saint Paul, MN&lt;/pub-location&gt;&lt;publisher&gt;Lincoln Institute of Land Policy and Minnesota Center for Fiscal Excellence &lt;/publisher&gt;&lt;urls&gt;&lt;/urls&gt;&lt;/record&gt;&lt;/Cite&gt;&lt;/EndNote&gt;</w:instrText>
      </w:r>
      <w:r w:rsidR="00403E2E">
        <w:rPr>
          <w:rFonts w:ascii="Times New Roman" w:hAnsi="Times New Roman" w:cs="Times New Roman"/>
        </w:rPr>
        <w:fldChar w:fldCharType="separate"/>
      </w:r>
      <w:r w:rsidR="00403E2E">
        <w:rPr>
          <w:rFonts w:ascii="Times New Roman" w:hAnsi="Times New Roman" w:cs="Times New Roman"/>
          <w:noProof/>
        </w:rPr>
        <w:t>(2015)</w:t>
      </w:r>
      <w:r w:rsidR="00403E2E">
        <w:rPr>
          <w:rFonts w:ascii="Times New Roman" w:hAnsi="Times New Roman" w:cs="Times New Roman"/>
        </w:rPr>
        <w:fldChar w:fldCharType="end"/>
      </w:r>
      <w:r w:rsidRPr="00C43423">
        <w:rPr>
          <w:rFonts w:ascii="Times New Roman" w:hAnsi="Times New Roman" w:cs="Times New Roman"/>
        </w:rPr>
        <w:t>,</w:t>
      </w:r>
      <w:r w:rsidR="00403E2E">
        <w:rPr>
          <w:rFonts w:ascii="Times New Roman" w:hAnsi="Times New Roman" w:cs="Times New Roman"/>
        </w:rPr>
        <w:t xml:space="preserve"> Lincoln Institute/George Washington University </w:t>
      </w:r>
      <w:r w:rsidR="00403E2E">
        <w:rPr>
          <w:rFonts w:ascii="Times New Roman" w:hAnsi="Times New Roman" w:cs="Times New Roman"/>
        </w:rPr>
        <w:fldChar w:fldCharType="begin"/>
      </w:r>
      <w:r w:rsidR="00403E2E">
        <w:rPr>
          <w:rFonts w:ascii="Times New Roman" w:hAnsi="Times New Roman" w:cs="Times New Roman"/>
        </w:rPr>
        <w:instrText xml:space="preserve"> ADDIN EN.CITE &lt;EndNote&gt;&lt;Cite ExcludeAuth="1"&gt;&lt;Author&gt;LILP/GWU&lt;/Author&gt;&lt;Year&gt;2015&lt;/Year&gt;&lt;RecNum&gt;6&lt;/RecNum&gt;&lt;DisplayText&gt;(2015)&lt;/DisplayText&gt;&lt;record&gt;&lt;rec-number&gt;6&lt;/rec-number&gt;&lt;foreign-keys&gt;&lt;key app="EN" db-id="efsrp25rfad5tverv0kv2ztwvdrzzzda2pwp" timestamp="1446237814"&gt;6&lt;/key&gt;&lt;/foreign-keys&gt;&lt;ref-type name="Web Page"&gt;12&lt;/ref-type&gt;&lt;contributors&gt;&lt;authors&gt;&lt;author&gt;LILP/GWU,&lt;/author&gt;&lt;/authors&gt;&lt;/contributors&gt;&lt;titles&gt;&lt;title&gt;Significant Features of the Property Tax: State Summaries&lt;/title&gt;&lt;secondary-title&gt;Significant Features of the Property Tax&lt;/secondary-title&gt;&lt;/titles&gt;&lt;volume&gt;2015&lt;/volume&gt;&lt;number&gt;October, 2015&lt;/number&gt;&lt;dates&gt;&lt;year&gt;2015&lt;/year&gt;&lt;/dates&gt;&lt;pub-location&gt;Cambridge, MA&lt;/pub-location&gt;&lt;publisher&gt;Lincoln Institute of Land Policy and George Washington University Institute of Public Policy&lt;/publisher&gt;&lt;urls&gt;&lt;related-urls&gt;&lt;url&gt;http://www.lincolninst.edu/subcenters/significant-features-property-tax/Report_State_Summaries.aspx&lt;/url&gt;&lt;/related-urls&gt;&lt;/urls&gt;&lt;/record&gt;&lt;/Cite&gt;&lt;/EndNote&gt;</w:instrText>
      </w:r>
      <w:r w:rsidR="00403E2E">
        <w:rPr>
          <w:rFonts w:ascii="Times New Roman" w:hAnsi="Times New Roman" w:cs="Times New Roman"/>
        </w:rPr>
        <w:fldChar w:fldCharType="separate"/>
      </w:r>
      <w:r w:rsidR="00403E2E">
        <w:rPr>
          <w:rFonts w:ascii="Times New Roman" w:hAnsi="Times New Roman" w:cs="Times New Roman"/>
          <w:noProof/>
        </w:rPr>
        <w:t>(2015)</w:t>
      </w:r>
      <w:r w:rsidR="00403E2E">
        <w:rPr>
          <w:rFonts w:ascii="Times New Roman" w:hAnsi="Times New Roman" w:cs="Times New Roman"/>
        </w:rPr>
        <w:fldChar w:fldCharType="end"/>
      </w:r>
      <w:r w:rsidRPr="00C43423">
        <w:rPr>
          <w:rFonts w:ascii="Times New Roman" w:hAnsi="Times New Roman" w:cs="Times New Roman"/>
        </w:rPr>
        <w:t xml:space="preserve"> and calculations by the author</w:t>
      </w:r>
    </w:p>
    <w:p w14:paraId="3F93A0D3" w14:textId="3574FCE1" w:rsidR="007E4D8B" w:rsidRPr="00403E2E" w:rsidRDefault="00403E2E" w:rsidP="00403E2E">
      <w:pPr>
        <w:jc w:val="both"/>
        <w:rPr>
          <w:rFonts w:ascii="Times New Roman" w:hAnsi="Times New Roman" w:cs="Times New Roman"/>
        </w:rPr>
      </w:pPr>
      <w:r w:rsidRPr="00403E2E">
        <w:rPr>
          <w:rFonts w:ascii="Times New Roman" w:hAnsi="Times New Roman" w:cs="Times New Roman"/>
        </w:rPr>
        <w:t>Table 10</w:t>
      </w:r>
      <w:r w:rsidR="00552B60" w:rsidRPr="00403E2E">
        <w:rPr>
          <w:rFonts w:ascii="Times New Roman" w:hAnsi="Times New Roman" w:cs="Times New Roman"/>
        </w:rPr>
        <w:t xml:space="preserve"> presents a similar analysis for industrial (manufacturing) firms using the same two data sources. Here the differences are even smaller. Thus, for manufacturing firms, there appears to be no evidence that the overall effective tax rates differ between states that tax personal property and those that do not.</w:t>
      </w:r>
    </w:p>
    <w:p w14:paraId="1D8D9858" w14:textId="668A6F4F" w:rsidR="007E4D8B" w:rsidRPr="00403E2E" w:rsidRDefault="00403E2E" w:rsidP="00552B60">
      <w:pPr>
        <w:jc w:val="center"/>
        <w:rPr>
          <w:rFonts w:ascii="Times New Roman" w:hAnsi="Times New Roman" w:cs="Times New Roman"/>
          <w:b/>
        </w:rPr>
      </w:pPr>
      <w:r w:rsidRPr="00403E2E">
        <w:rPr>
          <w:rFonts w:ascii="Times New Roman" w:hAnsi="Times New Roman" w:cs="Times New Roman"/>
          <w:b/>
        </w:rPr>
        <w:t>Table 10</w:t>
      </w:r>
      <w:r w:rsidR="007E4D8B" w:rsidRPr="00403E2E">
        <w:rPr>
          <w:rFonts w:ascii="Times New Roman" w:hAnsi="Times New Roman" w:cs="Times New Roman"/>
          <w:b/>
        </w:rPr>
        <w:t xml:space="preserve">: Effective property tax rates for urban industrial (manufacturing) property by </w:t>
      </w:r>
      <w:r w:rsidRPr="00403E2E">
        <w:rPr>
          <w:rFonts w:ascii="Times New Roman" w:hAnsi="Times New Roman" w:cs="Times New Roman"/>
          <w:b/>
        </w:rPr>
        <w:t xml:space="preserve">tax status of personal property and </w:t>
      </w:r>
      <w:r w:rsidR="007E4D8B" w:rsidRPr="00403E2E">
        <w:rPr>
          <w:rFonts w:ascii="Times New Roman" w:hAnsi="Times New Roman" w:cs="Times New Roman"/>
          <w:b/>
        </w:rPr>
        <w:t>size of firm</w:t>
      </w:r>
    </w:p>
    <w:tbl>
      <w:tblPr>
        <w:tblStyle w:val="TableGrid"/>
        <w:tblW w:w="0" w:type="auto"/>
        <w:jc w:val="center"/>
        <w:tblLook w:val="04A0" w:firstRow="1" w:lastRow="0" w:firstColumn="1" w:lastColumn="0" w:noHBand="0" w:noVBand="1"/>
      </w:tblPr>
      <w:tblGrid>
        <w:gridCol w:w="1596"/>
        <w:gridCol w:w="1596"/>
        <w:gridCol w:w="1596"/>
        <w:gridCol w:w="1596"/>
        <w:gridCol w:w="1596"/>
      </w:tblGrid>
      <w:tr w:rsidR="007E4D8B" w:rsidRPr="00D77A48" w14:paraId="4AC6D0FA" w14:textId="77777777" w:rsidTr="00552B60">
        <w:trPr>
          <w:jc w:val="center"/>
        </w:trPr>
        <w:tc>
          <w:tcPr>
            <w:tcW w:w="1596" w:type="dxa"/>
            <w:vMerge w:val="restart"/>
            <w:vAlign w:val="center"/>
          </w:tcPr>
          <w:p w14:paraId="5C1A2BB4" w14:textId="77777777" w:rsidR="007E4D8B" w:rsidRPr="00403E2E" w:rsidRDefault="007E4D8B" w:rsidP="00E25B74">
            <w:pPr>
              <w:jc w:val="center"/>
              <w:rPr>
                <w:rFonts w:ascii="Times New Roman" w:hAnsi="Times New Roman" w:cs="Times New Roman"/>
                <w:b/>
              </w:rPr>
            </w:pPr>
            <w:r w:rsidRPr="00403E2E">
              <w:rPr>
                <w:rFonts w:ascii="Times New Roman" w:hAnsi="Times New Roman" w:cs="Times New Roman"/>
                <w:b/>
              </w:rPr>
              <w:t>State tax policy</w:t>
            </w:r>
          </w:p>
        </w:tc>
        <w:tc>
          <w:tcPr>
            <w:tcW w:w="1596" w:type="dxa"/>
            <w:vMerge w:val="restart"/>
            <w:vAlign w:val="center"/>
          </w:tcPr>
          <w:p w14:paraId="730B7A05" w14:textId="77777777" w:rsidR="007E4D8B" w:rsidRPr="00403E2E" w:rsidRDefault="007E4D8B" w:rsidP="00E25B74">
            <w:pPr>
              <w:jc w:val="center"/>
              <w:rPr>
                <w:rFonts w:ascii="Times New Roman" w:hAnsi="Times New Roman" w:cs="Times New Roman"/>
                <w:b/>
              </w:rPr>
            </w:pPr>
            <w:r w:rsidRPr="00403E2E">
              <w:rPr>
                <w:rFonts w:ascii="Times New Roman" w:hAnsi="Times New Roman" w:cs="Times New Roman"/>
                <w:b/>
              </w:rPr>
              <w:t>Number of states</w:t>
            </w:r>
          </w:p>
        </w:tc>
        <w:tc>
          <w:tcPr>
            <w:tcW w:w="4788" w:type="dxa"/>
            <w:gridSpan w:val="3"/>
            <w:vAlign w:val="center"/>
          </w:tcPr>
          <w:p w14:paraId="1A5505A8" w14:textId="77777777" w:rsidR="007E4D8B" w:rsidRPr="00403E2E" w:rsidRDefault="007E4D8B" w:rsidP="00E25B74">
            <w:pPr>
              <w:jc w:val="center"/>
              <w:rPr>
                <w:rFonts w:ascii="Times New Roman" w:hAnsi="Times New Roman" w:cs="Times New Roman"/>
                <w:b/>
              </w:rPr>
            </w:pPr>
            <w:r w:rsidRPr="00403E2E">
              <w:rPr>
                <w:rFonts w:ascii="Times New Roman" w:hAnsi="Times New Roman" w:cs="Times New Roman"/>
                <w:b/>
              </w:rPr>
              <w:t xml:space="preserve">Average effective rate for </w:t>
            </w:r>
          </w:p>
        </w:tc>
      </w:tr>
      <w:tr w:rsidR="007E4D8B" w:rsidRPr="00D77A48" w14:paraId="28093ED1" w14:textId="77777777" w:rsidTr="00552B60">
        <w:trPr>
          <w:jc w:val="center"/>
        </w:trPr>
        <w:tc>
          <w:tcPr>
            <w:tcW w:w="1596" w:type="dxa"/>
            <w:vMerge/>
            <w:vAlign w:val="center"/>
          </w:tcPr>
          <w:p w14:paraId="484BE395" w14:textId="77777777" w:rsidR="007E4D8B" w:rsidRPr="00403E2E" w:rsidRDefault="007E4D8B" w:rsidP="00E25B74">
            <w:pPr>
              <w:jc w:val="center"/>
              <w:rPr>
                <w:rFonts w:ascii="Times New Roman" w:hAnsi="Times New Roman" w:cs="Times New Roman"/>
                <w:b/>
              </w:rPr>
            </w:pPr>
          </w:p>
        </w:tc>
        <w:tc>
          <w:tcPr>
            <w:tcW w:w="1596" w:type="dxa"/>
            <w:vMerge/>
            <w:vAlign w:val="center"/>
          </w:tcPr>
          <w:p w14:paraId="2266A006" w14:textId="77777777" w:rsidR="007E4D8B" w:rsidRPr="00403E2E" w:rsidRDefault="007E4D8B" w:rsidP="00E25B74">
            <w:pPr>
              <w:jc w:val="center"/>
              <w:rPr>
                <w:rFonts w:ascii="Times New Roman" w:hAnsi="Times New Roman" w:cs="Times New Roman"/>
                <w:b/>
              </w:rPr>
            </w:pPr>
          </w:p>
        </w:tc>
        <w:tc>
          <w:tcPr>
            <w:tcW w:w="1596" w:type="dxa"/>
            <w:vAlign w:val="center"/>
          </w:tcPr>
          <w:p w14:paraId="5615D84D" w14:textId="77777777" w:rsidR="007E4D8B" w:rsidRPr="00403E2E" w:rsidRDefault="007E4D8B" w:rsidP="00E25B74">
            <w:pPr>
              <w:jc w:val="center"/>
              <w:rPr>
                <w:rFonts w:ascii="Times New Roman" w:hAnsi="Times New Roman" w:cs="Times New Roman"/>
                <w:b/>
              </w:rPr>
            </w:pPr>
            <w:r w:rsidRPr="00403E2E">
              <w:rPr>
                <w:rFonts w:ascii="Times New Roman" w:hAnsi="Times New Roman" w:cs="Times New Roman"/>
                <w:b/>
              </w:rPr>
              <w:t>Small firm</w:t>
            </w:r>
            <w:r w:rsidRPr="00403E2E">
              <w:rPr>
                <w:rFonts w:ascii="Times New Roman" w:hAnsi="Times New Roman" w:cs="Times New Roman"/>
                <w:b/>
                <w:vertAlign w:val="superscript"/>
              </w:rPr>
              <w:t>a</w:t>
            </w:r>
          </w:p>
        </w:tc>
        <w:tc>
          <w:tcPr>
            <w:tcW w:w="1596" w:type="dxa"/>
            <w:vAlign w:val="center"/>
          </w:tcPr>
          <w:p w14:paraId="1F17DED0" w14:textId="77777777" w:rsidR="007E4D8B" w:rsidRPr="00403E2E" w:rsidRDefault="007E4D8B" w:rsidP="00E25B74">
            <w:pPr>
              <w:jc w:val="center"/>
              <w:rPr>
                <w:rFonts w:ascii="Times New Roman" w:hAnsi="Times New Roman" w:cs="Times New Roman"/>
                <w:b/>
              </w:rPr>
            </w:pPr>
            <w:r w:rsidRPr="00403E2E">
              <w:rPr>
                <w:rFonts w:ascii="Times New Roman" w:hAnsi="Times New Roman" w:cs="Times New Roman"/>
                <w:b/>
              </w:rPr>
              <w:t>Medium firm</w:t>
            </w:r>
            <w:r w:rsidRPr="00403E2E">
              <w:rPr>
                <w:rFonts w:ascii="Times New Roman" w:hAnsi="Times New Roman" w:cs="Times New Roman"/>
                <w:b/>
                <w:vertAlign w:val="superscript"/>
              </w:rPr>
              <w:t>b</w:t>
            </w:r>
          </w:p>
        </w:tc>
        <w:tc>
          <w:tcPr>
            <w:tcW w:w="1596" w:type="dxa"/>
            <w:vAlign w:val="center"/>
          </w:tcPr>
          <w:p w14:paraId="71CB870F" w14:textId="77777777" w:rsidR="007E4D8B" w:rsidRPr="00403E2E" w:rsidRDefault="007E4D8B" w:rsidP="00E25B74">
            <w:pPr>
              <w:jc w:val="center"/>
              <w:rPr>
                <w:rFonts w:ascii="Times New Roman" w:hAnsi="Times New Roman" w:cs="Times New Roman"/>
                <w:b/>
              </w:rPr>
            </w:pPr>
            <w:r w:rsidRPr="00403E2E">
              <w:rPr>
                <w:rFonts w:ascii="Times New Roman" w:hAnsi="Times New Roman" w:cs="Times New Roman"/>
                <w:b/>
              </w:rPr>
              <w:t>Large firm</w:t>
            </w:r>
            <w:r w:rsidRPr="00403E2E">
              <w:rPr>
                <w:rFonts w:ascii="Times New Roman" w:hAnsi="Times New Roman" w:cs="Times New Roman"/>
                <w:b/>
                <w:vertAlign w:val="superscript"/>
              </w:rPr>
              <w:t>c</w:t>
            </w:r>
          </w:p>
        </w:tc>
      </w:tr>
      <w:tr w:rsidR="007E4D8B" w:rsidRPr="00D77A48" w14:paraId="218012B8" w14:textId="77777777" w:rsidTr="00552B60">
        <w:trPr>
          <w:jc w:val="center"/>
        </w:trPr>
        <w:tc>
          <w:tcPr>
            <w:tcW w:w="1596" w:type="dxa"/>
          </w:tcPr>
          <w:p w14:paraId="05BB8EDA" w14:textId="77777777" w:rsidR="007E4D8B" w:rsidRPr="00403E2E" w:rsidRDefault="007E4D8B" w:rsidP="00E25B74">
            <w:pPr>
              <w:rPr>
                <w:rFonts w:ascii="Times New Roman" w:hAnsi="Times New Roman" w:cs="Times New Roman"/>
              </w:rPr>
            </w:pPr>
          </w:p>
        </w:tc>
        <w:tc>
          <w:tcPr>
            <w:tcW w:w="6384" w:type="dxa"/>
            <w:gridSpan w:val="4"/>
            <w:shd w:val="clear" w:color="auto" w:fill="D9D9D9" w:themeFill="background1" w:themeFillShade="D9"/>
            <w:vAlign w:val="center"/>
          </w:tcPr>
          <w:p w14:paraId="0763FA25" w14:textId="77777777" w:rsidR="007E4D8B" w:rsidRPr="00403E2E" w:rsidRDefault="007E4D8B" w:rsidP="00E25B74">
            <w:pPr>
              <w:jc w:val="center"/>
              <w:rPr>
                <w:rFonts w:ascii="Times New Roman" w:hAnsi="Times New Roman" w:cs="Times New Roman"/>
              </w:rPr>
            </w:pPr>
            <w:r w:rsidRPr="00403E2E">
              <w:rPr>
                <w:rFonts w:ascii="Times New Roman" w:hAnsi="Times New Roman" w:cs="Times New Roman"/>
              </w:rPr>
              <w:t>Is personal property taxed?</w:t>
            </w:r>
          </w:p>
        </w:tc>
      </w:tr>
      <w:tr w:rsidR="007E4D8B" w:rsidRPr="00D77A48" w14:paraId="171CA2E8" w14:textId="77777777" w:rsidTr="00552B60">
        <w:trPr>
          <w:jc w:val="center"/>
        </w:trPr>
        <w:tc>
          <w:tcPr>
            <w:tcW w:w="1596" w:type="dxa"/>
          </w:tcPr>
          <w:p w14:paraId="495AD5F0" w14:textId="77777777" w:rsidR="007E4D8B" w:rsidRPr="00403E2E" w:rsidRDefault="007E4D8B" w:rsidP="00E25B74">
            <w:pPr>
              <w:rPr>
                <w:rFonts w:ascii="Times New Roman" w:hAnsi="Times New Roman" w:cs="Times New Roman"/>
              </w:rPr>
            </w:pPr>
            <w:r w:rsidRPr="00403E2E">
              <w:rPr>
                <w:rFonts w:ascii="Times New Roman" w:hAnsi="Times New Roman" w:cs="Times New Roman"/>
              </w:rPr>
              <w:t>Yes</w:t>
            </w:r>
          </w:p>
        </w:tc>
        <w:tc>
          <w:tcPr>
            <w:tcW w:w="1596" w:type="dxa"/>
            <w:vAlign w:val="center"/>
          </w:tcPr>
          <w:p w14:paraId="3CCE41C3" w14:textId="77777777" w:rsidR="007E4D8B" w:rsidRPr="00403E2E" w:rsidRDefault="007E4D8B" w:rsidP="00E25B74">
            <w:pPr>
              <w:jc w:val="center"/>
              <w:rPr>
                <w:rFonts w:ascii="Times New Roman" w:hAnsi="Times New Roman" w:cs="Times New Roman"/>
              </w:rPr>
            </w:pPr>
            <w:r w:rsidRPr="00403E2E">
              <w:rPr>
                <w:rFonts w:ascii="Times New Roman" w:hAnsi="Times New Roman" w:cs="Times New Roman"/>
              </w:rPr>
              <w:t>37</w:t>
            </w:r>
          </w:p>
        </w:tc>
        <w:tc>
          <w:tcPr>
            <w:tcW w:w="1596" w:type="dxa"/>
            <w:vAlign w:val="center"/>
          </w:tcPr>
          <w:p w14:paraId="4FBDAD0E" w14:textId="77777777" w:rsidR="007E4D8B" w:rsidRPr="00403E2E" w:rsidRDefault="007E4D8B" w:rsidP="00E25B74">
            <w:pPr>
              <w:jc w:val="center"/>
              <w:rPr>
                <w:rFonts w:ascii="Times New Roman" w:hAnsi="Times New Roman" w:cs="Times New Roman"/>
              </w:rPr>
            </w:pPr>
            <w:r w:rsidRPr="00403E2E">
              <w:rPr>
                <w:rFonts w:ascii="Times New Roman" w:hAnsi="Times New Roman" w:cs="Times New Roman"/>
              </w:rPr>
              <w:t>1.53</w:t>
            </w:r>
          </w:p>
        </w:tc>
        <w:tc>
          <w:tcPr>
            <w:tcW w:w="1596" w:type="dxa"/>
            <w:vAlign w:val="center"/>
          </w:tcPr>
          <w:p w14:paraId="3AA4DC69" w14:textId="77777777" w:rsidR="007E4D8B" w:rsidRPr="00403E2E" w:rsidRDefault="007E4D8B" w:rsidP="00E25B74">
            <w:pPr>
              <w:jc w:val="center"/>
              <w:rPr>
                <w:rFonts w:ascii="Times New Roman" w:hAnsi="Times New Roman" w:cs="Times New Roman"/>
              </w:rPr>
            </w:pPr>
            <w:r w:rsidRPr="00403E2E">
              <w:rPr>
                <w:rFonts w:ascii="Times New Roman" w:hAnsi="Times New Roman" w:cs="Times New Roman"/>
              </w:rPr>
              <w:t>1.57</w:t>
            </w:r>
          </w:p>
        </w:tc>
        <w:tc>
          <w:tcPr>
            <w:tcW w:w="1596" w:type="dxa"/>
            <w:vAlign w:val="center"/>
          </w:tcPr>
          <w:p w14:paraId="61A87851" w14:textId="77777777" w:rsidR="007E4D8B" w:rsidRPr="00403E2E" w:rsidRDefault="007E4D8B" w:rsidP="00E25B74">
            <w:pPr>
              <w:jc w:val="center"/>
              <w:rPr>
                <w:rFonts w:ascii="Times New Roman" w:hAnsi="Times New Roman" w:cs="Times New Roman"/>
              </w:rPr>
            </w:pPr>
            <w:r w:rsidRPr="00403E2E">
              <w:rPr>
                <w:rFonts w:ascii="Times New Roman" w:hAnsi="Times New Roman" w:cs="Times New Roman"/>
              </w:rPr>
              <w:t>1.58</w:t>
            </w:r>
          </w:p>
        </w:tc>
      </w:tr>
      <w:tr w:rsidR="007E4D8B" w:rsidRPr="00D77A48" w14:paraId="63F977FF" w14:textId="77777777" w:rsidTr="00552B60">
        <w:trPr>
          <w:jc w:val="center"/>
        </w:trPr>
        <w:tc>
          <w:tcPr>
            <w:tcW w:w="1596" w:type="dxa"/>
          </w:tcPr>
          <w:p w14:paraId="40A24BD7" w14:textId="77777777" w:rsidR="007E4D8B" w:rsidRPr="00403E2E" w:rsidRDefault="007E4D8B" w:rsidP="00E25B74">
            <w:pPr>
              <w:rPr>
                <w:rFonts w:ascii="Times New Roman" w:hAnsi="Times New Roman" w:cs="Times New Roman"/>
              </w:rPr>
            </w:pPr>
            <w:r w:rsidRPr="00403E2E">
              <w:rPr>
                <w:rFonts w:ascii="Times New Roman" w:hAnsi="Times New Roman" w:cs="Times New Roman"/>
              </w:rPr>
              <w:t>No</w:t>
            </w:r>
          </w:p>
        </w:tc>
        <w:tc>
          <w:tcPr>
            <w:tcW w:w="1596" w:type="dxa"/>
            <w:vAlign w:val="center"/>
          </w:tcPr>
          <w:p w14:paraId="2D443B5E" w14:textId="77777777" w:rsidR="007E4D8B" w:rsidRPr="00403E2E" w:rsidRDefault="007E4D8B" w:rsidP="00E25B74">
            <w:pPr>
              <w:jc w:val="center"/>
              <w:rPr>
                <w:rFonts w:ascii="Times New Roman" w:hAnsi="Times New Roman" w:cs="Times New Roman"/>
              </w:rPr>
            </w:pPr>
            <w:r w:rsidRPr="00403E2E">
              <w:rPr>
                <w:rFonts w:ascii="Times New Roman" w:hAnsi="Times New Roman" w:cs="Times New Roman"/>
              </w:rPr>
              <w:t>14</w:t>
            </w:r>
          </w:p>
        </w:tc>
        <w:tc>
          <w:tcPr>
            <w:tcW w:w="1596" w:type="dxa"/>
            <w:vAlign w:val="center"/>
          </w:tcPr>
          <w:p w14:paraId="2DA64AD5" w14:textId="77777777" w:rsidR="007E4D8B" w:rsidRPr="00403E2E" w:rsidRDefault="007E4D8B" w:rsidP="00E25B74">
            <w:pPr>
              <w:jc w:val="center"/>
              <w:rPr>
                <w:rFonts w:ascii="Times New Roman" w:hAnsi="Times New Roman" w:cs="Times New Roman"/>
              </w:rPr>
            </w:pPr>
            <w:r w:rsidRPr="00403E2E">
              <w:rPr>
                <w:rFonts w:ascii="Times New Roman" w:hAnsi="Times New Roman" w:cs="Times New Roman"/>
              </w:rPr>
              <w:t>1.42</w:t>
            </w:r>
          </w:p>
        </w:tc>
        <w:tc>
          <w:tcPr>
            <w:tcW w:w="1596" w:type="dxa"/>
            <w:vAlign w:val="center"/>
          </w:tcPr>
          <w:p w14:paraId="5F91A45E" w14:textId="77777777" w:rsidR="007E4D8B" w:rsidRPr="00403E2E" w:rsidRDefault="007E4D8B" w:rsidP="00E25B74">
            <w:pPr>
              <w:jc w:val="center"/>
              <w:rPr>
                <w:rFonts w:ascii="Times New Roman" w:hAnsi="Times New Roman" w:cs="Times New Roman"/>
              </w:rPr>
            </w:pPr>
            <w:r w:rsidRPr="00403E2E">
              <w:rPr>
                <w:rFonts w:ascii="Times New Roman" w:hAnsi="Times New Roman" w:cs="Times New Roman"/>
              </w:rPr>
              <w:t>1.59</w:t>
            </w:r>
          </w:p>
        </w:tc>
        <w:tc>
          <w:tcPr>
            <w:tcW w:w="1596" w:type="dxa"/>
            <w:vAlign w:val="center"/>
          </w:tcPr>
          <w:p w14:paraId="715BA5ED" w14:textId="77777777" w:rsidR="007E4D8B" w:rsidRPr="00403E2E" w:rsidRDefault="007E4D8B" w:rsidP="00E25B74">
            <w:pPr>
              <w:jc w:val="center"/>
              <w:rPr>
                <w:rFonts w:ascii="Times New Roman" w:hAnsi="Times New Roman" w:cs="Times New Roman"/>
              </w:rPr>
            </w:pPr>
            <w:r w:rsidRPr="00403E2E">
              <w:rPr>
                <w:rFonts w:ascii="Times New Roman" w:hAnsi="Times New Roman" w:cs="Times New Roman"/>
              </w:rPr>
              <w:t>1.63</w:t>
            </w:r>
          </w:p>
        </w:tc>
      </w:tr>
      <w:tr w:rsidR="007E4D8B" w:rsidRPr="00D77A48" w14:paraId="5D295F71" w14:textId="77777777" w:rsidTr="00552B60">
        <w:trPr>
          <w:jc w:val="center"/>
        </w:trPr>
        <w:tc>
          <w:tcPr>
            <w:tcW w:w="1596" w:type="dxa"/>
          </w:tcPr>
          <w:p w14:paraId="747D5810" w14:textId="77777777" w:rsidR="007E4D8B" w:rsidRPr="00403E2E" w:rsidRDefault="007E4D8B" w:rsidP="00E25B74">
            <w:pPr>
              <w:rPr>
                <w:rFonts w:ascii="Times New Roman" w:hAnsi="Times New Roman" w:cs="Times New Roman"/>
              </w:rPr>
            </w:pPr>
          </w:p>
        </w:tc>
        <w:tc>
          <w:tcPr>
            <w:tcW w:w="6384" w:type="dxa"/>
            <w:gridSpan w:val="4"/>
            <w:shd w:val="clear" w:color="auto" w:fill="D9D9D9" w:themeFill="background1" w:themeFillShade="D9"/>
            <w:vAlign w:val="center"/>
          </w:tcPr>
          <w:p w14:paraId="07A84345" w14:textId="77777777" w:rsidR="007E4D8B" w:rsidRPr="00403E2E" w:rsidRDefault="007E4D8B" w:rsidP="00E25B74">
            <w:pPr>
              <w:jc w:val="center"/>
              <w:rPr>
                <w:rFonts w:ascii="Times New Roman" w:hAnsi="Times New Roman" w:cs="Times New Roman"/>
              </w:rPr>
            </w:pPr>
            <w:r w:rsidRPr="00403E2E">
              <w:rPr>
                <w:rFonts w:ascii="Times New Roman" w:hAnsi="Times New Roman" w:cs="Times New Roman"/>
              </w:rPr>
              <w:t>Are inventories taxed?</w:t>
            </w:r>
          </w:p>
        </w:tc>
      </w:tr>
      <w:tr w:rsidR="007E4D8B" w:rsidRPr="00D77A48" w14:paraId="5F107A7E" w14:textId="77777777" w:rsidTr="00552B60">
        <w:trPr>
          <w:jc w:val="center"/>
        </w:trPr>
        <w:tc>
          <w:tcPr>
            <w:tcW w:w="1596" w:type="dxa"/>
          </w:tcPr>
          <w:p w14:paraId="173F66CB" w14:textId="77777777" w:rsidR="007E4D8B" w:rsidRPr="00403E2E" w:rsidRDefault="007E4D8B" w:rsidP="00E25B74">
            <w:pPr>
              <w:rPr>
                <w:rFonts w:ascii="Times New Roman" w:hAnsi="Times New Roman" w:cs="Times New Roman"/>
              </w:rPr>
            </w:pPr>
            <w:r w:rsidRPr="00403E2E">
              <w:rPr>
                <w:rFonts w:ascii="Times New Roman" w:hAnsi="Times New Roman" w:cs="Times New Roman"/>
              </w:rPr>
              <w:t>Yes</w:t>
            </w:r>
          </w:p>
        </w:tc>
        <w:tc>
          <w:tcPr>
            <w:tcW w:w="1596" w:type="dxa"/>
            <w:vAlign w:val="center"/>
          </w:tcPr>
          <w:p w14:paraId="76572D12" w14:textId="77777777" w:rsidR="007E4D8B" w:rsidRPr="00403E2E" w:rsidRDefault="007E4D8B" w:rsidP="00E25B74">
            <w:pPr>
              <w:jc w:val="center"/>
              <w:rPr>
                <w:rFonts w:ascii="Times New Roman" w:hAnsi="Times New Roman" w:cs="Times New Roman"/>
              </w:rPr>
            </w:pPr>
            <w:r w:rsidRPr="00403E2E">
              <w:rPr>
                <w:rFonts w:ascii="Times New Roman" w:hAnsi="Times New Roman" w:cs="Times New Roman"/>
              </w:rPr>
              <w:t>12</w:t>
            </w:r>
          </w:p>
        </w:tc>
        <w:tc>
          <w:tcPr>
            <w:tcW w:w="1596" w:type="dxa"/>
            <w:vAlign w:val="center"/>
          </w:tcPr>
          <w:p w14:paraId="0968F5A4" w14:textId="77777777" w:rsidR="007E4D8B" w:rsidRPr="00403E2E" w:rsidRDefault="007E4D8B" w:rsidP="00E25B74">
            <w:pPr>
              <w:jc w:val="center"/>
              <w:rPr>
                <w:rFonts w:ascii="Times New Roman" w:hAnsi="Times New Roman" w:cs="Times New Roman"/>
              </w:rPr>
            </w:pPr>
            <w:r w:rsidRPr="00403E2E">
              <w:rPr>
                <w:rFonts w:ascii="Times New Roman" w:hAnsi="Times New Roman" w:cs="Times New Roman"/>
              </w:rPr>
              <w:t>1.57</w:t>
            </w:r>
          </w:p>
        </w:tc>
        <w:tc>
          <w:tcPr>
            <w:tcW w:w="1596" w:type="dxa"/>
            <w:vAlign w:val="center"/>
          </w:tcPr>
          <w:p w14:paraId="1AA44FD9" w14:textId="77777777" w:rsidR="007E4D8B" w:rsidRPr="00403E2E" w:rsidRDefault="007E4D8B" w:rsidP="00E25B74">
            <w:pPr>
              <w:jc w:val="center"/>
              <w:rPr>
                <w:rFonts w:ascii="Times New Roman" w:hAnsi="Times New Roman" w:cs="Times New Roman"/>
              </w:rPr>
            </w:pPr>
            <w:r w:rsidRPr="00403E2E">
              <w:rPr>
                <w:rFonts w:ascii="Times New Roman" w:hAnsi="Times New Roman" w:cs="Times New Roman"/>
              </w:rPr>
              <w:t>1.58</w:t>
            </w:r>
          </w:p>
        </w:tc>
        <w:tc>
          <w:tcPr>
            <w:tcW w:w="1596" w:type="dxa"/>
            <w:vAlign w:val="center"/>
          </w:tcPr>
          <w:p w14:paraId="2C98054F" w14:textId="77777777" w:rsidR="007E4D8B" w:rsidRPr="00403E2E" w:rsidRDefault="007E4D8B" w:rsidP="00E25B74">
            <w:pPr>
              <w:jc w:val="center"/>
              <w:rPr>
                <w:rFonts w:ascii="Times New Roman" w:hAnsi="Times New Roman" w:cs="Times New Roman"/>
              </w:rPr>
            </w:pPr>
            <w:r w:rsidRPr="00403E2E">
              <w:rPr>
                <w:rFonts w:ascii="Times New Roman" w:hAnsi="Times New Roman" w:cs="Times New Roman"/>
              </w:rPr>
              <w:t>1.60</w:t>
            </w:r>
          </w:p>
        </w:tc>
      </w:tr>
      <w:tr w:rsidR="007E4D8B" w:rsidRPr="00D77A48" w14:paraId="70C34033" w14:textId="77777777" w:rsidTr="00552B60">
        <w:trPr>
          <w:jc w:val="center"/>
        </w:trPr>
        <w:tc>
          <w:tcPr>
            <w:tcW w:w="1596" w:type="dxa"/>
          </w:tcPr>
          <w:p w14:paraId="163828F7" w14:textId="77777777" w:rsidR="007E4D8B" w:rsidRPr="00403E2E" w:rsidRDefault="007E4D8B" w:rsidP="00E25B74">
            <w:pPr>
              <w:rPr>
                <w:rFonts w:ascii="Times New Roman" w:hAnsi="Times New Roman" w:cs="Times New Roman"/>
              </w:rPr>
            </w:pPr>
            <w:r w:rsidRPr="00403E2E">
              <w:rPr>
                <w:rFonts w:ascii="Times New Roman" w:hAnsi="Times New Roman" w:cs="Times New Roman"/>
              </w:rPr>
              <w:t>No</w:t>
            </w:r>
          </w:p>
        </w:tc>
        <w:tc>
          <w:tcPr>
            <w:tcW w:w="1596" w:type="dxa"/>
            <w:vAlign w:val="center"/>
          </w:tcPr>
          <w:p w14:paraId="03884282" w14:textId="77777777" w:rsidR="007E4D8B" w:rsidRPr="00403E2E" w:rsidRDefault="007E4D8B" w:rsidP="00E25B74">
            <w:pPr>
              <w:jc w:val="center"/>
              <w:rPr>
                <w:rFonts w:ascii="Times New Roman" w:hAnsi="Times New Roman" w:cs="Times New Roman"/>
              </w:rPr>
            </w:pPr>
            <w:r w:rsidRPr="00403E2E">
              <w:rPr>
                <w:rFonts w:ascii="Times New Roman" w:hAnsi="Times New Roman" w:cs="Times New Roman"/>
              </w:rPr>
              <w:t>39</w:t>
            </w:r>
          </w:p>
        </w:tc>
        <w:tc>
          <w:tcPr>
            <w:tcW w:w="1596" w:type="dxa"/>
            <w:vAlign w:val="center"/>
          </w:tcPr>
          <w:p w14:paraId="1D6C203D" w14:textId="77777777" w:rsidR="007E4D8B" w:rsidRPr="00403E2E" w:rsidRDefault="007E4D8B" w:rsidP="00E25B74">
            <w:pPr>
              <w:jc w:val="center"/>
              <w:rPr>
                <w:rFonts w:ascii="Times New Roman" w:hAnsi="Times New Roman" w:cs="Times New Roman"/>
              </w:rPr>
            </w:pPr>
            <w:r w:rsidRPr="00403E2E">
              <w:rPr>
                <w:rFonts w:ascii="Times New Roman" w:hAnsi="Times New Roman" w:cs="Times New Roman"/>
              </w:rPr>
              <w:t>1.47</w:t>
            </w:r>
          </w:p>
        </w:tc>
        <w:tc>
          <w:tcPr>
            <w:tcW w:w="1596" w:type="dxa"/>
            <w:vAlign w:val="center"/>
          </w:tcPr>
          <w:p w14:paraId="581D81AD" w14:textId="77777777" w:rsidR="007E4D8B" w:rsidRPr="00403E2E" w:rsidRDefault="007E4D8B" w:rsidP="00E25B74">
            <w:pPr>
              <w:jc w:val="center"/>
              <w:rPr>
                <w:rFonts w:ascii="Times New Roman" w:hAnsi="Times New Roman" w:cs="Times New Roman"/>
              </w:rPr>
            </w:pPr>
            <w:r w:rsidRPr="00403E2E">
              <w:rPr>
                <w:rFonts w:ascii="Times New Roman" w:hAnsi="Times New Roman" w:cs="Times New Roman"/>
              </w:rPr>
              <w:t>1.57</w:t>
            </w:r>
          </w:p>
        </w:tc>
        <w:tc>
          <w:tcPr>
            <w:tcW w:w="1596" w:type="dxa"/>
            <w:vAlign w:val="center"/>
          </w:tcPr>
          <w:p w14:paraId="7F04A88E" w14:textId="77777777" w:rsidR="007E4D8B" w:rsidRPr="00403E2E" w:rsidRDefault="007E4D8B" w:rsidP="00E25B74">
            <w:pPr>
              <w:jc w:val="center"/>
              <w:rPr>
                <w:rFonts w:ascii="Times New Roman" w:hAnsi="Times New Roman" w:cs="Times New Roman"/>
              </w:rPr>
            </w:pPr>
            <w:r w:rsidRPr="00403E2E">
              <w:rPr>
                <w:rFonts w:ascii="Times New Roman" w:hAnsi="Times New Roman" w:cs="Times New Roman"/>
              </w:rPr>
              <w:t>1.58</w:t>
            </w:r>
          </w:p>
        </w:tc>
      </w:tr>
      <w:tr w:rsidR="007E4D8B" w:rsidRPr="00D77A48" w14:paraId="1C19BA22" w14:textId="77777777" w:rsidTr="00552B60">
        <w:trPr>
          <w:jc w:val="center"/>
        </w:trPr>
        <w:tc>
          <w:tcPr>
            <w:tcW w:w="1596" w:type="dxa"/>
          </w:tcPr>
          <w:p w14:paraId="0D82E508" w14:textId="77777777" w:rsidR="007E4D8B" w:rsidRPr="00403E2E" w:rsidRDefault="007E4D8B" w:rsidP="00E25B74">
            <w:pPr>
              <w:rPr>
                <w:rFonts w:ascii="Times New Roman" w:hAnsi="Times New Roman" w:cs="Times New Roman"/>
              </w:rPr>
            </w:pPr>
          </w:p>
        </w:tc>
        <w:tc>
          <w:tcPr>
            <w:tcW w:w="6384" w:type="dxa"/>
            <w:gridSpan w:val="4"/>
            <w:shd w:val="clear" w:color="auto" w:fill="D9D9D9" w:themeFill="background1" w:themeFillShade="D9"/>
            <w:vAlign w:val="center"/>
          </w:tcPr>
          <w:p w14:paraId="71992B29" w14:textId="77777777" w:rsidR="007E4D8B" w:rsidRPr="00403E2E" w:rsidRDefault="007E4D8B" w:rsidP="00E25B74">
            <w:pPr>
              <w:jc w:val="center"/>
              <w:rPr>
                <w:rFonts w:ascii="Times New Roman" w:hAnsi="Times New Roman" w:cs="Times New Roman"/>
              </w:rPr>
            </w:pPr>
            <w:r w:rsidRPr="00403E2E">
              <w:rPr>
                <w:rFonts w:ascii="Times New Roman" w:hAnsi="Times New Roman" w:cs="Times New Roman"/>
              </w:rPr>
              <w:t>Are machinery and equipment taxed?</w:t>
            </w:r>
          </w:p>
        </w:tc>
      </w:tr>
      <w:tr w:rsidR="007E4D8B" w:rsidRPr="00D77A48" w14:paraId="33F679CB" w14:textId="77777777" w:rsidTr="00552B60">
        <w:trPr>
          <w:jc w:val="center"/>
        </w:trPr>
        <w:tc>
          <w:tcPr>
            <w:tcW w:w="1596" w:type="dxa"/>
          </w:tcPr>
          <w:p w14:paraId="2206761B" w14:textId="77777777" w:rsidR="007E4D8B" w:rsidRPr="00403E2E" w:rsidRDefault="007E4D8B" w:rsidP="00E25B74">
            <w:pPr>
              <w:rPr>
                <w:rFonts w:ascii="Times New Roman" w:hAnsi="Times New Roman" w:cs="Times New Roman"/>
              </w:rPr>
            </w:pPr>
            <w:r w:rsidRPr="00403E2E">
              <w:rPr>
                <w:rFonts w:ascii="Times New Roman" w:hAnsi="Times New Roman" w:cs="Times New Roman"/>
              </w:rPr>
              <w:t>Yes</w:t>
            </w:r>
          </w:p>
        </w:tc>
        <w:tc>
          <w:tcPr>
            <w:tcW w:w="1596" w:type="dxa"/>
            <w:vAlign w:val="center"/>
          </w:tcPr>
          <w:p w14:paraId="6CEDB5C9" w14:textId="77777777" w:rsidR="007E4D8B" w:rsidRPr="00403E2E" w:rsidRDefault="007E4D8B" w:rsidP="00E25B74">
            <w:pPr>
              <w:jc w:val="center"/>
              <w:rPr>
                <w:rFonts w:ascii="Times New Roman" w:hAnsi="Times New Roman" w:cs="Times New Roman"/>
              </w:rPr>
            </w:pPr>
            <w:r w:rsidRPr="00403E2E">
              <w:rPr>
                <w:rFonts w:ascii="Times New Roman" w:hAnsi="Times New Roman" w:cs="Times New Roman"/>
              </w:rPr>
              <w:t>36</w:t>
            </w:r>
          </w:p>
        </w:tc>
        <w:tc>
          <w:tcPr>
            <w:tcW w:w="1596" w:type="dxa"/>
            <w:vAlign w:val="center"/>
          </w:tcPr>
          <w:p w14:paraId="7663C0E6" w14:textId="77777777" w:rsidR="007E4D8B" w:rsidRPr="00403E2E" w:rsidRDefault="007E4D8B" w:rsidP="00E25B74">
            <w:pPr>
              <w:jc w:val="center"/>
              <w:rPr>
                <w:rFonts w:ascii="Times New Roman" w:hAnsi="Times New Roman" w:cs="Times New Roman"/>
              </w:rPr>
            </w:pPr>
            <w:r w:rsidRPr="00403E2E">
              <w:rPr>
                <w:rFonts w:ascii="Times New Roman" w:hAnsi="Times New Roman" w:cs="Times New Roman"/>
              </w:rPr>
              <w:t>1.53</w:t>
            </w:r>
          </w:p>
        </w:tc>
        <w:tc>
          <w:tcPr>
            <w:tcW w:w="1596" w:type="dxa"/>
            <w:vAlign w:val="center"/>
          </w:tcPr>
          <w:p w14:paraId="6BEC3282" w14:textId="77777777" w:rsidR="007E4D8B" w:rsidRPr="00403E2E" w:rsidRDefault="007E4D8B" w:rsidP="00E25B74">
            <w:pPr>
              <w:jc w:val="center"/>
              <w:rPr>
                <w:rFonts w:ascii="Times New Roman" w:hAnsi="Times New Roman" w:cs="Times New Roman"/>
              </w:rPr>
            </w:pPr>
            <w:r w:rsidRPr="00403E2E">
              <w:rPr>
                <w:rFonts w:ascii="Times New Roman" w:hAnsi="Times New Roman" w:cs="Times New Roman"/>
              </w:rPr>
              <w:t>1.57</w:t>
            </w:r>
          </w:p>
        </w:tc>
        <w:tc>
          <w:tcPr>
            <w:tcW w:w="1596" w:type="dxa"/>
            <w:vAlign w:val="center"/>
          </w:tcPr>
          <w:p w14:paraId="5F5AA846" w14:textId="77777777" w:rsidR="007E4D8B" w:rsidRPr="00403E2E" w:rsidRDefault="007E4D8B" w:rsidP="00E25B74">
            <w:pPr>
              <w:jc w:val="center"/>
              <w:rPr>
                <w:rFonts w:ascii="Times New Roman" w:hAnsi="Times New Roman" w:cs="Times New Roman"/>
              </w:rPr>
            </w:pPr>
            <w:r w:rsidRPr="00403E2E">
              <w:rPr>
                <w:rFonts w:ascii="Times New Roman" w:hAnsi="Times New Roman" w:cs="Times New Roman"/>
              </w:rPr>
              <w:t>1.58</w:t>
            </w:r>
          </w:p>
        </w:tc>
      </w:tr>
      <w:tr w:rsidR="007E4D8B" w:rsidRPr="00D77A48" w14:paraId="7661F071" w14:textId="77777777" w:rsidTr="00552B60">
        <w:trPr>
          <w:jc w:val="center"/>
        </w:trPr>
        <w:tc>
          <w:tcPr>
            <w:tcW w:w="1596" w:type="dxa"/>
          </w:tcPr>
          <w:p w14:paraId="11AB3DF6" w14:textId="77777777" w:rsidR="007E4D8B" w:rsidRPr="00403E2E" w:rsidRDefault="007E4D8B" w:rsidP="00E25B74">
            <w:pPr>
              <w:rPr>
                <w:rFonts w:ascii="Times New Roman" w:hAnsi="Times New Roman" w:cs="Times New Roman"/>
              </w:rPr>
            </w:pPr>
            <w:r w:rsidRPr="00403E2E">
              <w:rPr>
                <w:rFonts w:ascii="Times New Roman" w:hAnsi="Times New Roman" w:cs="Times New Roman"/>
              </w:rPr>
              <w:t>No</w:t>
            </w:r>
          </w:p>
        </w:tc>
        <w:tc>
          <w:tcPr>
            <w:tcW w:w="1596" w:type="dxa"/>
            <w:vAlign w:val="center"/>
          </w:tcPr>
          <w:p w14:paraId="7174B857" w14:textId="77777777" w:rsidR="007E4D8B" w:rsidRPr="00403E2E" w:rsidRDefault="007E4D8B" w:rsidP="00E25B74">
            <w:pPr>
              <w:jc w:val="center"/>
              <w:rPr>
                <w:rFonts w:ascii="Times New Roman" w:hAnsi="Times New Roman" w:cs="Times New Roman"/>
              </w:rPr>
            </w:pPr>
            <w:r w:rsidRPr="00403E2E">
              <w:rPr>
                <w:rFonts w:ascii="Times New Roman" w:hAnsi="Times New Roman" w:cs="Times New Roman"/>
              </w:rPr>
              <w:t>15</w:t>
            </w:r>
          </w:p>
        </w:tc>
        <w:tc>
          <w:tcPr>
            <w:tcW w:w="1596" w:type="dxa"/>
            <w:vAlign w:val="center"/>
          </w:tcPr>
          <w:p w14:paraId="25D0E7BB" w14:textId="77777777" w:rsidR="007E4D8B" w:rsidRPr="00403E2E" w:rsidRDefault="007E4D8B" w:rsidP="00E25B74">
            <w:pPr>
              <w:jc w:val="center"/>
              <w:rPr>
                <w:rFonts w:ascii="Times New Roman" w:hAnsi="Times New Roman" w:cs="Times New Roman"/>
              </w:rPr>
            </w:pPr>
            <w:r w:rsidRPr="00403E2E">
              <w:rPr>
                <w:rFonts w:ascii="Times New Roman" w:hAnsi="Times New Roman" w:cs="Times New Roman"/>
              </w:rPr>
              <w:t>1.43</w:t>
            </w:r>
          </w:p>
        </w:tc>
        <w:tc>
          <w:tcPr>
            <w:tcW w:w="1596" w:type="dxa"/>
            <w:vAlign w:val="center"/>
          </w:tcPr>
          <w:p w14:paraId="5A56A9CE" w14:textId="77777777" w:rsidR="007E4D8B" w:rsidRPr="00403E2E" w:rsidRDefault="007E4D8B" w:rsidP="00E25B74">
            <w:pPr>
              <w:jc w:val="center"/>
              <w:rPr>
                <w:rFonts w:ascii="Times New Roman" w:hAnsi="Times New Roman" w:cs="Times New Roman"/>
              </w:rPr>
            </w:pPr>
            <w:r w:rsidRPr="00403E2E">
              <w:rPr>
                <w:rFonts w:ascii="Times New Roman" w:hAnsi="Times New Roman" w:cs="Times New Roman"/>
              </w:rPr>
              <w:t>1.59</w:t>
            </w:r>
          </w:p>
        </w:tc>
        <w:tc>
          <w:tcPr>
            <w:tcW w:w="1596" w:type="dxa"/>
            <w:vAlign w:val="center"/>
          </w:tcPr>
          <w:p w14:paraId="49BD1881" w14:textId="77777777" w:rsidR="007E4D8B" w:rsidRPr="00403E2E" w:rsidRDefault="007E4D8B" w:rsidP="00E25B74">
            <w:pPr>
              <w:jc w:val="center"/>
              <w:rPr>
                <w:rFonts w:ascii="Times New Roman" w:hAnsi="Times New Roman" w:cs="Times New Roman"/>
              </w:rPr>
            </w:pPr>
            <w:r w:rsidRPr="00403E2E">
              <w:rPr>
                <w:rFonts w:ascii="Times New Roman" w:hAnsi="Times New Roman" w:cs="Times New Roman"/>
              </w:rPr>
              <w:t>1.63</w:t>
            </w:r>
          </w:p>
        </w:tc>
      </w:tr>
    </w:tbl>
    <w:p w14:paraId="26520841" w14:textId="77777777" w:rsidR="007E4D8B" w:rsidRPr="00403E2E" w:rsidRDefault="007E4D8B" w:rsidP="00552B60">
      <w:pPr>
        <w:pStyle w:val="ListParagraph"/>
        <w:numPr>
          <w:ilvl w:val="0"/>
          <w:numId w:val="7"/>
        </w:numPr>
        <w:ind w:left="1440"/>
        <w:rPr>
          <w:rFonts w:ascii="Times New Roman" w:hAnsi="Times New Roman" w:cs="Times New Roman"/>
        </w:rPr>
      </w:pPr>
      <w:r w:rsidRPr="00403E2E">
        <w:rPr>
          <w:rFonts w:ascii="Times New Roman" w:hAnsi="Times New Roman" w:cs="Times New Roman"/>
        </w:rPr>
        <w:t>Small firm: $100,000 in real property value; $50,000 in machinery and equipment; $40,000 in inventories; $10,000 in fixtures</w:t>
      </w:r>
    </w:p>
    <w:p w14:paraId="341359FD" w14:textId="77777777" w:rsidR="007E4D8B" w:rsidRPr="00403E2E" w:rsidRDefault="007E4D8B" w:rsidP="00552B60">
      <w:pPr>
        <w:pStyle w:val="ListParagraph"/>
        <w:numPr>
          <w:ilvl w:val="0"/>
          <w:numId w:val="7"/>
        </w:numPr>
        <w:ind w:left="1440"/>
        <w:rPr>
          <w:rFonts w:ascii="Times New Roman" w:hAnsi="Times New Roman" w:cs="Times New Roman"/>
        </w:rPr>
      </w:pPr>
      <w:r w:rsidRPr="00403E2E">
        <w:rPr>
          <w:rFonts w:ascii="Times New Roman" w:hAnsi="Times New Roman" w:cs="Times New Roman"/>
        </w:rPr>
        <w:t>Medium firm: $1 million in real property value; $500,000 in machinery and equipment; $400,000 in inventory; $100,000 in fixtures</w:t>
      </w:r>
    </w:p>
    <w:p w14:paraId="65701779" w14:textId="77777777" w:rsidR="007E4D8B" w:rsidRPr="00403E2E" w:rsidRDefault="007E4D8B" w:rsidP="00552B60">
      <w:pPr>
        <w:pStyle w:val="ListParagraph"/>
        <w:numPr>
          <w:ilvl w:val="0"/>
          <w:numId w:val="7"/>
        </w:numPr>
        <w:spacing w:after="0"/>
        <w:ind w:left="1440"/>
        <w:rPr>
          <w:rFonts w:ascii="Times New Roman" w:hAnsi="Times New Roman" w:cs="Times New Roman"/>
        </w:rPr>
      </w:pPr>
      <w:r w:rsidRPr="00403E2E">
        <w:rPr>
          <w:rFonts w:ascii="Times New Roman" w:hAnsi="Times New Roman" w:cs="Times New Roman"/>
        </w:rPr>
        <w:t>Large firm: $25 million in real property value; $12.5 million in machinery and equipment; $10 million in inventory; $2.5 million in fixtures</w:t>
      </w:r>
    </w:p>
    <w:p w14:paraId="4C2C640E" w14:textId="77777777" w:rsidR="00403E2E" w:rsidRPr="00403E2E" w:rsidRDefault="00403E2E" w:rsidP="00403E2E">
      <w:pPr>
        <w:ind w:left="1080"/>
        <w:rPr>
          <w:rFonts w:ascii="Times New Roman" w:hAnsi="Times New Roman" w:cs="Times New Roman"/>
        </w:rPr>
      </w:pPr>
      <w:r w:rsidRPr="00403E2E">
        <w:rPr>
          <w:rFonts w:ascii="Times New Roman" w:hAnsi="Times New Roman" w:cs="Times New Roman"/>
        </w:rPr>
        <w:t xml:space="preserve">Source: Lincoln Institute/Minnesota Center for Fiscal Excellence </w:t>
      </w:r>
      <w:r w:rsidRPr="00403E2E">
        <w:rPr>
          <w:rFonts w:ascii="Times New Roman" w:hAnsi="Times New Roman" w:cs="Times New Roman"/>
        </w:rPr>
        <w:fldChar w:fldCharType="begin"/>
      </w:r>
      <w:r w:rsidRPr="00403E2E">
        <w:rPr>
          <w:rFonts w:ascii="Times New Roman" w:hAnsi="Times New Roman" w:cs="Times New Roman"/>
        </w:rPr>
        <w:instrText xml:space="preserve"> ADDIN EN.CITE &lt;EndNote&gt;&lt;Cite ExcludeAuth="1"&gt;&lt;Author&gt;LILP/MCFE&lt;/Author&gt;&lt;Year&gt;2015&lt;/Year&gt;&lt;RecNum&gt;28&lt;/RecNum&gt;&lt;DisplayText&gt;(2015)&lt;/DisplayText&gt;&lt;record&gt;&lt;rec-number&gt;28&lt;/rec-number&gt;&lt;foreign-keys&gt;&lt;key app="EN" db-id="efsrp25rfad5tverv0kv2ztwvdrzzzda2pwp" timestamp="1446588008"&gt;28&lt;/key&gt;&lt;/foreign-keys&gt;&lt;ref-type name="Book"&gt;6&lt;/ref-type&gt;&lt;contributors&gt;&lt;authors&gt;&lt;author&gt;LILP/MCFE,&lt;/author&gt;&lt;/authors&gt;&lt;/contributors&gt;&lt;titles&gt;&lt;title&gt;50-State Property Tax Comparison Study&lt;/title&gt;&lt;/titles&gt;&lt;dates&gt;&lt;year&gt;2015&lt;/year&gt;&lt;/dates&gt;&lt;pub-location&gt;Cambridge, MA; Saint Paul, MN&lt;/pub-location&gt;&lt;publisher&gt;Lincoln Institute of Land Policy and Minnesota Center for Fiscal Excellence &lt;/publisher&gt;&lt;urls&gt;&lt;/urls&gt;&lt;/record&gt;&lt;/Cite&gt;&lt;/EndNote&gt;</w:instrText>
      </w:r>
      <w:r w:rsidRPr="00403E2E">
        <w:rPr>
          <w:rFonts w:ascii="Times New Roman" w:hAnsi="Times New Roman" w:cs="Times New Roman"/>
        </w:rPr>
        <w:fldChar w:fldCharType="separate"/>
      </w:r>
      <w:r w:rsidRPr="00403E2E">
        <w:rPr>
          <w:rFonts w:ascii="Times New Roman" w:hAnsi="Times New Roman" w:cs="Times New Roman"/>
          <w:noProof/>
        </w:rPr>
        <w:t>(2015)</w:t>
      </w:r>
      <w:r w:rsidRPr="00403E2E">
        <w:rPr>
          <w:rFonts w:ascii="Times New Roman" w:hAnsi="Times New Roman" w:cs="Times New Roman"/>
        </w:rPr>
        <w:fldChar w:fldCharType="end"/>
      </w:r>
      <w:r w:rsidRPr="00403E2E">
        <w:rPr>
          <w:rFonts w:ascii="Times New Roman" w:hAnsi="Times New Roman" w:cs="Times New Roman"/>
        </w:rPr>
        <w:t xml:space="preserve">, Lincoln Institute/George Washington University </w:t>
      </w:r>
      <w:r w:rsidRPr="00403E2E">
        <w:rPr>
          <w:rFonts w:ascii="Times New Roman" w:hAnsi="Times New Roman" w:cs="Times New Roman"/>
        </w:rPr>
        <w:fldChar w:fldCharType="begin"/>
      </w:r>
      <w:r w:rsidRPr="00403E2E">
        <w:rPr>
          <w:rFonts w:ascii="Times New Roman" w:hAnsi="Times New Roman" w:cs="Times New Roman"/>
        </w:rPr>
        <w:instrText xml:space="preserve"> ADDIN EN.CITE &lt;EndNote&gt;&lt;Cite ExcludeAuth="1"&gt;&lt;Author&gt;LILP/GWU&lt;/Author&gt;&lt;Year&gt;2015&lt;/Year&gt;&lt;RecNum&gt;6&lt;/RecNum&gt;&lt;DisplayText&gt;(2015)&lt;/DisplayText&gt;&lt;record&gt;&lt;rec-number&gt;6&lt;/rec-number&gt;&lt;foreign-keys&gt;&lt;key app="EN" db-id="efsrp25rfad5tverv0kv2ztwvdrzzzda2pwp" timestamp="1446237814"&gt;6&lt;/key&gt;&lt;/foreign-keys&gt;&lt;ref-type name="Web Page"&gt;12&lt;/ref-type&gt;&lt;contributors&gt;&lt;authors&gt;&lt;author&gt;LILP/GWU,&lt;/author&gt;&lt;/authors&gt;&lt;/contributors&gt;&lt;titles&gt;&lt;title&gt;Significant Features of the Property Tax: State Summaries&lt;/title&gt;&lt;secondary-title&gt;Significant Features of the Property Tax&lt;/secondary-title&gt;&lt;/titles&gt;&lt;volume&gt;2015&lt;/volume&gt;&lt;number&gt;October, 2015&lt;/number&gt;&lt;dates&gt;&lt;year&gt;2015&lt;/year&gt;&lt;/dates&gt;&lt;pub-location&gt;Cambridge, MA&lt;/pub-location&gt;&lt;publisher&gt;Lincoln Institute of Land Policy and George Washington University Institute of Public Policy&lt;/publisher&gt;&lt;urls&gt;&lt;related-urls&gt;&lt;url&gt;http://www.lincolninst.edu/subcenters/significant-features-property-tax/Report_State_Summaries.aspx&lt;/url&gt;&lt;/related-urls&gt;&lt;/urls&gt;&lt;/record&gt;&lt;/Cite&gt;&lt;/EndNote&gt;</w:instrText>
      </w:r>
      <w:r w:rsidRPr="00403E2E">
        <w:rPr>
          <w:rFonts w:ascii="Times New Roman" w:hAnsi="Times New Roman" w:cs="Times New Roman"/>
        </w:rPr>
        <w:fldChar w:fldCharType="separate"/>
      </w:r>
      <w:r w:rsidRPr="00403E2E">
        <w:rPr>
          <w:rFonts w:ascii="Times New Roman" w:hAnsi="Times New Roman" w:cs="Times New Roman"/>
          <w:noProof/>
        </w:rPr>
        <w:t>(2015)</w:t>
      </w:r>
      <w:r w:rsidRPr="00403E2E">
        <w:rPr>
          <w:rFonts w:ascii="Times New Roman" w:hAnsi="Times New Roman" w:cs="Times New Roman"/>
        </w:rPr>
        <w:fldChar w:fldCharType="end"/>
      </w:r>
      <w:r w:rsidRPr="00403E2E">
        <w:rPr>
          <w:rFonts w:ascii="Times New Roman" w:hAnsi="Times New Roman" w:cs="Times New Roman"/>
        </w:rPr>
        <w:t xml:space="preserve"> and calculations by the author</w:t>
      </w:r>
    </w:p>
    <w:p w14:paraId="06FFF4C3" w14:textId="77777777" w:rsidR="00403E2E" w:rsidRDefault="00403E2E" w:rsidP="00B61C7F">
      <w:pPr>
        <w:pStyle w:val="Heading3"/>
        <w:rPr>
          <w:rFonts w:ascii="Times New Roman" w:hAnsi="Times New Roman" w:cs="Times New Roman"/>
        </w:rPr>
      </w:pPr>
    </w:p>
    <w:p w14:paraId="772AFE36" w14:textId="77777777" w:rsidR="00930405" w:rsidRPr="00403E2E" w:rsidRDefault="00930405" w:rsidP="00B61C7F">
      <w:pPr>
        <w:pStyle w:val="Heading3"/>
        <w:rPr>
          <w:rFonts w:ascii="Times New Roman" w:hAnsi="Times New Roman" w:cs="Times New Roman"/>
        </w:rPr>
      </w:pPr>
      <w:bookmarkStart w:id="13" w:name="_Toc434358308"/>
      <w:r w:rsidRPr="00403E2E">
        <w:rPr>
          <w:rFonts w:ascii="Times New Roman" w:hAnsi="Times New Roman" w:cs="Times New Roman"/>
        </w:rPr>
        <w:t>Comparisons within the state</w:t>
      </w:r>
      <w:bookmarkEnd w:id="13"/>
    </w:p>
    <w:p w14:paraId="47676709" w14:textId="366A6E99" w:rsidR="00930405" w:rsidRPr="00FB33D9" w:rsidRDefault="00930405" w:rsidP="00FB33D9">
      <w:pPr>
        <w:jc w:val="both"/>
        <w:rPr>
          <w:rFonts w:ascii="Times New Roman" w:hAnsi="Times New Roman" w:cs="Times New Roman"/>
        </w:rPr>
      </w:pPr>
      <w:r w:rsidRPr="00FB33D9">
        <w:rPr>
          <w:rFonts w:ascii="Times New Roman" w:hAnsi="Times New Roman" w:cs="Times New Roman"/>
        </w:rPr>
        <w:t xml:space="preserve">The </w:t>
      </w:r>
      <w:r w:rsidR="00403E2E" w:rsidRPr="00FB33D9">
        <w:rPr>
          <w:rFonts w:ascii="Times New Roman" w:hAnsi="Times New Roman" w:cs="Times New Roman"/>
        </w:rPr>
        <w:t xml:space="preserve">Lincoln Institute/Minnesota </w:t>
      </w:r>
      <w:r w:rsidRPr="00FB33D9">
        <w:rPr>
          <w:rFonts w:ascii="Times New Roman" w:hAnsi="Times New Roman" w:cs="Times New Roman"/>
        </w:rPr>
        <w:t>comparisons vary the size of the firm because some states apply different tax rates depending on the size of the firm. Such is not the case in Connecticut, and it is therefore possible to compare jurisdictions within the state based on</w:t>
      </w:r>
      <w:r w:rsidR="000D40C6" w:rsidRPr="00FB33D9">
        <w:rPr>
          <w:rFonts w:ascii="Times New Roman" w:hAnsi="Times New Roman" w:cs="Times New Roman"/>
        </w:rPr>
        <w:t xml:space="preserve"> a single firm configuration. T</w:t>
      </w:r>
      <w:r w:rsidRPr="00FB33D9">
        <w:rPr>
          <w:rFonts w:ascii="Times New Roman" w:hAnsi="Times New Roman" w:cs="Times New Roman"/>
        </w:rPr>
        <w:t xml:space="preserve">able </w:t>
      </w:r>
      <w:r w:rsidR="00403E2E" w:rsidRPr="00FB33D9">
        <w:rPr>
          <w:rFonts w:ascii="Times New Roman" w:hAnsi="Times New Roman" w:cs="Times New Roman"/>
        </w:rPr>
        <w:t>11</w:t>
      </w:r>
      <w:r w:rsidR="000D40C6" w:rsidRPr="00FB33D9">
        <w:rPr>
          <w:rFonts w:ascii="Times New Roman" w:hAnsi="Times New Roman" w:cs="Times New Roman"/>
        </w:rPr>
        <w:t xml:space="preserve"> </w:t>
      </w:r>
      <w:r w:rsidRPr="00FB33D9">
        <w:rPr>
          <w:rFonts w:ascii="Times New Roman" w:hAnsi="Times New Roman" w:cs="Times New Roman"/>
        </w:rPr>
        <w:t>summarizes such a comparison for a manufacturing firm configured as follows:</w:t>
      </w:r>
    </w:p>
    <w:p w14:paraId="64E8A334" w14:textId="77777777" w:rsidR="00930405" w:rsidRPr="00FB33D9" w:rsidRDefault="00930405" w:rsidP="00FB33D9">
      <w:pPr>
        <w:pStyle w:val="ListParagraph"/>
        <w:numPr>
          <w:ilvl w:val="0"/>
          <w:numId w:val="9"/>
        </w:numPr>
        <w:jc w:val="both"/>
        <w:rPr>
          <w:rFonts w:ascii="Times New Roman" w:hAnsi="Times New Roman" w:cs="Times New Roman"/>
        </w:rPr>
      </w:pPr>
      <w:r w:rsidRPr="00FB33D9">
        <w:rPr>
          <w:rFonts w:ascii="Times New Roman" w:hAnsi="Times New Roman" w:cs="Times New Roman"/>
        </w:rPr>
        <w:t>Real property with a current market value of $25 million</w:t>
      </w:r>
    </w:p>
    <w:p w14:paraId="4BC9E10D" w14:textId="77777777" w:rsidR="00930405" w:rsidRPr="00FB33D9" w:rsidRDefault="00930405" w:rsidP="00FB33D9">
      <w:pPr>
        <w:pStyle w:val="ListParagraph"/>
        <w:numPr>
          <w:ilvl w:val="0"/>
          <w:numId w:val="9"/>
        </w:numPr>
        <w:jc w:val="both"/>
        <w:rPr>
          <w:rFonts w:ascii="Times New Roman" w:hAnsi="Times New Roman" w:cs="Times New Roman"/>
        </w:rPr>
      </w:pPr>
      <w:r w:rsidRPr="00FB33D9">
        <w:rPr>
          <w:rFonts w:ascii="Times New Roman" w:hAnsi="Times New Roman" w:cs="Times New Roman"/>
        </w:rPr>
        <w:t xml:space="preserve">Machinery and equipment with a depreciated value of $12.5 million, two-thirds of which is exempt </w:t>
      </w:r>
    </w:p>
    <w:p w14:paraId="1ACB7D6D" w14:textId="77777777" w:rsidR="00930405" w:rsidRPr="00FB33D9" w:rsidRDefault="00930405" w:rsidP="00FB33D9">
      <w:pPr>
        <w:pStyle w:val="ListParagraph"/>
        <w:numPr>
          <w:ilvl w:val="0"/>
          <w:numId w:val="9"/>
        </w:numPr>
        <w:jc w:val="both"/>
        <w:rPr>
          <w:rFonts w:ascii="Times New Roman" w:hAnsi="Times New Roman" w:cs="Times New Roman"/>
        </w:rPr>
      </w:pPr>
      <w:r w:rsidRPr="00FB33D9">
        <w:rPr>
          <w:rFonts w:ascii="Times New Roman" w:hAnsi="Times New Roman" w:cs="Times New Roman"/>
        </w:rPr>
        <w:t xml:space="preserve">Other fixtures with a depreciated value of $2.5 million. </w:t>
      </w:r>
    </w:p>
    <w:p w14:paraId="0B977FF0" w14:textId="77777777" w:rsidR="00930405" w:rsidRPr="00FB33D9" w:rsidRDefault="00930405" w:rsidP="00FB33D9">
      <w:pPr>
        <w:pStyle w:val="ListParagraph"/>
        <w:numPr>
          <w:ilvl w:val="0"/>
          <w:numId w:val="9"/>
        </w:numPr>
        <w:jc w:val="both"/>
        <w:rPr>
          <w:rFonts w:ascii="Times New Roman" w:hAnsi="Times New Roman" w:cs="Times New Roman"/>
        </w:rPr>
      </w:pPr>
      <w:r w:rsidRPr="00FB33D9">
        <w:rPr>
          <w:rFonts w:ascii="Times New Roman" w:hAnsi="Times New Roman" w:cs="Times New Roman"/>
        </w:rPr>
        <w:t>Total estimated market value: $40 million</w:t>
      </w:r>
    </w:p>
    <w:p w14:paraId="4E13DCA6" w14:textId="77777777" w:rsidR="00930405" w:rsidRPr="00FB33D9" w:rsidRDefault="00930405" w:rsidP="00FB33D9">
      <w:pPr>
        <w:pStyle w:val="ListParagraph"/>
        <w:numPr>
          <w:ilvl w:val="0"/>
          <w:numId w:val="9"/>
        </w:numPr>
        <w:jc w:val="both"/>
        <w:rPr>
          <w:rFonts w:ascii="Times New Roman" w:hAnsi="Times New Roman" w:cs="Times New Roman"/>
        </w:rPr>
      </w:pPr>
      <w:r w:rsidRPr="00FB33D9">
        <w:rPr>
          <w:rFonts w:ascii="Times New Roman" w:hAnsi="Times New Roman" w:cs="Times New Roman"/>
        </w:rPr>
        <w:t>Total taxable value based on these assumptions: $22.17 million</w:t>
      </w:r>
    </w:p>
    <w:p w14:paraId="2D10437C" w14:textId="68B11C4A" w:rsidR="00930405" w:rsidRPr="00FB33D9" w:rsidRDefault="00552B60" w:rsidP="000D40C6">
      <w:pPr>
        <w:jc w:val="center"/>
        <w:rPr>
          <w:rFonts w:ascii="Times New Roman" w:hAnsi="Times New Roman" w:cs="Times New Roman"/>
          <w:b/>
        </w:rPr>
      </w:pPr>
      <w:r w:rsidRPr="00FB33D9">
        <w:rPr>
          <w:rFonts w:ascii="Times New Roman" w:hAnsi="Times New Roman" w:cs="Times New Roman"/>
          <w:b/>
        </w:rPr>
        <w:t>Table</w:t>
      </w:r>
      <w:r w:rsidR="00403E2E" w:rsidRPr="00FB33D9">
        <w:rPr>
          <w:rFonts w:ascii="Times New Roman" w:hAnsi="Times New Roman" w:cs="Times New Roman"/>
          <w:b/>
        </w:rPr>
        <w:t xml:space="preserve"> 11</w:t>
      </w:r>
      <w:r w:rsidR="00930405" w:rsidRPr="00FB33D9">
        <w:rPr>
          <w:rFonts w:ascii="Times New Roman" w:hAnsi="Times New Roman" w:cs="Times New Roman"/>
          <w:b/>
        </w:rPr>
        <w:t xml:space="preserve">: </w:t>
      </w:r>
      <w:r w:rsidR="00FB33D9">
        <w:rPr>
          <w:rFonts w:ascii="Times New Roman" w:hAnsi="Times New Roman" w:cs="Times New Roman"/>
          <w:b/>
        </w:rPr>
        <w:t>Distribution of e</w:t>
      </w:r>
      <w:r w:rsidR="00930405" w:rsidRPr="00FB33D9">
        <w:rPr>
          <w:rFonts w:ascii="Times New Roman" w:hAnsi="Times New Roman" w:cs="Times New Roman"/>
          <w:b/>
        </w:rPr>
        <w:t xml:space="preserve">stimated tax </w:t>
      </w:r>
      <w:r w:rsidR="00FB33D9">
        <w:rPr>
          <w:rFonts w:ascii="Times New Roman" w:hAnsi="Times New Roman" w:cs="Times New Roman"/>
          <w:b/>
        </w:rPr>
        <w:t xml:space="preserve">obligations </w:t>
      </w:r>
      <w:r w:rsidR="00930405" w:rsidRPr="00FB33D9">
        <w:rPr>
          <w:rFonts w:ascii="Times New Roman" w:hAnsi="Times New Roman" w:cs="Times New Roman"/>
          <w:b/>
        </w:rPr>
        <w:t>for a manufacturing plant in Connecticut</w:t>
      </w:r>
    </w:p>
    <w:tbl>
      <w:tblPr>
        <w:tblStyle w:val="TableGrid"/>
        <w:tblW w:w="0" w:type="auto"/>
        <w:jc w:val="center"/>
        <w:tblLook w:val="04A0" w:firstRow="1" w:lastRow="0" w:firstColumn="1" w:lastColumn="0" w:noHBand="0" w:noVBand="1"/>
      </w:tblPr>
      <w:tblGrid>
        <w:gridCol w:w="1109"/>
        <w:gridCol w:w="1273"/>
        <w:gridCol w:w="1277"/>
        <w:gridCol w:w="1239"/>
        <w:gridCol w:w="1235"/>
        <w:gridCol w:w="1272"/>
      </w:tblGrid>
      <w:tr w:rsidR="00930405" w:rsidRPr="009C4BB7" w14:paraId="01CD8021" w14:textId="77777777" w:rsidTr="000D40C6">
        <w:trPr>
          <w:jc w:val="center"/>
        </w:trPr>
        <w:tc>
          <w:tcPr>
            <w:tcW w:w="0" w:type="auto"/>
          </w:tcPr>
          <w:p w14:paraId="63F9B88C" w14:textId="77777777" w:rsidR="00930405" w:rsidRPr="009C4BB7" w:rsidRDefault="00930405" w:rsidP="000D40C6">
            <w:pPr>
              <w:jc w:val="center"/>
            </w:pPr>
          </w:p>
        </w:tc>
        <w:tc>
          <w:tcPr>
            <w:tcW w:w="0" w:type="auto"/>
          </w:tcPr>
          <w:p w14:paraId="7E29BE27" w14:textId="77777777" w:rsidR="00930405" w:rsidRPr="009C4BB7" w:rsidRDefault="00930405" w:rsidP="000D40C6">
            <w:pPr>
              <w:jc w:val="center"/>
              <w:rPr>
                <w:b/>
              </w:rPr>
            </w:pPr>
            <w:r w:rsidRPr="009C4BB7">
              <w:rPr>
                <w:b/>
              </w:rPr>
              <w:t>Lowest 20%</w:t>
            </w:r>
          </w:p>
        </w:tc>
        <w:tc>
          <w:tcPr>
            <w:tcW w:w="0" w:type="auto"/>
          </w:tcPr>
          <w:p w14:paraId="2270E292" w14:textId="77777777" w:rsidR="00930405" w:rsidRPr="009C4BB7" w:rsidRDefault="00930405" w:rsidP="000D40C6">
            <w:pPr>
              <w:jc w:val="center"/>
              <w:rPr>
                <w:b/>
              </w:rPr>
            </w:pPr>
            <w:r w:rsidRPr="009C4BB7">
              <w:rPr>
                <w:b/>
              </w:rPr>
              <w:t>2nd quintile</w:t>
            </w:r>
          </w:p>
        </w:tc>
        <w:tc>
          <w:tcPr>
            <w:tcW w:w="0" w:type="auto"/>
          </w:tcPr>
          <w:p w14:paraId="5FB0AD04" w14:textId="77777777" w:rsidR="00930405" w:rsidRPr="009C4BB7" w:rsidRDefault="00930405" w:rsidP="000D40C6">
            <w:pPr>
              <w:jc w:val="center"/>
              <w:rPr>
                <w:b/>
              </w:rPr>
            </w:pPr>
            <w:r w:rsidRPr="009C4BB7">
              <w:rPr>
                <w:b/>
              </w:rPr>
              <w:t>3rd quintile</w:t>
            </w:r>
          </w:p>
        </w:tc>
        <w:tc>
          <w:tcPr>
            <w:tcW w:w="0" w:type="auto"/>
          </w:tcPr>
          <w:p w14:paraId="17EA5237" w14:textId="77777777" w:rsidR="00930405" w:rsidRPr="009C4BB7" w:rsidRDefault="00930405" w:rsidP="000D40C6">
            <w:pPr>
              <w:jc w:val="center"/>
              <w:rPr>
                <w:b/>
              </w:rPr>
            </w:pPr>
            <w:r w:rsidRPr="009C4BB7">
              <w:rPr>
                <w:b/>
              </w:rPr>
              <w:t>4th quintile</w:t>
            </w:r>
          </w:p>
        </w:tc>
        <w:tc>
          <w:tcPr>
            <w:tcW w:w="0" w:type="auto"/>
          </w:tcPr>
          <w:p w14:paraId="1360C0B4" w14:textId="77777777" w:rsidR="00930405" w:rsidRPr="009C4BB7" w:rsidRDefault="00930405" w:rsidP="000D40C6">
            <w:pPr>
              <w:jc w:val="center"/>
              <w:rPr>
                <w:b/>
              </w:rPr>
            </w:pPr>
            <w:r w:rsidRPr="009C4BB7">
              <w:rPr>
                <w:b/>
              </w:rPr>
              <w:t>Top quintile</w:t>
            </w:r>
          </w:p>
        </w:tc>
      </w:tr>
      <w:tr w:rsidR="00930405" w:rsidRPr="009C4BB7" w14:paraId="2F017D23" w14:textId="77777777" w:rsidTr="000D40C6">
        <w:trPr>
          <w:jc w:val="center"/>
        </w:trPr>
        <w:tc>
          <w:tcPr>
            <w:tcW w:w="0" w:type="auto"/>
          </w:tcPr>
          <w:p w14:paraId="43B91115" w14:textId="77777777" w:rsidR="00930405" w:rsidRPr="009C4BB7" w:rsidRDefault="00930405" w:rsidP="000D40C6">
            <w:pPr>
              <w:jc w:val="center"/>
            </w:pPr>
            <w:r w:rsidRPr="009C4BB7">
              <w:t>Min</w:t>
            </w:r>
            <w:r>
              <w:t>imum</w:t>
            </w:r>
          </w:p>
        </w:tc>
        <w:tc>
          <w:tcPr>
            <w:tcW w:w="0" w:type="auto"/>
            <w:vAlign w:val="center"/>
          </w:tcPr>
          <w:p w14:paraId="2DD13B15" w14:textId="31A6E4BE" w:rsidR="00930405" w:rsidRPr="009C4BB7" w:rsidRDefault="00930405" w:rsidP="000D40C6">
            <w:pPr>
              <w:jc w:val="center"/>
            </w:pPr>
            <w:r w:rsidRPr="009C4BB7">
              <w:t>$299,600</w:t>
            </w:r>
          </w:p>
        </w:tc>
        <w:tc>
          <w:tcPr>
            <w:tcW w:w="0" w:type="auto"/>
            <w:vAlign w:val="center"/>
          </w:tcPr>
          <w:p w14:paraId="4ED4670D" w14:textId="69B9BDF4" w:rsidR="00930405" w:rsidRPr="009C4BB7" w:rsidRDefault="00930405" w:rsidP="000D40C6">
            <w:pPr>
              <w:jc w:val="center"/>
            </w:pPr>
            <w:r w:rsidRPr="009C4BB7">
              <w:t>$691,880</w:t>
            </w:r>
          </w:p>
        </w:tc>
        <w:tc>
          <w:tcPr>
            <w:tcW w:w="0" w:type="auto"/>
            <w:vAlign w:val="center"/>
          </w:tcPr>
          <w:p w14:paraId="45823012" w14:textId="7DDBA5EA" w:rsidR="00930405" w:rsidRPr="009C4BB7" w:rsidRDefault="00930405" w:rsidP="000D40C6">
            <w:pPr>
              <w:jc w:val="center"/>
            </w:pPr>
            <w:r w:rsidRPr="009C4BB7">
              <w:t>$770,000</w:t>
            </w:r>
          </w:p>
        </w:tc>
        <w:tc>
          <w:tcPr>
            <w:tcW w:w="0" w:type="auto"/>
            <w:vAlign w:val="center"/>
          </w:tcPr>
          <w:p w14:paraId="2E7AEDEB" w14:textId="313A3BAE" w:rsidR="00930405" w:rsidRPr="009C4BB7" w:rsidRDefault="00930405" w:rsidP="000D40C6">
            <w:pPr>
              <w:jc w:val="center"/>
            </w:pPr>
            <w:r w:rsidRPr="009C4BB7">
              <w:t>$854,000</w:t>
            </w:r>
          </w:p>
        </w:tc>
        <w:tc>
          <w:tcPr>
            <w:tcW w:w="0" w:type="auto"/>
            <w:vAlign w:val="center"/>
          </w:tcPr>
          <w:p w14:paraId="3D061FDF" w14:textId="6504DA4B" w:rsidR="00930405" w:rsidRPr="009C4BB7" w:rsidRDefault="00930405" w:rsidP="000D40C6">
            <w:pPr>
              <w:jc w:val="center"/>
            </w:pPr>
            <w:r w:rsidRPr="009C4BB7">
              <w:t>$968,520</w:t>
            </w:r>
          </w:p>
        </w:tc>
      </w:tr>
      <w:tr w:rsidR="00930405" w:rsidRPr="009C4BB7" w14:paraId="173B004A" w14:textId="77777777" w:rsidTr="000D40C6">
        <w:trPr>
          <w:jc w:val="center"/>
        </w:trPr>
        <w:tc>
          <w:tcPr>
            <w:tcW w:w="0" w:type="auto"/>
          </w:tcPr>
          <w:p w14:paraId="672A7A5C" w14:textId="77777777" w:rsidR="00930405" w:rsidRPr="009C4BB7" w:rsidRDefault="00930405" w:rsidP="000D40C6">
            <w:pPr>
              <w:jc w:val="center"/>
            </w:pPr>
            <w:r w:rsidRPr="009C4BB7">
              <w:t>Max</w:t>
            </w:r>
            <w:r>
              <w:t>imum</w:t>
            </w:r>
          </w:p>
        </w:tc>
        <w:tc>
          <w:tcPr>
            <w:tcW w:w="0" w:type="auto"/>
            <w:vAlign w:val="center"/>
          </w:tcPr>
          <w:p w14:paraId="63A502AC" w14:textId="168AAE29" w:rsidR="00930405" w:rsidRPr="009C4BB7" w:rsidRDefault="00930405" w:rsidP="000D40C6">
            <w:pPr>
              <w:jc w:val="center"/>
            </w:pPr>
            <w:r w:rsidRPr="009C4BB7">
              <w:t>$678,720</w:t>
            </w:r>
          </w:p>
        </w:tc>
        <w:tc>
          <w:tcPr>
            <w:tcW w:w="0" w:type="auto"/>
            <w:vAlign w:val="center"/>
          </w:tcPr>
          <w:p w14:paraId="4C6465DD" w14:textId="26840B5B" w:rsidR="00930405" w:rsidRPr="009C4BB7" w:rsidRDefault="00930405" w:rsidP="000D40C6">
            <w:pPr>
              <w:jc w:val="center"/>
            </w:pPr>
            <w:r w:rsidRPr="009C4BB7">
              <w:t>$769,160</w:t>
            </w:r>
          </w:p>
        </w:tc>
        <w:tc>
          <w:tcPr>
            <w:tcW w:w="0" w:type="auto"/>
            <w:vAlign w:val="center"/>
          </w:tcPr>
          <w:p w14:paraId="42A49FE8" w14:textId="4D58E263" w:rsidR="00930405" w:rsidRPr="009C4BB7" w:rsidRDefault="00930405" w:rsidP="000D40C6">
            <w:pPr>
              <w:jc w:val="center"/>
            </w:pPr>
            <w:r w:rsidRPr="009C4BB7">
              <w:t>$851,200</w:t>
            </w:r>
          </w:p>
        </w:tc>
        <w:tc>
          <w:tcPr>
            <w:tcW w:w="0" w:type="auto"/>
            <w:vAlign w:val="center"/>
          </w:tcPr>
          <w:p w14:paraId="40977234" w14:textId="07E334FF" w:rsidR="00930405" w:rsidRPr="009C4BB7" w:rsidRDefault="00930405" w:rsidP="000D40C6">
            <w:pPr>
              <w:jc w:val="center"/>
            </w:pPr>
            <w:r w:rsidRPr="009C4BB7">
              <w:t>$961,800</w:t>
            </w:r>
          </w:p>
        </w:tc>
        <w:tc>
          <w:tcPr>
            <w:tcW w:w="0" w:type="auto"/>
            <w:vAlign w:val="center"/>
          </w:tcPr>
          <w:p w14:paraId="0D051673" w14:textId="438A5D6F" w:rsidR="00930405" w:rsidRPr="009C4BB7" w:rsidRDefault="00930405" w:rsidP="000D40C6">
            <w:pPr>
              <w:jc w:val="center"/>
            </w:pPr>
            <w:r w:rsidRPr="009C4BB7">
              <w:t>$2,080,120</w:t>
            </w:r>
          </w:p>
        </w:tc>
      </w:tr>
      <w:tr w:rsidR="00930405" w:rsidRPr="00D77A48" w14:paraId="740A4534" w14:textId="77777777" w:rsidTr="000D40C6">
        <w:trPr>
          <w:jc w:val="center"/>
        </w:trPr>
        <w:tc>
          <w:tcPr>
            <w:tcW w:w="0" w:type="auto"/>
          </w:tcPr>
          <w:p w14:paraId="4D86C770" w14:textId="77777777" w:rsidR="00930405" w:rsidRPr="009C4BB7" w:rsidRDefault="00930405" w:rsidP="000D40C6">
            <w:pPr>
              <w:jc w:val="center"/>
            </w:pPr>
            <w:r w:rsidRPr="009C4BB7">
              <w:t>Average</w:t>
            </w:r>
          </w:p>
        </w:tc>
        <w:tc>
          <w:tcPr>
            <w:tcW w:w="0" w:type="auto"/>
            <w:vAlign w:val="center"/>
          </w:tcPr>
          <w:p w14:paraId="469DE223" w14:textId="68041C57" w:rsidR="00930405" w:rsidRPr="009C4BB7" w:rsidRDefault="00930405" w:rsidP="000D40C6">
            <w:pPr>
              <w:jc w:val="center"/>
            </w:pPr>
            <w:r w:rsidRPr="009C4BB7">
              <w:t>$530,181</w:t>
            </w:r>
          </w:p>
        </w:tc>
        <w:tc>
          <w:tcPr>
            <w:tcW w:w="0" w:type="auto"/>
            <w:vAlign w:val="center"/>
          </w:tcPr>
          <w:p w14:paraId="31F93960" w14:textId="654B00FF" w:rsidR="00930405" w:rsidRPr="009C4BB7" w:rsidRDefault="00930405" w:rsidP="000D40C6">
            <w:pPr>
              <w:jc w:val="center"/>
            </w:pPr>
            <w:r w:rsidRPr="009C4BB7">
              <w:t>$731,530</w:t>
            </w:r>
          </w:p>
        </w:tc>
        <w:tc>
          <w:tcPr>
            <w:tcW w:w="0" w:type="auto"/>
            <w:vAlign w:val="center"/>
          </w:tcPr>
          <w:p w14:paraId="411AD77D" w14:textId="78C96BA0" w:rsidR="00930405" w:rsidRPr="009C4BB7" w:rsidRDefault="00930405" w:rsidP="000D40C6">
            <w:pPr>
              <w:jc w:val="center"/>
            </w:pPr>
            <w:r w:rsidRPr="009C4BB7">
              <w:t>$811,936</w:t>
            </w:r>
          </w:p>
        </w:tc>
        <w:tc>
          <w:tcPr>
            <w:tcW w:w="0" w:type="auto"/>
            <w:vAlign w:val="center"/>
          </w:tcPr>
          <w:p w14:paraId="3DC9B86B" w14:textId="5191F6D0" w:rsidR="00930405" w:rsidRPr="009C4BB7" w:rsidRDefault="00930405" w:rsidP="000D40C6">
            <w:pPr>
              <w:jc w:val="center"/>
            </w:pPr>
            <w:r w:rsidRPr="009C4BB7">
              <w:t>$897,291</w:t>
            </w:r>
          </w:p>
        </w:tc>
        <w:tc>
          <w:tcPr>
            <w:tcW w:w="0" w:type="auto"/>
            <w:vAlign w:val="center"/>
          </w:tcPr>
          <w:p w14:paraId="7EB4AAD2" w14:textId="67B6771B" w:rsidR="00930405" w:rsidRPr="00D77A48" w:rsidRDefault="00930405" w:rsidP="000D40C6">
            <w:pPr>
              <w:jc w:val="center"/>
            </w:pPr>
            <w:r w:rsidRPr="009C4BB7">
              <w:t>$1,117,436</w:t>
            </w:r>
          </w:p>
        </w:tc>
      </w:tr>
    </w:tbl>
    <w:p w14:paraId="6D973359" w14:textId="029F422C" w:rsidR="00FB33D9" w:rsidRDefault="00930405" w:rsidP="00FB33D9">
      <w:pPr>
        <w:pStyle w:val="NoSpacing"/>
        <w:jc w:val="center"/>
      </w:pPr>
      <w:r>
        <w:t>Source: Calculations by the author using 2014 mill rates</w:t>
      </w:r>
    </w:p>
    <w:p w14:paraId="490DD31A" w14:textId="59B7A6E0" w:rsidR="00930405" w:rsidRPr="00D77A48" w:rsidRDefault="00930405" w:rsidP="00FB33D9">
      <w:pPr>
        <w:jc w:val="center"/>
      </w:pPr>
      <w:r>
        <w:t>(See text for assumed plant configuration and values)</w:t>
      </w:r>
    </w:p>
    <w:p w14:paraId="326865FC" w14:textId="629B6CFD" w:rsidR="00930405" w:rsidRPr="00FB33D9" w:rsidRDefault="00930405" w:rsidP="00FB33D9">
      <w:pPr>
        <w:jc w:val="both"/>
        <w:rPr>
          <w:rFonts w:ascii="Times New Roman" w:hAnsi="Times New Roman" w:cs="Times New Roman"/>
        </w:rPr>
      </w:pPr>
      <w:r w:rsidRPr="00FB33D9">
        <w:rPr>
          <w:rFonts w:ascii="Times New Roman" w:hAnsi="Times New Roman" w:cs="Times New Roman"/>
        </w:rPr>
        <w:t>The table compares the 169 local governments using only their 2014 base mill rate. No at</w:t>
      </w:r>
      <w:r w:rsidR="000D40C6" w:rsidRPr="00FB33D9">
        <w:rPr>
          <w:rFonts w:ascii="Times New Roman" w:hAnsi="Times New Roman" w:cs="Times New Roman"/>
        </w:rPr>
        <w:t>tempt is made to incorporate</w:t>
      </w:r>
      <w:r w:rsidRPr="00FB33D9">
        <w:rPr>
          <w:rFonts w:ascii="Times New Roman" w:hAnsi="Times New Roman" w:cs="Times New Roman"/>
        </w:rPr>
        <w:t xml:space="preserve"> variations for special districts, etc. If such adjustments were made, the resulting estimated tax would fall within the ranges shown in the table.</w:t>
      </w:r>
      <w:r w:rsidRPr="00FB33D9">
        <w:rPr>
          <w:rStyle w:val="FootnoteReference"/>
          <w:rFonts w:ascii="Times New Roman" w:hAnsi="Times New Roman" w:cs="Times New Roman"/>
        </w:rPr>
        <w:footnoteReference w:id="8"/>
      </w:r>
      <w:r w:rsidRPr="00FB33D9">
        <w:rPr>
          <w:rFonts w:ascii="Times New Roman" w:hAnsi="Times New Roman" w:cs="Times New Roman"/>
        </w:rPr>
        <w:t xml:space="preserve"> The cities are divided into five equally sized groups (quintiles) based on the resulting estimated tax. The minimum, maximum and average tax within each quintile is reported in the table.  </w:t>
      </w:r>
    </w:p>
    <w:p w14:paraId="6A1D50B5" w14:textId="2BDDEDFF" w:rsidR="00930405" w:rsidRPr="00FB33D9" w:rsidRDefault="00930405" w:rsidP="00FB33D9">
      <w:pPr>
        <w:jc w:val="both"/>
        <w:rPr>
          <w:rFonts w:ascii="Times New Roman" w:hAnsi="Times New Roman" w:cs="Times New Roman"/>
        </w:rPr>
      </w:pPr>
      <w:r w:rsidRPr="00FB33D9">
        <w:rPr>
          <w:rFonts w:ascii="Times New Roman" w:hAnsi="Times New Roman" w:cs="Times New Roman"/>
        </w:rPr>
        <w:t>What the table suggests is that Connecticut cities would tax such a plant at rates similar to other jurisdictions around the country. The overall median in Connecticut ($811,536) would be slightly higher than the national average shown f</w:t>
      </w:r>
      <w:r w:rsidR="00FB33D9" w:rsidRPr="00FB33D9">
        <w:rPr>
          <w:rFonts w:ascii="Times New Roman" w:hAnsi="Times New Roman" w:cs="Times New Roman"/>
        </w:rPr>
        <w:t>or urban areas in the Table 8</w:t>
      </w:r>
      <w:r w:rsidRPr="00FB33D9">
        <w:rPr>
          <w:rFonts w:ascii="Times New Roman" w:hAnsi="Times New Roman" w:cs="Times New Roman"/>
        </w:rPr>
        <w:t>, and most Connecticut cities would be within about 12% of that tax level. Hartford had by far the highest estimated tax in this exercise. Five other cities had estimated tax levels at about the same level as New York City</w:t>
      </w:r>
      <w:r w:rsidR="00FB33D9" w:rsidRPr="00FB33D9">
        <w:rPr>
          <w:rFonts w:ascii="Times New Roman" w:hAnsi="Times New Roman" w:cs="Times New Roman"/>
        </w:rPr>
        <w:t xml:space="preserve"> shown in Table 8</w:t>
      </w:r>
      <w:r w:rsidRPr="00FB33D9">
        <w:rPr>
          <w:rFonts w:ascii="Times New Roman" w:hAnsi="Times New Roman" w:cs="Times New Roman"/>
        </w:rPr>
        <w:t xml:space="preserve">.  </w:t>
      </w:r>
    </w:p>
    <w:p w14:paraId="6181D568" w14:textId="5558D139" w:rsidR="004E61B5" w:rsidRPr="00FB33D9" w:rsidRDefault="006E6F9C" w:rsidP="00FB33D9">
      <w:pPr>
        <w:pStyle w:val="Heading3"/>
        <w:jc w:val="both"/>
        <w:rPr>
          <w:rFonts w:ascii="Times New Roman" w:hAnsi="Times New Roman" w:cs="Times New Roman"/>
        </w:rPr>
      </w:pPr>
      <w:bookmarkStart w:id="14" w:name="_Toc434358309"/>
      <w:r w:rsidRPr="00FB33D9">
        <w:rPr>
          <w:rFonts w:ascii="Times New Roman" w:hAnsi="Times New Roman" w:cs="Times New Roman"/>
        </w:rPr>
        <w:t>Summary observations on the relative burden of the personal property tax on Connecticut businesses</w:t>
      </w:r>
      <w:bookmarkEnd w:id="14"/>
    </w:p>
    <w:p w14:paraId="4B5F513F" w14:textId="7FF1F285" w:rsidR="006E6F9C" w:rsidRPr="006E6F9C" w:rsidRDefault="006E6F9C" w:rsidP="00E81C7C">
      <w:r w:rsidRPr="006E6F9C">
        <w:t>In considering the relative burden of the personal property tax on Connecticut businesses, the following points should be kept in mind.</w:t>
      </w:r>
    </w:p>
    <w:p w14:paraId="5704DEEA" w14:textId="7BCF9E3E" w:rsidR="00FB4DF4" w:rsidRPr="00FB33D9" w:rsidRDefault="00FB4DF4" w:rsidP="00FB33D9">
      <w:pPr>
        <w:pStyle w:val="ListParagraph"/>
        <w:numPr>
          <w:ilvl w:val="0"/>
          <w:numId w:val="1"/>
        </w:numPr>
        <w:jc w:val="both"/>
        <w:rPr>
          <w:rFonts w:ascii="Times New Roman" w:hAnsi="Times New Roman" w:cs="Times New Roman"/>
        </w:rPr>
      </w:pPr>
      <w:r w:rsidRPr="00FB33D9">
        <w:rPr>
          <w:rFonts w:ascii="Times New Roman" w:hAnsi="Times New Roman" w:cs="Times New Roman"/>
        </w:rPr>
        <w:t>The median tax obligation on business personal property at least a</w:t>
      </w:r>
      <w:r w:rsidR="007542EF" w:rsidRPr="00FB33D9">
        <w:rPr>
          <w:rFonts w:ascii="Times New Roman" w:hAnsi="Times New Roman" w:cs="Times New Roman"/>
        </w:rPr>
        <w:t>mong the cities sampled was $252</w:t>
      </w:r>
      <w:r w:rsidR="006E6F9C" w:rsidRPr="00FB33D9">
        <w:rPr>
          <w:rFonts w:ascii="Times New Roman" w:hAnsi="Times New Roman" w:cs="Times New Roman"/>
        </w:rPr>
        <w:t xml:space="preserve"> at</w:t>
      </w:r>
      <w:r w:rsidRPr="00FB33D9">
        <w:rPr>
          <w:rFonts w:ascii="Times New Roman" w:hAnsi="Times New Roman" w:cs="Times New Roman"/>
        </w:rPr>
        <w:t xml:space="preserve"> 2014</w:t>
      </w:r>
      <w:r w:rsidR="006E6F9C" w:rsidRPr="00FB33D9">
        <w:rPr>
          <w:rFonts w:ascii="Times New Roman" w:hAnsi="Times New Roman" w:cs="Times New Roman"/>
        </w:rPr>
        <w:t xml:space="preserve"> tax rates for firms with less than $1 million in taxable personal property</w:t>
      </w:r>
      <w:r w:rsidRPr="00FB33D9">
        <w:rPr>
          <w:rFonts w:ascii="Times New Roman" w:hAnsi="Times New Roman" w:cs="Times New Roman"/>
        </w:rPr>
        <w:t xml:space="preserve">. </w:t>
      </w:r>
    </w:p>
    <w:p w14:paraId="70E8A779" w14:textId="596D539F" w:rsidR="00FB4DF4" w:rsidRPr="00FB33D9" w:rsidRDefault="00FB4DF4" w:rsidP="00FB33D9">
      <w:pPr>
        <w:pStyle w:val="ListParagraph"/>
        <w:numPr>
          <w:ilvl w:val="0"/>
          <w:numId w:val="1"/>
        </w:numPr>
        <w:jc w:val="both"/>
        <w:rPr>
          <w:rFonts w:ascii="Times New Roman" w:hAnsi="Times New Roman" w:cs="Times New Roman"/>
        </w:rPr>
      </w:pPr>
      <w:r w:rsidRPr="00FB33D9">
        <w:rPr>
          <w:rFonts w:ascii="Times New Roman" w:hAnsi="Times New Roman" w:cs="Times New Roman"/>
        </w:rPr>
        <w:t>T</w:t>
      </w:r>
      <w:r w:rsidR="008E39C5" w:rsidRPr="00FB33D9">
        <w:rPr>
          <w:rFonts w:ascii="Times New Roman" w:hAnsi="Times New Roman" w:cs="Times New Roman"/>
        </w:rPr>
        <w:t>he t</w:t>
      </w:r>
      <w:r w:rsidRPr="00FB33D9">
        <w:rPr>
          <w:rFonts w:ascii="Times New Roman" w:hAnsi="Times New Roman" w:cs="Times New Roman"/>
        </w:rPr>
        <w:t xml:space="preserve">otal </w:t>
      </w:r>
      <w:r w:rsidR="008E39C5" w:rsidRPr="00FB33D9">
        <w:rPr>
          <w:rFonts w:ascii="Times New Roman" w:hAnsi="Times New Roman" w:cs="Times New Roman"/>
        </w:rPr>
        <w:t xml:space="preserve">value of </w:t>
      </w:r>
      <w:r w:rsidRPr="00FB33D9">
        <w:rPr>
          <w:rFonts w:ascii="Times New Roman" w:hAnsi="Times New Roman" w:cs="Times New Roman"/>
        </w:rPr>
        <w:t>tax</w:t>
      </w:r>
      <w:r w:rsidR="008E39C5" w:rsidRPr="00FB33D9">
        <w:rPr>
          <w:rFonts w:ascii="Times New Roman" w:hAnsi="Times New Roman" w:cs="Times New Roman"/>
        </w:rPr>
        <w:t>able personal property</w:t>
      </w:r>
      <w:r w:rsidRPr="00FB33D9">
        <w:rPr>
          <w:rFonts w:ascii="Times New Roman" w:hAnsi="Times New Roman" w:cs="Times New Roman"/>
        </w:rPr>
        <w:t xml:space="preserve"> </w:t>
      </w:r>
      <w:r w:rsidR="007542EF" w:rsidRPr="00FB33D9">
        <w:rPr>
          <w:rFonts w:ascii="Times New Roman" w:hAnsi="Times New Roman" w:cs="Times New Roman"/>
        </w:rPr>
        <w:t xml:space="preserve">from the bottom </w:t>
      </w:r>
      <w:r w:rsidR="00D56805" w:rsidRPr="00FB33D9">
        <w:rPr>
          <w:rFonts w:ascii="Times New Roman" w:hAnsi="Times New Roman" w:cs="Times New Roman"/>
        </w:rPr>
        <w:t>93</w:t>
      </w:r>
      <w:r w:rsidR="007542EF" w:rsidRPr="00FB33D9">
        <w:rPr>
          <w:rFonts w:ascii="Times New Roman" w:hAnsi="Times New Roman" w:cs="Times New Roman"/>
        </w:rPr>
        <w:t>% of personal property</w:t>
      </w:r>
      <w:r w:rsidR="00D56805" w:rsidRPr="00FB33D9">
        <w:rPr>
          <w:rFonts w:ascii="Times New Roman" w:hAnsi="Times New Roman" w:cs="Times New Roman"/>
        </w:rPr>
        <w:t xml:space="preserve"> taxpayers was 11</w:t>
      </w:r>
      <w:r w:rsidR="00FB33D9" w:rsidRPr="00FB33D9">
        <w:rPr>
          <w:rFonts w:ascii="Times New Roman" w:hAnsi="Times New Roman" w:cs="Times New Roman"/>
        </w:rPr>
        <w:t>.5</w:t>
      </w:r>
      <w:r w:rsidRPr="00FB33D9">
        <w:rPr>
          <w:rFonts w:ascii="Times New Roman" w:hAnsi="Times New Roman" w:cs="Times New Roman"/>
        </w:rPr>
        <w:t xml:space="preserve">% of total </w:t>
      </w:r>
      <w:r w:rsidR="008E39C5" w:rsidRPr="00FB33D9">
        <w:rPr>
          <w:rFonts w:ascii="Times New Roman" w:hAnsi="Times New Roman" w:cs="Times New Roman"/>
        </w:rPr>
        <w:t xml:space="preserve">taxable </w:t>
      </w:r>
      <w:r w:rsidR="007542EF" w:rsidRPr="00FB33D9">
        <w:rPr>
          <w:rFonts w:ascii="Times New Roman" w:hAnsi="Times New Roman" w:cs="Times New Roman"/>
        </w:rPr>
        <w:t>personal property</w:t>
      </w:r>
      <w:r w:rsidRPr="00FB33D9">
        <w:rPr>
          <w:rFonts w:ascii="Times New Roman" w:hAnsi="Times New Roman" w:cs="Times New Roman"/>
        </w:rPr>
        <w:t xml:space="preserve">. </w:t>
      </w:r>
    </w:p>
    <w:p w14:paraId="286DBF73" w14:textId="685C022F" w:rsidR="00FB4DF4" w:rsidRPr="00FB33D9" w:rsidRDefault="00FB4DF4" w:rsidP="00FB33D9">
      <w:pPr>
        <w:pStyle w:val="ListParagraph"/>
        <w:numPr>
          <w:ilvl w:val="0"/>
          <w:numId w:val="1"/>
        </w:numPr>
        <w:jc w:val="both"/>
        <w:rPr>
          <w:rFonts w:ascii="Times New Roman" w:hAnsi="Times New Roman" w:cs="Times New Roman"/>
        </w:rPr>
      </w:pPr>
      <w:r w:rsidRPr="00FB33D9">
        <w:rPr>
          <w:rFonts w:ascii="Times New Roman" w:hAnsi="Times New Roman" w:cs="Times New Roman"/>
        </w:rPr>
        <w:t xml:space="preserve">The average personal property tax bill for those </w:t>
      </w:r>
      <w:r w:rsidR="00CE15AC" w:rsidRPr="00FB33D9">
        <w:rPr>
          <w:rFonts w:ascii="Times New Roman" w:hAnsi="Times New Roman" w:cs="Times New Roman"/>
        </w:rPr>
        <w:t xml:space="preserve">firms </w:t>
      </w:r>
      <w:r w:rsidRPr="00FB33D9">
        <w:rPr>
          <w:rFonts w:ascii="Times New Roman" w:hAnsi="Times New Roman" w:cs="Times New Roman"/>
        </w:rPr>
        <w:t xml:space="preserve">below the median </w:t>
      </w:r>
      <w:r w:rsidR="00D56805" w:rsidRPr="00FB33D9">
        <w:rPr>
          <w:rFonts w:ascii="Times New Roman" w:hAnsi="Times New Roman" w:cs="Times New Roman"/>
        </w:rPr>
        <w:t xml:space="preserve">tax </w:t>
      </w:r>
      <w:r w:rsidRPr="00FB33D9">
        <w:rPr>
          <w:rFonts w:ascii="Times New Roman" w:hAnsi="Times New Roman" w:cs="Times New Roman"/>
        </w:rPr>
        <w:t>was about $50.</w:t>
      </w:r>
    </w:p>
    <w:p w14:paraId="2EC33513" w14:textId="54290BCA" w:rsidR="00AE2F77" w:rsidRPr="00FB33D9" w:rsidRDefault="00D56805" w:rsidP="00FB33D9">
      <w:pPr>
        <w:pStyle w:val="ListParagraph"/>
        <w:numPr>
          <w:ilvl w:val="0"/>
          <w:numId w:val="1"/>
        </w:numPr>
        <w:jc w:val="both"/>
        <w:rPr>
          <w:rFonts w:ascii="Times New Roman" w:hAnsi="Times New Roman" w:cs="Times New Roman"/>
        </w:rPr>
      </w:pPr>
      <w:r w:rsidRPr="00FB33D9">
        <w:rPr>
          <w:rFonts w:ascii="Times New Roman" w:hAnsi="Times New Roman" w:cs="Times New Roman"/>
        </w:rPr>
        <w:t>Th</w:t>
      </w:r>
      <w:r w:rsidR="00FB4DF4" w:rsidRPr="00FB33D9">
        <w:rPr>
          <w:rFonts w:ascii="Times New Roman" w:hAnsi="Times New Roman" w:cs="Times New Roman"/>
        </w:rPr>
        <w:t xml:space="preserve">e </w:t>
      </w:r>
      <w:r w:rsidR="00FB33D9" w:rsidRPr="00FB33D9">
        <w:rPr>
          <w:rFonts w:ascii="Times New Roman" w:hAnsi="Times New Roman" w:cs="Times New Roman"/>
        </w:rPr>
        <w:t>7.3</w:t>
      </w:r>
      <w:r w:rsidRPr="00FB33D9">
        <w:rPr>
          <w:rFonts w:ascii="Times New Roman" w:hAnsi="Times New Roman" w:cs="Times New Roman"/>
        </w:rPr>
        <w:t>% of business accounts</w:t>
      </w:r>
      <w:r w:rsidR="00FB4DF4" w:rsidRPr="00FB33D9">
        <w:rPr>
          <w:rFonts w:ascii="Times New Roman" w:hAnsi="Times New Roman" w:cs="Times New Roman"/>
        </w:rPr>
        <w:t xml:space="preserve"> with </w:t>
      </w:r>
      <w:r w:rsidRPr="00FB33D9">
        <w:rPr>
          <w:rFonts w:ascii="Times New Roman" w:hAnsi="Times New Roman" w:cs="Times New Roman"/>
        </w:rPr>
        <w:t>personal property valued at $200,000 or</w:t>
      </w:r>
      <w:r w:rsidR="00FB4DF4" w:rsidRPr="00FB33D9">
        <w:rPr>
          <w:rFonts w:ascii="Times New Roman" w:hAnsi="Times New Roman" w:cs="Times New Roman"/>
        </w:rPr>
        <w:t xml:space="preserve"> more represented </w:t>
      </w:r>
      <w:r w:rsidR="00FB33D9" w:rsidRPr="00FB33D9">
        <w:rPr>
          <w:rFonts w:ascii="Times New Roman" w:hAnsi="Times New Roman" w:cs="Times New Roman"/>
        </w:rPr>
        <w:t>88.5</w:t>
      </w:r>
      <w:r w:rsidRPr="00FB33D9">
        <w:rPr>
          <w:rFonts w:ascii="Times New Roman" w:hAnsi="Times New Roman" w:cs="Times New Roman"/>
        </w:rPr>
        <w:t>% of all personal property</w:t>
      </w:r>
      <w:r w:rsidR="00FB4DF4" w:rsidRPr="00FB33D9">
        <w:rPr>
          <w:rFonts w:ascii="Times New Roman" w:hAnsi="Times New Roman" w:cs="Times New Roman"/>
        </w:rPr>
        <w:t xml:space="preserve"> tax</w:t>
      </w:r>
      <w:r w:rsidRPr="00FB33D9">
        <w:rPr>
          <w:rFonts w:ascii="Times New Roman" w:hAnsi="Times New Roman" w:cs="Times New Roman"/>
        </w:rPr>
        <w:t xml:space="preserve"> obligations</w:t>
      </w:r>
      <w:r w:rsidR="00FB4DF4" w:rsidRPr="00FB33D9">
        <w:rPr>
          <w:rFonts w:ascii="Times New Roman" w:hAnsi="Times New Roman" w:cs="Times New Roman"/>
        </w:rPr>
        <w:t>.</w:t>
      </w:r>
      <w:r w:rsidR="00AE2F77" w:rsidRPr="00FB33D9">
        <w:rPr>
          <w:rFonts w:ascii="Times New Roman" w:hAnsi="Times New Roman" w:cs="Times New Roman"/>
        </w:rPr>
        <w:t xml:space="preserve"> And many of these separate accounts appear to be </w:t>
      </w:r>
      <w:r w:rsidR="00AE2F77" w:rsidRPr="00FB33D9">
        <w:rPr>
          <w:rFonts w:ascii="Times New Roman" w:hAnsi="Times New Roman" w:cs="Times New Roman"/>
        </w:rPr>
        <w:lastRenderedPageBreak/>
        <w:t>essentially the same taxpayer (e.g., Connecticut Light and Power has multiple accounts even within the same jurisdiction)</w:t>
      </w:r>
    </w:p>
    <w:p w14:paraId="11D7F04C" w14:textId="12433764" w:rsidR="00FB4DF4" w:rsidRPr="00FB33D9" w:rsidRDefault="00D56805" w:rsidP="00FB33D9">
      <w:pPr>
        <w:pStyle w:val="ListParagraph"/>
        <w:numPr>
          <w:ilvl w:val="0"/>
          <w:numId w:val="1"/>
        </w:numPr>
        <w:jc w:val="both"/>
        <w:rPr>
          <w:rFonts w:ascii="Times New Roman" w:hAnsi="Times New Roman" w:cs="Times New Roman"/>
        </w:rPr>
      </w:pPr>
      <w:r w:rsidRPr="00FB33D9">
        <w:rPr>
          <w:rFonts w:ascii="Times New Roman" w:hAnsi="Times New Roman" w:cs="Times New Roman"/>
        </w:rPr>
        <w:t>F</w:t>
      </w:r>
      <w:r w:rsidR="00FB4DF4" w:rsidRPr="00FB33D9">
        <w:rPr>
          <w:rFonts w:ascii="Times New Roman" w:hAnsi="Times New Roman" w:cs="Times New Roman"/>
        </w:rPr>
        <w:t xml:space="preserve">or the </w:t>
      </w:r>
      <w:r w:rsidR="008E39C5" w:rsidRPr="00FB33D9">
        <w:rPr>
          <w:rFonts w:ascii="Times New Roman" w:hAnsi="Times New Roman" w:cs="Times New Roman"/>
        </w:rPr>
        <w:t>large majority of Connecticut</w:t>
      </w:r>
      <w:r w:rsidR="00FB4DF4" w:rsidRPr="00FB33D9">
        <w:rPr>
          <w:rFonts w:ascii="Times New Roman" w:hAnsi="Times New Roman" w:cs="Times New Roman"/>
        </w:rPr>
        <w:t xml:space="preserve"> businesses, the property tax </w:t>
      </w:r>
      <w:r w:rsidRPr="00FB33D9">
        <w:rPr>
          <w:rFonts w:ascii="Times New Roman" w:hAnsi="Times New Roman" w:cs="Times New Roman"/>
        </w:rPr>
        <w:t>on business personal property appears to be</w:t>
      </w:r>
      <w:r w:rsidR="00FB4DF4" w:rsidRPr="00FB33D9">
        <w:rPr>
          <w:rFonts w:ascii="Times New Roman" w:hAnsi="Times New Roman" w:cs="Times New Roman"/>
        </w:rPr>
        <w:t xml:space="preserve"> an administrative nuisance but not a significant cost</w:t>
      </w:r>
      <w:r w:rsidRPr="00FB33D9">
        <w:rPr>
          <w:rFonts w:ascii="Times New Roman" w:hAnsi="Times New Roman" w:cs="Times New Roman"/>
        </w:rPr>
        <w:t xml:space="preserve"> in terms of </w:t>
      </w:r>
      <w:r w:rsidR="008E39C5" w:rsidRPr="00FB33D9">
        <w:rPr>
          <w:rFonts w:ascii="Times New Roman" w:hAnsi="Times New Roman" w:cs="Times New Roman"/>
        </w:rPr>
        <w:t xml:space="preserve">the amount of </w:t>
      </w:r>
      <w:r w:rsidRPr="00FB33D9">
        <w:rPr>
          <w:rFonts w:ascii="Times New Roman" w:hAnsi="Times New Roman" w:cs="Times New Roman"/>
        </w:rPr>
        <w:t>tax paid</w:t>
      </w:r>
      <w:r w:rsidR="00FB4DF4" w:rsidRPr="00FB33D9">
        <w:rPr>
          <w:rFonts w:ascii="Times New Roman" w:hAnsi="Times New Roman" w:cs="Times New Roman"/>
        </w:rPr>
        <w:t>.</w:t>
      </w:r>
    </w:p>
    <w:p w14:paraId="15576366" w14:textId="519BAA4F" w:rsidR="007E4D8B" w:rsidRPr="00CB0C3D" w:rsidRDefault="007E4D8B" w:rsidP="00FB33D9">
      <w:pPr>
        <w:pStyle w:val="Heading2"/>
        <w:rPr>
          <w:rFonts w:ascii="Times New Roman" w:hAnsi="Times New Roman" w:cs="Times New Roman"/>
        </w:rPr>
      </w:pPr>
      <w:bookmarkStart w:id="15" w:name="_Toc434358310"/>
      <w:r w:rsidRPr="00CB0C3D">
        <w:rPr>
          <w:rFonts w:ascii="Times New Roman" w:hAnsi="Times New Roman" w:cs="Times New Roman"/>
        </w:rPr>
        <w:t xml:space="preserve">Options </w:t>
      </w:r>
      <w:r w:rsidR="00BD7517" w:rsidRPr="00CB0C3D">
        <w:rPr>
          <w:rFonts w:ascii="Times New Roman" w:hAnsi="Times New Roman" w:cs="Times New Roman"/>
        </w:rPr>
        <w:t>and observations</w:t>
      </w:r>
      <w:bookmarkEnd w:id="15"/>
    </w:p>
    <w:p w14:paraId="0F1ACB5A" w14:textId="3B1DFC3D" w:rsidR="00420932" w:rsidRPr="00CB0C3D" w:rsidRDefault="00420932" w:rsidP="00CB0C3D">
      <w:pPr>
        <w:jc w:val="both"/>
        <w:rPr>
          <w:rFonts w:ascii="Times New Roman" w:hAnsi="Times New Roman" w:cs="Times New Roman"/>
        </w:rPr>
      </w:pPr>
      <w:r w:rsidRPr="00CB0C3D">
        <w:rPr>
          <w:rFonts w:ascii="Times New Roman" w:hAnsi="Times New Roman" w:cs="Times New Roman"/>
        </w:rPr>
        <w:t>If the state is determined to make changes in the personal property tax, there are relatively few options available. First, the state could adopt an alternative tax to replace any “relief” granted for the personal property tax. This was done in Illinois in 1970</w:t>
      </w:r>
      <w:r w:rsidR="00FB33D9" w:rsidRPr="00CB0C3D">
        <w:rPr>
          <w:rFonts w:ascii="Times New Roman" w:hAnsi="Times New Roman" w:cs="Times New Roman"/>
        </w:rPr>
        <w:t xml:space="preserve"> </w:t>
      </w:r>
      <w:r w:rsidR="00FB33D9" w:rsidRPr="00CB0C3D">
        <w:rPr>
          <w:rFonts w:ascii="Times New Roman" w:hAnsi="Times New Roman" w:cs="Times New Roman"/>
        </w:rPr>
        <w:fldChar w:fldCharType="begin"/>
      </w:r>
      <w:r w:rsidR="00FB33D9" w:rsidRPr="00CB0C3D">
        <w:rPr>
          <w:rFonts w:ascii="Times New Roman" w:hAnsi="Times New Roman" w:cs="Times New Roman"/>
        </w:rPr>
        <w:instrText xml:space="preserve"> ADDIN EN.CITE &lt;EndNote&gt;&lt;Cite&gt;&lt;Author&gt;Cornia&lt;/Author&gt;&lt;Year&gt;1999&lt;/Year&gt;&lt;RecNum&gt;22&lt;/RecNum&gt;&lt;DisplayText&gt;(Cornia and Wheeler 1999)&lt;/DisplayText&gt;&lt;record&gt;&lt;rec-number&gt;22&lt;/rec-number&gt;&lt;foreign-keys&gt;&lt;key app="EN" db-id="efsrp25rfad5tverv0kv2ztwvdrzzzda2pwp" timestamp="1446587501"&gt;22&lt;/key&gt;&lt;/foreign-keys&gt;&lt;ref-type name="Book Section"&gt;5&lt;/ref-type&gt;&lt;contributors&gt;&lt;authors&gt;&lt;author&gt;Gary C. Cornia&lt;/author&gt;&lt;author&gt;Gloria E. Wheeler&lt;/author&gt;&lt;/authors&gt;&lt;secondary-authors&gt;&lt;author&gt;W. Barley Hildreth&lt;/author&gt;&lt;author&gt;James A. Richardson&lt;/author&gt;&lt;/secondary-authors&gt;&lt;/contributors&gt;&lt;titles&gt;&lt;title&gt;The Personal Property Tax&lt;/title&gt;&lt;secondary-title&gt;Handbook of Taxation&lt;/secondary-title&gt;&lt;/titles&gt;&lt;dates&gt;&lt;year&gt;1999&lt;/year&gt;&lt;/dates&gt;&lt;pub-location&gt;New York, NY&lt;/pub-location&gt;&lt;publisher&gt;Marcel Dekker, Inc. &lt;/publisher&gt;&lt;urls&gt;&lt;/urls&gt;&lt;/record&gt;&lt;/Cite&gt;&lt;/EndNote&gt;</w:instrText>
      </w:r>
      <w:r w:rsidR="00FB33D9" w:rsidRPr="00CB0C3D">
        <w:rPr>
          <w:rFonts w:ascii="Times New Roman" w:hAnsi="Times New Roman" w:cs="Times New Roman"/>
        </w:rPr>
        <w:fldChar w:fldCharType="separate"/>
      </w:r>
      <w:r w:rsidR="00FB33D9" w:rsidRPr="00CB0C3D">
        <w:rPr>
          <w:rFonts w:ascii="Times New Roman" w:hAnsi="Times New Roman" w:cs="Times New Roman"/>
          <w:noProof/>
        </w:rPr>
        <w:t>(Cornia and Wheeler 1999)</w:t>
      </w:r>
      <w:r w:rsidR="00FB33D9" w:rsidRPr="00CB0C3D">
        <w:rPr>
          <w:rFonts w:ascii="Times New Roman" w:hAnsi="Times New Roman" w:cs="Times New Roman"/>
        </w:rPr>
        <w:fldChar w:fldCharType="end"/>
      </w:r>
      <w:r w:rsidRPr="00CB0C3D">
        <w:rPr>
          <w:rFonts w:ascii="Times New Roman" w:hAnsi="Times New Roman" w:cs="Times New Roman"/>
        </w:rPr>
        <w:t xml:space="preserve"> and between 2008 and 2014 at least eight states have taken this course</w:t>
      </w:r>
      <w:r w:rsidR="00FB33D9" w:rsidRPr="00CB0C3D">
        <w:rPr>
          <w:rFonts w:ascii="Times New Roman" w:hAnsi="Times New Roman" w:cs="Times New Roman"/>
        </w:rPr>
        <w:t xml:space="preserve"> </w:t>
      </w:r>
      <w:r w:rsidR="00FB33D9" w:rsidRPr="00CB0C3D">
        <w:rPr>
          <w:rFonts w:ascii="Times New Roman" w:hAnsi="Times New Roman" w:cs="Times New Roman"/>
        </w:rPr>
        <w:fldChar w:fldCharType="begin"/>
      </w:r>
      <w:r w:rsidR="00FB33D9" w:rsidRPr="00CB0C3D">
        <w:rPr>
          <w:rFonts w:ascii="Times New Roman" w:hAnsi="Times New Roman" w:cs="Times New Roman"/>
        </w:rPr>
        <w:instrText xml:space="preserve"> ADDIN EN.CITE &lt;EndNote&gt;&lt;Cite&gt;&lt;Author&gt;Collins&lt;/Author&gt;&lt;Year&gt;2015&lt;/Year&gt;&lt;RecNum&gt;24&lt;/RecNum&gt;&lt;DisplayText&gt;(Catherine Collins 2015)&lt;/DisplayText&gt;&lt;record&gt;&lt;rec-number&gt;24&lt;/rec-number&gt;&lt;foreign-keys&gt;&lt;key app="EN" db-id="efsrp25rfad5tverv0kv2ztwvdrzzzda2pwp" timestamp="1446587710"&gt;24&lt;/key&gt;&lt;/foreign-keys&gt;&lt;ref-type name="Journal Article"&gt;17&lt;/ref-type&gt;&lt;contributors&gt;&lt;authors&gt;&lt;author&gt;Catherine Collins&lt;/author&gt;&lt;/authors&gt;&lt;/contributors&gt;&lt;titles&gt;&lt;title&gt;The shrinking personal property tax: State approaches to exempting business personal property from local property taxes&lt;/title&gt;&lt;secondary-title&gt;Tax Management Weekly State Tax Report&lt;/secondary-title&gt;&lt;/titles&gt;&lt;periodical&gt;&lt;full-title&gt;Tax Management Weekly State Tax Report&lt;/full-title&gt;&lt;/periodical&gt;&lt;volume&gt;WSTR 1/9/2015&lt;/volume&gt;&lt;dates&gt;&lt;year&gt;2015&lt;/year&gt;&lt;/dates&gt;&lt;urls&gt;&lt;/urls&gt;&lt;/record&gt;&lt;/Cite&gt;&lt;/EndNote&gt;</w:instrText>
      </w:r>
      <w:r w:rsidR="00FB33D9" w:rsidRPr="00CB0C3D">
        <w:rPr>
          <w:rFonts w:ascii="Times New Roman" w:hAnsi="Times New Roman" w:cs="Times New Roman"/>
        </w:rPr>
        <w:fldChar w:fldCharType="separate"/>
      </w:r>
      <w:r w:rsidR="00FB33D9" w:rsidRPr="00CB0C3D">
        <w:rPr>
          <w:rFonts w:ascii="Times New Roman" w:hAnsi="Times New Roman" w:cs="Times New Roman"/>
          <w:noProof/>
        </w:rPr>
        <w:t>(Catherine Collins 2015)</w:t>
      </w:r>
      <w:r w:rsidR="00FB33D9" w:rsidRPr="00CB0C3D">
        <w:rPr>
          <w:rFonts w:ascii="Times New Roman" w:hAnsi="Times New Roman" w:cs="Times New Roman"/>
        </w:rPr>
        <w:fldChar w:fldCharType="end"/>
      </w:r>
      <w:r w:rsidRPr="00CB0C3D">
        <w:rPr>
          <w:rFonts w:ascii="Times New Roman" w:hAnsi="Times New Roman" w:cs="Times New Roman"/>
        </w:rPr>
        <w:t xml:space="preserve">. </w:t>
      </w:r>
      <w:r w:rsidR="00AB6CE6" w:rsidRPr="00CB0C3D">
        <w:rPr>
          <w:rFonts w:ascii="Times New Roman" w:hAnsi="Times New Roman" w:cs="Times New Roman"/>
        </w:rPr>
        <w:t xml:space="preserve">Two examples illustrate the challenges. </w:t>
      </w:r>
      <w:r w:rsidRPr="00CB0C3D">
        <w:rPr>
          <w:rFonts w:ascii="Times New Roman" w:hAnsi="Times New Roman" w:cs="Times New Roman"/>
        </w:rPr>
        <w:t xml:space="preserve">In the case of Ohio, revenues from the new tax fell short and the result was that local funds </w:t>
      </w:r>
      <w:r w:rsidR="008E39C5" w:rsidRPr="00CB0C3D">
        <w:rPr>
          <w:rFonts w:ascii="Times New Roman" w:hAnsi="Times New Roman" w:cs="Times New Roman"/>
        </w:rPr>
        <w:t xml:space="preserve">from the personal property tax </w:t>
      </w:r>
      <w:r w:rsidRPr="00CB0C3D">
        <w:rPr>
          <w:rFonts w:ascii="Times New Roman" w:hAnsi="Times New Roman" w:cs="Times New Roman"/>
        </w:rPr>
        <w:t xml:space="preserve">were reduced by almost half </w:t>
      </w:r>
      <w:r w:rsidR="00CB0C3D" w:rsidRPr="00CB0C3D">
        <w:rPr>
          <w:rFonts w:ascii="Times New Roman" w:hAnsi="Times New Roman" w:cs="Times New Roman"/>
        </w:rPr>
        <w:fldChar w:fldCharType="begin"/>
      </w:r>
      <w:r w:rsidR="00CB0C3D" w:rsidRPr="00CB0C3D">
        <w:rPr>
          <w:rFonts w:ascii="Times New Roman" w:hAnsi="Times New Roman" w:cs="Times New Roman"/>
        </w:rPr>
        <w:instrText xml:space="preserve"> ADDIN EN.CITE &lt;EndNote&gt;&lt;Cite&gt;&lt;Author&gt;Collins&lt;/Author&gt;&lt;Year&gt;2015&lt;/Year&gt;&lt;RecNum&gt;24&lt;/RecNum&gt;&lt;DisplayText&gt;(Catherine Collins 2015)&lt;/DisplayText&gt;&lt;record&gt;&lt;rec-number&gt;24&lt;/rec-number&gt;&lt;foreign-keys&gt;&lt;key app="EN" db-id="efsrp25rfad5tverv0kv2ztwvdrzzzda2pwp" timestamp="1446587710"&gt;24&lt;/key&gt;&lt;/foreign-keys&gt;&lt;ref-type name="Journal Article"&gt;17&lt;/ref-type&gt;&lt;contributors&gt;&lt;authors&gt;&lt;author&gt;Catherine Collins&lt;/author&gt;&lt;/authors&gt;&lt;/contributors&gt;&lt;titles&gt;&lt;title&gt;The shrinking personal property tax: State approaches to exempting business personal property from local property taxes&lt;/title&gt;&lt;secondary-title&gt;Tax Management Weekly State Tax Report&lt;/secondary-title&gt;&lt;/titles&gt;&lt;periodical&gt;&lt;full-title&gt;Tax Management Weekly State Tax Report&lt;/full-title&gt;&lt;/periodical&gt;&lt;volume&gt;WSTR 1/9/2015&lt;/volume&gt;&lt;dates&gt;&lt;year&gt;2015&lt;/year&gt;&lt;/dates&gt;&lt;urls&gt;&lt;/urls&gt;&lt;/record&gt;&lt;/Cite&gt;&lt;/EndNote&gt;</w:instrText>
      </w:r>
      <w:r w:rsidR="00CB0C3D" w:rsidRPr="00CB0C3D">
        <w:rPr>
          <w:rFonts w:ascii="Times New Roman" w:hAnsi="Times New Roman" w:cs="Times New Roman"/>
        </w:rPr>
        <w:fldChar w:fldCharType="separate"/>
      </w:r>
      <w:r w:rsidR="00CB0C3D" w:rsidRPr="00CB0C3D">
        <w:rPr>
          <w:rFonts w:ascii="Times New Roman" w:hAnsi="Times New Roman" w:cs="Times New Roman"/>
          <w:noProof/>
        </w:rPr>
        <w:t>(Catherine Collins 2015)</w:t>
      </w:r>
      <w:r w:rsidR="00CB0C3D" w:rsidRPr="00CB0C3D">
        <w:rPr>
          <w:rFonts w:ascii="Times New Roman" w:hAnsi="Times New Roman" w:cs="Times New Roman"/>
        </w:rPr>
        <w:fldChar w:fldCharType="end"/>
      </w:r>
      <w:r w:rsidRPr="00CB0C3D">
        <w:rPr>
          <w:rFonts w:ascii="Times New Roman" w:hAnsi="Times New Roman" w:cs="Times New Roman"/>
        </w:rPr>
        <w:t xml:space="preserve">. </w:t>
      </w:r>
    </w:p>
    <w:p w14:paraId="2415B8B8" w14:textId="77D522CF" w:rsidR="00420932" w:rsidRPr="00CB0C3D" w:rsidRDefault="00420932" w:rsidP="00CB0C3D">
      <w:pPr>
        <w:jc w:val="both"/>
        <w:rPr>
          <w:rFonts w:ascii="Times New Roman" w:hAnsi="Times New Roman" w:cs="Times New Roman"/>
        </w:rPr>
      </w:pPr>
      <w:r w:rsidRPr="00CB0C3D">
        <w:rPr>
          <w:rFonts w:ascii="Times New Roman" w:hAnsi="Times New Roman" w:cs="Times New Roman"/>
        </w:rPr>
        <w:t xml:space="preserve">Michigan, with voter approval, is diverting a portion of the sales tax to reimburse local governments as they phase out the personal property tax between 2012 and 2023. But local governments will also be expected to raise local taxes on other property. State transfers will assume local taxes are increased, thus local governments will have to choose between “tax relief” and maintaining spending levels. </w:t>
      </w:r>
      <w:r w:rsidR="00AB6CE6" w:rsidRPr="00CB0C3D">
        <w:rPr>
          <w:rFonts w:ascii="Times New Roman" w:hAnsi="Times New Roman" w:cs="Times New Roman"/>
        </w:rPr>
        <w:t xml:space="preserve">There will also be a significant </w:t>
      </w:r>
      <w:r w:rsidR="008E39C5" w:rsidRPr="00CB0C3D">
        <w:rPr>
          <w:rFonts w:ascii="Times New Roman" w:hAnsi="Times New Roman" w:cs="Times New Roman"/>
        </w:rPr>
        <w:t xml:space="preserve">impact </w:t>
      </w:r>
      <w:r w:rsidR="00AB6CE6" w:rsidRPr="00CB0C3D">
        <w:rPr>
          <w:rFonts w:ascii="Times New Roman" w:hAnsi="Times New Roman" w:cs="Times New Roman"/>
        </w:rPr>
        <w:t xml:space="preserve">on </w:t>
      </w:r>
      <w:r w:rsidR="008E39C5" w:rsidRPr="00CB0C3D">
        <w:rPr>
          <w:rFonts w:ascii="Times New Roman" w:hAnsi="Times New Roman" w:cs="Times New Roman"/>
        </w:rPr>
        <w:t xml:space="preserve">the </w:t>
      </w:r>
      <w:r w:rsidR="00AB6CE6" w:rsidRPr="00CB0C3D">
        <w:rPr>
          <w:rFonts w:ascii="Times New Roman" w:hAnsi="Times New Roman" w:cs="Times New Roman"/>
        </w:rPr>
        <w:t xml:space="preserve">state government’s general fund. </w:t>
      </w:r>
      <w:r w:rsidR="00CB0C3D" w:rsidRPr="00CB0C3D">
        <w:rPr>
          <w:rFonts w:ascii="Times New Roman" w:hAnsi="Times New Roman" w:cs="Times New Roman"/>
        </w:rPr>
        <w:fldChar w:fldCharType="begin"/>
      </w:r>
      <w:r w:rsidR="00CB0C3D" w:rsidRPr="00CB0C3D">
        <w:rPr>
          <w:rFonts w:ascii="Times New Roman" w:hAnsi="Times New Roman" w:cs="Times New Roman"/>
        </w:rPr>
        <w:instrText xml:space="preserve"> ADDIN EN.CITE &lt;EndNote&gt;&lt;Cite&gt;&lt;Author&gt;Collins&lt;/Author&gt;&lt;Year&gt;2015&lt;/Year&gt;&lt;RecNum&gt;24&lt;/RecNum&gt;&lt;DisplayText&gt;(Catherine Collins 2015)&lt;/DisplayText&gt;&lt;record&gt;&lt;rec-number&gt;24&lt;/rec-number&gt;&lt;foreign-keys&gt;&lt;key app="EN" db-id="efsrp25rfad5tverv0kv2ztwvdrzzzda2pwp" timestamp="1446587710"&gt;24&lt;/key&gt;&lt;/foreign-keys&gt;&lt;ref-type name="Journal Article"&gt;17&lt;/ref-type&gt;&lt;contributors&gt;&lt;authors&gt;&lt;author&gt;Catherine Collins&lt;/author&gt;&lt;/authors&gt;&lt;/contributors&gt;&lt;titles&gt;&lt;title&gt;The shrinking personal property tax: State approaches to exempting business personal property from local property taxes&lt;/title&gt;&lt;secondary-title&gt;Tax Management Weekly State Tax Report&lt;/secondary-title&gt;&lt;/titles&gt;&lt;periodical&gt;&lt;full-title&gt;Tax Management Weekly State Tax Report&lt;/full-title&gt;&lt;/periodical&gt;&lt;volume&gt;WSTR 1/9/2015&lt;/volume&gt;&lt;dates&gt;&lt;year&gt;2015&lt;/year&gt;&lt;/dates&gt;&lt;urls&gt;&lt;/urls&gt;&lt;/record&gt;&lt;/Cite&gt;&lt;/EndNote&gt;</w:instrText>
      </w:r>
      <w:r w:rsidR="00CB0C3D" w:rsidRPr="00CB0C3D">
        <w:rPr>
          <w:rFonts w:ascii="Times New Roman" w:hAnsi="Times New Roman" w:cs="Times New Roman"/>
        </w:rPr>
        <w:fldChar w:fldCharType="separate"/>
      </w:r>
      <w:r w:rsidR="00CB0C3D" w:rsidRPr="00CB0C3D">
        <w:rPr>
          <w:rFonts w:ascii="Times New Roman" w:hAnsi="Times New Roman" w:cs="Times New Roman"/>
          <w:noProof/>
        </w:rPr>
        <w:t>(Catherine Collins 2015)</w:t>
      </w:r>
      <w:r w:rsidR="00CB0C3D" w:rsidRPr="00CB0C3D">
        <w:rPr>
          <w:rFonts w:ascii="Times New Roman" w:hAnsi="Times New Roman" w:cs="Times New Roman"/>
        </w:rPr>
        <w:fldChar w:fldCharType="end"/>
      </w:r>
    </w:p>
    <w:p w14:paraId="705C21FD" w14:textId="24B2EFC5" w:rsidR="00420932" w:rsidRPr="00A273D2" w:rsidRDefault="00AB6CE6" w:rsidP="00CB0C3D">
      <w:pPr>
        <w:jc w:val="both"/>
        <w:rPr>
          <w:rFonts w:ascii="Times New Roman" w:hAnsi="Times New Roman" w:cs="Times New Roman"/>
        </w:rPr>
      </w:pPr>
      <w:r w:rsidRPr="00A273D2">
        <w:rPr>
          <w:rFonts w:ascii="Times New Roman" w:hAnsi="Times New Roman" w:cs="Times New Roman"/>
        </w:rPr>
        <w:t>A second option is to eliminate the tax and d</w:t>
      </w:r>
      <w:r w:rsidR="00420932" w:rsidRPr="00A273D2">
        <w:rPr>
          <w:rFonts w:ascii="Times New Roman" w:hAnsi="Times New Roman" w:cs="Times New Roman"/>
        </w:rPr>
        <w:t xml:space="preserve">o nothing </w:t>
      </w:r>
      <w:r w:rsidRPr="00A273D2">
        <w:rPr>
          <w:rFonts w:ascii="Times New Roman" w:hAnsi="Times New Roman" w:cs="Times New Roman"/>
        </w:rPr>
        <w:t>to compensate local governments. L</w:t>
      </w:r>
      <w:r w:rsidR="00420932" w:rsidRPr="00A273D2">
        <w:rPr>
          <w:rFonts w:ascii="Times New Roman" w:hAnsi="Times New Roman" w:cs="Times New Roman"/>
        </w:rPr>
        <w:t xml:space="preserve">ocals </w:t>
      </w:r>
      <w:r w:rsidRPr="00A273D2">
        <w:rPr>
          <w:rFonts w:ascii="Times New Roman" w:hAnsi="Times New Roman" w:cs="Times New Roman"/>
        </w:rPr>
        <w:t xml:space="preserve">will be forced to </w:t>
      </w:r>
      <w:r w:rsidR="00420932" w:rsidRPr="00A273D2">
        <w:rPr>
          <w:rFonts w:ascii="Times New Roman" w:hAnsi="Times New Roman" w:cs="Times New Roman"/>
        </w:rPr>
        <w:t xml:space="preserve">adapt </w:t>
      </w:r>
      <w:r w:rsidRPr="00A273D2">
        <w:rPr>
          <w:rFonts w:ascii="Times New Roman" w:hAnsi="Times New Roman" w:cs="Times New Roman"/>
        </w:rPr>
        <w:t xml:space="preserve">as the tax is phased out </w:t>
      </w:r>
      <w:r w:rsidR="00420932" w:rsidRPr="00A273D2">
        <w:rPr>
          <w:rFonts w:ascii="Times New Roman" w:hAnsi="Times New Roman" w:cs="Times New Roman"/>
        </w:rPr>
        <w:t xml:space="preserve">over time. Wisconsin did this </w:t>
      </w:r>
      <w:r w:rsidRPr="00A273D2">
        <w:rPr>
          <w:rFonts w:ascii="Times New Roman" w:hAnsi="Times New Roman" w:cs="Times New Roman"/>
        </w:rPr>
        <w:t xml:space="preserve">in </w:t>
      </w:r>
      <w:r w:rsidR="00420932" w:rsidRPr="00A273D2">
        <w:rPr>
          <w:rFonts w:ascii="Times New Roman" w:hAnsi="Times New Roman" w:cs="Times New Roman"/>
        </w:rPr>
        <w:t xml:space="preserve">1973. Twenty years later the consequences </w:t>
      </w:r>
      <w:r w:rsidRPr="00A273D2">
        <w:rPr>
          <w:rFonts w:ascii="Times New Roman" w:hAnsi="Times New Roman" w:cs="Times New Roman"/>
        </w:rPr>
        <w:t xml:space="preserve">were still being felt. </w:t>
      </w:r>
      <w:r w:rsidR="00CB0C3D" w:rsidRPr="00A273D2">
        <w:rPr>
          <w:rFonts w:ascii="Times New Roman" w:hAnsi="Times New Roman" w:cs="Times New Roman"/>
        </w:rPr>
        <w:fldChar w:fldCharType="begin"/>
      </w:r>
      <w:r w:rsidR="00CB0C3D" w:rsidRPr="00A273D2">
        <w:rPr>
          <w:rFonts w:ascii="Times New Roman" w:hAnsi="Times New Roman" w:cs="Times New Roman"/>
        </w:rPr>
        <w:instrText xml:space="preserve"> ADDIN EN.CITE &lt;EndNote&gt;&lt;Cite&gt;&lt;Author&gt;Cornia&lt;/Author&gt;&lt;Year&gt;1999&lt;/Year&gt;&lt;RecNum&gt;22&lt;/RecNum&gt;&lt;DisplayText&gt;(Cornia and Wheeler 1999)&lt;/DisplayText&gt;&lt;record&gt;&lt;rec-number&gt;22&lt;/rec-number&gt;&lt;foreign-keys&gt;&lt;key app="EN" db-id="efsrp25rfad5tverv0kv2ztwvdrzzzda2pwp" timestamp="1446587501"&gt;22&lt;/key&gt;&lt;/foreign-keys&gt;&lt;ref-type name="Book Section"&gt;5&lt;/ref-type&gt;&lt;contributors&gt;&lt;authors&gt;&lt;author&gt;Gary C. Cornia&lt;/author&gt;&lt;author&gt;Gloria E. Wheeler&lt;/author&gt;&lt;/authors&gt;&lt;secondary-authors&gt;&lt;author&gt;W. Barley Hildreth&lt;/author&gt;&lt;author&gt;James A. Richardson&lt;/author&gt;&lt;/secondary-authors&gt;&lt;/contributors&gt;&lt;titles&gt;&lt;title&gt;The Personal Property Tax&lt;/title&gt;&lt;secondary-title&gt;Handbook of Taxation&lt;/secondary-title&gt;&lt;/titles&gt;&lt;dates&gt;&lt;year&gt;1999&lt;/year&gt;&lt;/dates&gt;&lt;pub-location&gt;New York, NY&lt;/pub-location&gt;&lt;publisher&gt;Marcel Dekker, Inc. &lt;/publisher&gt;&lt;urls&gt;&lt;/urls&gt;&lt;/record&gt;&lt;/Cite&gt;&lt;/EndNote&gt;</w:instrText>
      </w:r>
      <w:r w:rsidR="00CB0C3D" w:rsidRPr="00A273D2">
        <w:rPr>
          <w:rFonts w:ascii="Times New Roman" w:hAnsi="Times New Roman" w:cs="Times New Roman"/>
        </w:rPr>
        <w:fldChar w:fldCharType="separate"/>
      </w:r>
      <w:r w:rsidR="00CB0C3D" w:rsidRPr="00A273D2">
        <w:rPr>
          <w:rFonts w:ascii="Times New Roman" w:hAnsi="Times New Roman" w:cs="Times New Roman"/>
          <w:noProof/>
        </w:rPr>
        <w:t>(Cornia and Wheeler 1999)</w:t>
      </w:r>
      <w:r w:rsidR="00CB0C3D" w:rsidRPr="00A273D2">
        <w:rPr>
          <w:rFonts w:ascii="Times New Roman" w:hAnsi="Times New Roman" w:cs="Times New Roman"/>
        </w:rPr>
        <w:fldChar w:fldCharType="end"/>
      </w:r>
      <w:r w:rsidR="00420932" w:rsidRPr="00A273D2">
        <w:rPr>
          <w:rFonts w:ascii="Times New Roman" w:hAnsi="Times New Roman" w:cs="Times New Roman"/>
        </w:rPr>
        <w:t xml:space="preserve"> </w:t>
      </w:r>
      <w:r w:rsidRPr="00A273D2">
        <w:rPr>
          <w:rFonts w:ascii="Times New Roman" w:hAnsi="Times New Roman" w:cs="Times New Roman"/>
        </w:rPr>
        <w:t>The e</w:t>
      </w:r>
      <w:r w:rsidR="00420932" w:rsidRPr="00A273D2">
        <w:rPr>
          <w:rFonts w:ascii="Times New Roman" w:hAnsi="Times New Roman" w:cs="Times New Roman"/>
        </w:rPr>
        <w:t xml:space="preserve">ffects </w:t>
      </w:r>
      <w:r w:rsidRPr="00A273D2">
        <w:rPr>
          <w:rFonts w:ascii="Times New Roman" w:hAnsi="Times New Roman" w:cs="Times New Roman"/>
        </w:rPr>
        <w:t xml:space="preserve">were </w:t>
      </w:r>
      <w:r w:rsidR="00420932" w:rsidRPr="00A273D2">
        <w:rPr>
          <w:rFonts w:ascii="Times New Roman" w:hAnsi="Times New Roman" w:cs="Times New Roman"/>
        </w:rPr>
        <w:t>quite uneven depending o</w:t>
      </w:r>
      <w:r w:rsidRPr="00A273D2">
        <w:rPr>
          <w:rFonts w:ascii="Times New Roman" w:hAnsi="Times New Roman" w:cs="Times New Roman"/>
        </w:rPr>
        <w:t>n the percentage</w:t>
      </w:r>
      <w:r w:rsidR="00420932" w:rsidRPr="00A273D2">
        <w:rPr>
          <w:rFonts w:ascii="Times New Roman" w:hAnsi="Times New Roman" w:cs="Times New Roman"/>
        </w:rPr>
        <w:t xml:space="preserve"> of </w:t>
      </w:r>
      <w:r w:rsidRPr="00A273D2">
        <w:rPr>
          <w:rFonts w:ascii="Times New Roman" w:hAnsi="Times New Roman" w:cs="Times New Roman"/>
        </w:rPr>
        <w:t>personal property</w:t>
      </w:r>
      <w:r w:rsidR="00420932" w:rsidRPr="00A273D2">
        <w:rPr>
          <w:rFonts w:ascii="Times New Roman" w:hAnsi="Times New Roman" w:cs="Times New Roman"/>
        </w:rPr>
        <w:t xml:space="preserve"> in a jurisdiction</w:t>
      </w:r>
      <w:r w:rsidRPr="00A273D2">
        <w:rPr>
          <w:rFonts w:ascii="Times New Roman" w:hAnsi="Times New Roman" w:cs="Times New Roman"/>
        </w:rPr>
        <w:t>.</w:t>
      </w:r>
    </w:p>
    <w:p w14:paraId="51F54492" w14:textId="093C9B50" w:rsidR="00AB6CE6" w:rsidRPr="00CB0C3D" w:rsidRDefault="00AB6CE6" w:rsidP="00CB0C3D">
      <w:pPr>
        <w:jc w:val="both"/>
        <w:rPr>
          <w:rFonts w:ascii="Times New Roman" w:hAnsi="Times New Roman" w:cs="Times New Roman"/>
        </w:rPr>
      </w:pPr>
      <w:r w:rsidRPr="00CB0C3D">
        <w:rPr>
          <w:rFonts w:ascii="Times New Roman" w:hAnsi="Times New Roman" w:cs="Times New Roman"/>
        </w:rPr>
        <w:t>If the personal property tax is to be eliminated, there are really only three</w:t>
      </w:r>
      <w:r w:rsidR="00420932" w:rsidRPr="00CB0C3D">
        <w:rPr>
          <w:rFonts w:ascii="Times New Roman" w:hAnsi="Times New Roman" w:cs="Times New Roman"/>
        </w:rPr>
        <w:t xml:space="preserve"> options</w:t>
      </w:r>
      <w:r w:rsidRPr="00CB0C3D">
        <w:rPr>
          <w:rFonts w:ascii="Times New Roman" w:hAnsi="Times New Roman" w:cs="Times New Roman"/>
        </w:rPr>
        <w:t xml:space="preserve"> available to </w:t>
      </w:r>
      <w:r w:rsidR="00CB0C3D" w:rsidRPr="00CB0C3D">
        <w:rPr>
          <w:rFonts w:ascii="Times New Roman" w:hAnsi="Times New Roman" w:cs="Times New Roman"/>
        </w:rPr>
        <w:t>local governments</w:t>
      </w:r>
      <w:r w:rsidR="00420932" w:rsidRPr="00CB0C3D">
        <w:rPr>
          <w:rFonts w:ascii="Times New Roman" w:hAnsi="Times New Roman" w:cs="Times New Roman"/>
        </w:rPr>
        <w:t xml:space="preserve">: cut spending, replace </w:t>
      </w:r>
      <w:r w:rsidRPr="00CB0C3D">
        <w:rPr>
          <w:rFonts w:ascii="Times New Roman" w:hAnsi="Times New Roman" w:cs="Times New Roman"/>
        </w:rPr>
        <w:t xml:space="preserve">the revenue </w:t>
      </w:r>
      <w:r w:rsidR="00420932" w:rsidRPr="00CB0C3D">
        <w:rPr>
          <w:rFonts w:ascii="Times New Roman" w:hAnsi="Times New Roman" w:cs="Times New Roman"/>
        </w:rPr>
        <w:t>with another tax or increase the</w:t>
      </w:r>
      <w:r w:rsidRPr="00CB0C3D">
        <w:rPr>
          <w:rFonts w:ascii="Times New Roman" w:hAnsi="Times New Roman" w:cs="Times New Roman"/>
        </w:rPr>
        <w:t xml:space="preserve"> tax</w:t>
      </w:r>
      <w:r w:rsidR="00420932" w:rsidRPr="00CB0C3D">
        <w:rPr>
          <w:rFonts w:ascii="Times New Roman" w:hAnsi="Times New Roman" w:cs="Times New Roman"/>
        </w:rPr>
        <w:t xml:space="preserve"> rate on </w:t>
      </w:r>
      <w:r w:rsidRPr="00CB0C3D">
        <w:rPr>
          <w:rFonts w:ascii="Times New Roman" w:hAnsi="Times New Roman" w:cs="Times New Roman"/>
        </w:rPr>
        <w:t xml:space="preserve">the </w:t>
      </w:r>
      <w:r w:rsidR="00420932" w:rsidRPr="00CB0C3D">
        <w:rPr>
          <w:rFonts w:ascii="Times New Roman" w:hAnsi="Times New Roman" w:cs="Times New Roman"/>
        </w:rPr>
        <w:t>remaining property</w:t>
      </w:r>
      <w:r w:rsidRPr="00CB0C3D">
        <w:rPr>
          <w:rFonts w:ascii="Times New Roman" w:hAnsi="Times New Roman" w:cs="Times New Roman"/>
        </w:rPr>
        <w:t xml:space="preserve">. </w:t>
      </w:r>
    </w:p>
    <w:p w14:paraId="42EA40EA" w14:textId="2CCB7694" w:rsidR="00AB6CE6" w:rsidRPr="00CB0C3D" w:rsidRDefault="00AB6CE6" w:rsidP="00CB0C3D">
      <w:pPr>
        <w:jc w:val="both"/>
        <w:rPr>
          <w:rFonts w:ascii="Times New Roman" w:hAnsi="Times New Roman" w:cs="Times New Roman"/>
        </w:rPr>
      </w:pPr>
      <w:r w:rsidRPr="00CB0C3D">
        <w:rPr>
          <w:rFonts w:ascii="Times New Roman" w:hAnsi="Times New Roman" w:cs="Times New Roman"/>
        </w:rPr>
        <w:t xml:space="preserve">Another option that </w:t>
      </w:r>
      <w:r w:rsidR="00CB0C3D" w:rsidRPr="00CB0C3D">
        <w:rPr>
          <w:rFonts w:ascii="Times New Roman" w:hAnsi="Times New Roman" w:cs="Times New Roman"/>
        </w:rPr>
        <w:t>might be considered</w:t>
      </w:r>
      <w:r w:rsidRPr="00CB0C3D">
        <w:rPr>
          <w:rFonts w:ascii="Times New Roman" w:hAnsi="Times New Roman" w:cs="Times New Roman"/>
        </w:rPr>
        <w:t xml:space="preserve"> in Connecticut </w:t>
      </w:r>
      <w:r w:rsidR="00CB0C3D" w:rsidRPr="00CB0C3D">
        <w:rPr>
          <w:rFonts w:ascii="Times New Roman" w:hAnsi="Times New Roman" w:cs="Times New Roman"/>
        </w:rPr>
        <w:t xml:space="preserve">is similar to a proposal regarding the property tax overall. </w:t>
      </w:r>
      <w:r w:rsidR="00CB0C3D" w:rsidRPr="00CB0C3D">
        <w:rPr>
          <w:rFonts w:ascii="Times New Roman" w:hAnsi="Times New Roman" w:cs="Times New Roman"/>
        </w:rPr>
        <w:fldChar w:fldCharType="begin"/>
      </w:r>
      <w:r w:rsidR="00CB0C3D" w:rsidRPr="00CB0C3D">
        <w:rPr>
          <w:rFonts w:ascii="Times New Roman" w:hAnsi="Times New Roman" w:cs="Times New Roman"/>
        </w:rPr>
        <w:instrText xml:space="preserve"> ADDIN EN.CITE &lt;EndNote&gt;&lt;Cite&gt;&lt;Author&gt;1000 Friends of Connecticut&lt;/Author&gt;&lt;Year&gt;2015&lt;/Year&gt;&lt;RecNum&gt;23&lt;/RecNum&gt;&lt;DisplayText&gt;(1000 Friends of Connecticut 2015)&lt;/DisplayText&gt;&lt;record&gt;&lt;rec-number&gt;23&lt;/rec-number&gt;&lt;foreign-keys&gt;&lt;key app="EN" db-id="efsrp25rfad5tverv0kv2ztwvdrzzzda2pwp" timestamp="1446587599"&gt;23&lt;/key&gt;&lt;/foreign-keys&gt;&lt;ref-type name="Report"&gt;27&lt;/ref-type&gt;&lt;contributors&gt;&lt;authors&gt;&lt;author&gt;1000 Friends of Connecticut,&lt;/author&gt;&lt;/authors&gt;&lt;/contributors&gt;&lt;titles&gt;&lt;title&gt;Connecticut Property Taxes 2015: Time for a Change&lt;/title&gt;&lt;/titles&gt;&lt;dates&gt;&lt;year&gt;2015&lt;/year&gt;&lt;/dates&gt;&lt;publisher&gt;1000 Friences Property Tax Work Group&lt;/publisher&gt;&lt;urls&gt;&lt;/urls&gt;&lt;/record&gt;&lt;/Cite&gt;&lt;/EndNote&gt;</w:instrText>
      </w:r>
      <w:r w:rsidR="00CB0C3D" w:rsidRPr="00CB0C3D">
        <w:rPr>
          <w:rFonts w:ascii="Times New Roman" w:hAnsi="Times New Roman" w:cs="Times New Roman"/>
        </w:rPr>
        <w:fldChar w:fldCharType="separate"/>
      </w:r>
      <w:r w:rsidR="00CB0C3D" w:rsidRPr="00CB0C3D">
        <w:rPr>
          <w:rFonts w:ascii="Times New Roman" w:hAnsi="Times New Roman" w:cs="Times New Roman"/>
          <w:noProof/>
        </w:rPr>
        <w:t>(1000 Friends of Connecticut 2015)</w:t>
      </w:r>
      <w:r w:rsidR="00CB0C3D" w:rsidRPr="00CB0C3D">
        <w:rPr>
          <w:rFonts w:ascii="Times New Roman" w:hAnsi="Times New Roman" w:cs="Times New Roman"/>
        </w:rPr>
        <w:fldChar w:fldCharType="end"/>
      </w:r>
      <w:r w:rsidR="00CB0C3D" w:rsidRPr="00CB0C3D">
        <w:rPr>
          <w:rFonts w:ascii="Times New Roman" w:hAnsi="Times New Roman" w:cs="Times New Roman"/>
        </w:rPr>
        <w:t xml:space="preserve"> This option </w:t>
      </w:r>
      <w:r w:rsidRPr="00CB0C3D">
        <w:rPr>
          <w:rFonts w:ascii="Times New Roman" w:hAnsi="Times New Roman" w:cs="Times New Roman"/>
        </w:rPr>
        <w:t>acknowledges that there are relatively few very large personal property taxpayers, and that there are significant disparities between communities in the total personal property tax base. The proposal would pool the base from these large a</w:t>
      </w:r>
      <w:r w:rsidR="00060735" w:rsidRPr="00CB0C3D">
        <w:rPr>
          <w:rFonts w:ascii="Times New Roman" w:hAnsi="Times New Roman" w:cs="Times New Roman"/>
        </w:rPr>
        <w:t>ccounts and share it among all cities. Proposals such as this have been s</w:t>
      </w:r>
      <w:r w:rsidR="00E25B74" w:rsidRPr="00CB0C3D">
        <w:rPr>
          <w:rFonts w:ascii="Times New Roman" w:hAnsi="Times New Roman" w:cs="Times New Roman"/>
        </w:rPr>
        <w:t>tudied for a number of years. (S</w:t>
      </w:r>
      <w:r w:rsidR="00060735" w:rsidRPr="00CB0C3D">
        <w:rPr>
          <w:rFonts w:ascii="Times New Roman" w:hAnsi="Times New Roman" w:cs="Times New Roman"/>
        </w:rPr>
        <w:t>ee for example, Ladd</w:t>
      </w:r>
      <w:r w:rsidR="00CB0C3D" w:rsidRPr="00CB0C3D">
        <w:rPr>
          <w:rFonts w:ascii="Times New Roman" w:hAnsi="Times New Roman" w:cs="Times New Roman"/>
        </w:rPr>
        <w:t xml:space="preserve"> </w:t>
      </w:r>
      <w:r w:rsidR="00CB0C3D" w:rsidRPr="00CB0C3D">
        <w:rPr>
          <w:rFonts w:ascii="Times New Roman" w:hAnsi="Times New Roman" w:cs="Times New Roman"/>
        </w:rPr>
        <w:fldChar w:fldCharType="begin"/>
      </w:r>
      <w:r w:rsidR="00CB0C3D" w:rsidRPr="00CB0C3D">
        <w:rPr>
          <w:rFonts w:ascii="Times New Roman" w:hAnsi="Times New Roman" w:cs="Times New Roman"/>
        </w:rPr>
        <w:instrText xml:space="preserve"> ADDIN EN.CITE &lt;EndNote&gt;&lt;Cite ExcludeAuth="1"&gt;&lt;Author&gt;Ladd&lt;/Author&gt;&lt;Year&gt;1976&lt;/Year&gt;&lt;RecNum&gt;27&lt;/RecNum&gt;&lt;DisplayText&gt;(1976)&lt;/DisplayText&gt;&lt;record&gt;&lt;rec-number&gt;27&lt;/rec-number&gt;&lt;foreign-keys&gt;&lt;key app="EN" db-id="efsrp25rfad5tverv0kv2ztwvdrzzzda2pwp" timestamp="1446587908"&gt;27&lt;/key&gt;&lt;/foreign-keys&gt;&lt;ref-type name="Journal Article"&gt;17&lt;/ref-type&gt;&lt;contributors&gt;&lt;authors&gt;&lt;author&gt;Ladd, Helen F.&lt;/author&gt;&lt;/authors&gt;&lt;/contributors&gt;&lt;titles&gt;&lt;title&gt;State-wide taxation of commercial and industrial property for education&lt;/title&gt;&lt;secondary-title&gt;National Tax Journal&lt;/secondary-title&gt;&lt;/titles&gt;&lt;periodical&gt;&lt;full-title&gt;National Tax Journal&lt;/full-title&gt;&lt;/periodical&gt;&lt;pages&gt;143-153&lt;/pages&gt;&lt;volume&gt;29&lt;/volume&gt;&lt;number&gt;2&lt;/number&gt;&lt;dates&gt;&lt;year&gt;1976&lt;/year&gt;&lt;/dates&gt;&lt;urls&gt;&lt;/urls&gt;&lt;/record&gt;&lt;/Cite&gt;&lt;/EndNote&gt;</w:instrText>
      </w:r>
      <w:r w:rsidR="00CB0C3D" w:rsidRPr="00CB0C3D">
        <w:rPr>
          <w:rFonts w:ascii="Times New Roman" w:hAnsi="Times New Roman" w:cs="Times New Roman"/>
        </w:rPr>
        <w:fldChar w:fldCharType="separate"/>
      </w:r>
      <w:r w:rsidR="00CB0C3D" w:rsidRPr="00CB0C3D">
        <w:rPr>
          <w:rFonts w:ascii="Times New Roman" w:hAnsi="Times New Roman" w:cs="Times New Roman"/>
          <w:noProof/>
        </w:rPr>
        <w:t>(1976)</w:t>
      </w:r>
      <w:r w:rsidR="00CB0C3D" w:rsidRPr="00CB0C3D">
        <w:rPr>
          <w:rFonts w:ascii="Times New Roman" w:hAnsi="Times New Roman" w:cs="Times New Roman"/>
        </w:rPr>
        <w:fldChar w:fldCharType="end"/>
      </w:r>
      <w:r w:rsidR="00CB0C3D" w:rsidRPr="00CB0C3D">
        <w:rPr>
          <w:rFonts w:ascii="Times New Roman" w:hAnsi="Times New Roman" w:cs="Times New Roman"/>
        </w:rPr>
        <w:t>,</w:t>
      </w:r>
      <w:r w:rsidR="00060735" w:rsidRPr="00CB0C3D">
        <w:rPr>
          <w:rFonts w:ascii="Times New Roman" w:hAnsi="Times New Roman" w:cs="Times New Roman"/>
        </w:rPr>
        <w:t xml:space="preserve"> Reschovsky</w:t>
      </w:r>
      <w:r w:rsidR="00CB0C3D" w:rsidRPr="00CB0C3D">
        <w:rPr>
          <w:rFonts w:ascii="Times New Roman" w:hAnsi="Times New Roman" w:cs="Times New Roman"/>
        </w:rPr>
        <w:t xml:space="preserve"> </w:t>
      </w:r>
      <w:r w:rsidR="00CB0C3D" w:rsidRPr="00CB0C3D">
        <w:rPr>
          <w:rFonts w:ascii="Times New Roman" w:hAnsi="Times New Roman" w:cs="Times New Roman"/>
        </w:rPr>
        <w:fldChar w:fldCharType="begin"/>
      </w:r>
      <w:r w:rsidR="00CB0C3D" w:rsidRPr="00CB0C3D">
        <w:rPr>
          <w:rFonts w:ascii="Times New Roman" w:hAnsi="Times New Roman" w:cs="Times New Roman"/>
        </w:rPr>
        <w:instrText xml:space="preserve"> ADDIN EN.CITE &lt;EndNote&gt;&lt;Cite ExcludeAuth="1"&gt;&lt;Author&gt;Reschovsky&lt;/Author&gt;&lt;Year&gt;1980&lt;/Year&gt;&lt;RecNum&gt;30&lt;/RecNum&gt;&lt;DisplayText&gt;(1980)&lt;/DisplayText&gt;&lt;record&gt;&lt;rec-number&gt;30&lt;/rec-number&gt;&lt;foreign-keys&gt;&lt;key app="EN" db-id="efsrp25rfad5tverv0kv2ztwvdrzzzda2pwp" timestamp="1446588315"&gt;30&lt;/key&gt;&lt;/foreign-keys&gt;&lt;ref-type name="Journal Article"&gt;17&lt;/ref-type&gt;&lt;contributors&gt;&lt;authors&gt;&lt;author&gt;Reschovsky, Andrew&lt;/author&gt;&lt;/authors&gt;&lt;/contributors&gt;&lt;titles&gt;&lt;title&gt;An evaluation of metropolitan area tax base sharing&lt;/title&gt;&lt;secondary-title&gt;National Tax Journal&lt;/secondary-title&gt;&lt;/titles&gt;&lt;periodical&gt;&lt;full-title&gt;National Tax Journal&lt;/full-title&gt;&lt;/periodical&gt;&lt;pages&gt;55-66&lt;/pages&gt;&lt;volume&gt;33&lt;/volume&gt;&lt;number&gt;1&lt;/number&gt;&lt;dates&gt;&lt;year&gt;1980&lt;/year&gt;&lt;/dates&gt;&lt;urls&gt;&lt;/urls&gt;&lt;/record&gt;&lt;/Cite&gt;&lt;/EndNote&gt;</w:instrText>
      </w:r>
      <w:r w:rsidR="00CB0C3D" w:rsidRPr="00CB0C3D">
        <w:rPr>
          <w:rFonts w:ascii="Times New Roman" w:hAnsi="Times New Roman" w:cs="Times New Roman"/>
        </w:rPr>
        <w:fldChar w:fldCharType="separate"/>
      </w:r>
      <w:r w:rsidR="00CB0C3D" w:rsidRPr="00CB0C3D">
        <w:rPr>
          <w:rFonts w:ascii="Times New Roman" w:hAnsi="Times New Roman" w:cs="Times New Roman"/>
          <w:noProof/>
        </w:rPr>
        <w:t>(1980)</w:t>
      </w:r>
      <w:r w:rsidR="00CB0C3D" w:rsidRPr="00CB0C3D">
        <w:rPr>
          <w:rFonts w:ascii="Times New Roman" w:hAnsi="Times New Roman" w:cs="Times New Roman"/>
        </w:rPr>
        <w:fldChar w:fldCharType="end"/>
      </w:r>
      <w:r w:rsidR="00CB0C3D" w:rsidRPr="00CB0C3D">
        <w:rPr>
          <w:rFonts w:ascii="Times New Roman" w:hAnsi="Times New Roman" w:cs="Times New Roman"/>
        </w:rPr>
        <w:t>,</w:t>
      </w:r>
      <w:r w:rsidR="00060735" w:rsidRPr="00CB0C3D">
        <w:rPr>
          <w:rFonts w:ascii="Times New Roman" w:hAnsi="Times New Roman" w:cs="Times New Roman"/>
        </w:rPr>
        <w:t xml:space="preserve"> </w:t>
      </w:r>
      <w:r w:rsidR="00E25B74" w:rsidRPr="00CB0C3D">
        <w:rPr>
          <w:rFonts w:ascii="Times New Roman" w:hAnsi="Times New Roman" w:cs="Times New Roman"/>
        </w:rPr>
        <w:t>Fox</w:t>
      </w:r>
      <w:r w:rsidR="00CB0C3D" w:rsidRPr="00CB0C3D">
        <w:rPr>
          <w:rFonts w:ascii="Times New Roman" w:hAnsi="Times New Roman" w:cs="Times New Roman"/>
        </w:rPr>
        <w:t xml:space="preserve"> </w:t>
      </w:r>
      <w:r w:rsidR="00CB0C3D" w:rsidRPr="00CB0C3D">
        <w:rPr>
          <w:rFonts w:ascii="Times New Roman" w:hAnsi="Times New Roman" w:cs="Times New Roman"/>
        </w:rPr>
        <w:fldChar w:fldCharType="begin"/>
      </w:r>
      <w:r w:rsidR="00CB0C3D" w:rsidRPr="00CB0C3D">
        <w:rPr>
          <w:rFonts w:ascii="Times New Roman" w:hAnsi="Times New Roman" w:cs="Times New Roman"/>
        </w:rPr>
        <w:instrText xml:space="preserve"> ADDIN EN.CITE &lt;EndNote&gt;&lt;Cite ExcludeAuth="1"&gt;&lt;Author&gt;Fox&lt;/Author&gt;&lt;Year&gt;1981&lt;/Year&gt;&lt;RecNum&gt;26&lt;/RecNum&gt;&lt;DisplayText&gt;(1981)&lt;/DisplayText&gt;&lt;record&gt;&lt;rec-number&gt;26&lt;/rec-number&gt;&lt;foreign-keys&gt;&lt;key app="EN" db-id="efsrp25rfad5tverv0kv2ztwvdrzzzda2pwp" timestamp="1446587846"&gt;26&lt;/key&gt;&lt;/foreign-keys&gt;&lt;ref-type name="Journal Article"&gt;17&lt;/ref-type&gt;&lt;contributors&gt;&lt;authors&gt;&lt;author&gt;Fox, William F.&lt;/author&gt;&lt;/authors&gt;&lt;/contributors&gt;&lt;titles&gt;&lt;title&gt;An evaluation of metropolitan area tax base sharing: A comment&lt;/title&gt;&lt;secondary-title&gt;National Tax Journal&lt;/secondary-title&gt;&lt;/titles&gt;&lt;periodical&gt;&lt;full-title&gt;National Tax Journal&lt;/full-title&gt;&lt;/periodical&gt;&lt;pages&gt;275-279&lt;/pages&gt;&lt;volume&gt;34&lt;/volume&gt;&lt;number&gt;2&lt;/number&gt;&lt;dates&gt;&lt;year&gt;1981&lt;/year&gt;&lt;/dates&gt;&lt;urls&gt;&lt;/urls&gt;&lt;/record&gt;&lt;/Cite&gt;&lt;/EndNote&gt;</w:instrText>
      </w:r>
      <w:r w:rsidR="00CB0C3D" w:rsidRPr="00CB0C3D">
        <w:rPr>
          <w:rFonts w:ascii="Times New Roman" w:hAnsi="Times New Roman" w:cs="Times New Roman"/>
        </w:rPr>
        <w:fldChar w:fldCharType="separate"/>
      </w:r>
      <w:r w:rsidR="00CB0C3D" w:rsidRPr="00CB0C3D">
        <w:rPr>
          <w:rFonts w:ascii="Times New Roman" w:hAnsi="Times New Roman" w:cs="Times New Roman"/>
          <w:noProof/>
        </w:rPr>
        <w:t>(1981)</w:t>
      </w:r>
      <w:r w:rsidR="00CB0C3D" w:rsidRPr="00CB0C3D">
        <w:rPr>
          <w:rFonts w:ascii="Times New Roman" w:hAnsi="Times New Roman" w:cs="Times New Roman"/>
        </w:rPr>
        <w:fldChar w:fldCharType="end"/>
      </w:r>
      <w:r w:rsidR="00E25B74" w:rsidRPr="00CB0C3D">
        <w:rPr>
          <w:rFonts w:ascii="Times New Roman" w:hAnsi="Times New Roman" w:cs="Times New Roman"/>
        </w:rPr>
        <w:t>, Stark</w:t>
      </w:r>
      <w:r w:rsidR="00CB0C3D" w:rsidRPr="00CB0C3D">
        <w:rPr>
          <w:rFonts w:ascii="Times New Roman" w:hAnsi="Times New Roman" w:cs="Times New Roman"/>
        </w:rPr>
        <w:t xml:space="preserve"> </w:t>
      </w:r>
      <w:r w:rsidR="00CB0C3D" w:rsidRPr="00CB0C3D">
        <w:rPr>
          <w:rFonts w:ascii="Times New Roman" w:hAnsi="Times New Roman" w:cs="Times New Roman"/>
        </w:rPr>
        <w:fldChar w:fldCharType="begin"/>
      </w:r>
      <w:r w:rsidR="00CB0C3D" w:rsidRPr="00CB0C3D">
        <w:rPr>
          <w:rFonts w:ascii="Times New Roman" w:hAnsi="Times New Roman" w:cs="Times New Roman"/>
        </w:rPr>
        <w:instrText xml:space="preserve"> ADDIN EN.CITE &lt;EndNote&gt;&lt;Cite ExcludeAuth="1"&gt;&lt;Author&gt;Stark&lt;/Author&gt;&lt;Year&gt;1992&lt;/Year&gt;&lt;RecNum&gt;31&lt;/RecNum&gt;&lt;DisplayText&gt;(1992)&lt;/DisplayText&gt;&lt;record&gt;&lt;rec-number&gt;31&lt;/rec-number&gt;&lt;foreign-keys&gt;&lt;key app="EN" db-id="efsrp25rfad5tverv0kv2ztwvdrzzzda2pwp" timestamp="1446588373"&gt;31&lt;/key&gt;&lt;/foreign-keys&gt;&lt;ref-type name="Journal Article"&gt;17&lt;/ref-type&gt;&lt;contributors&gt;&lt;authors&gt;&lt;author&gt;Stark, Kirk J.&lt;/author&gt;&lt;/authors&gt;&lt;/contributors&gt;&lt;titles&gt;&lt;title&gt;Rethinking statewide taxation of nonresidential property for public schools&lt;/title&gt;&lt;secondary-title&gt;Yale Law Journal&lt;/secondary-title&gt;&lt;/titles&gt;&lt;periodical&gt;&lt;full-title&gt;Yale Law Journal&lt;/full-title&gt;&lt;/periodical&gt;&lt;pages&gt;805-834&lt;/pages&gt;&lt;volume&gt;102&lt;/volume&gt;&lt;number&gt;3&lt;/number&gt;&lt;dates&gt;&lt;year&gt;1992&lt;/year&gt;&lt;/dates&gt;&lt;urls&gt;&lt;/urls&gt;&lt;/record&gt;&lt;/Cite&gt;&lt;/EndNote&gt;</w:instrText>
      </w:r>
      <w:r w:rsidR="00CB0C3D" w:rsidRPr="00CB0C3D">
        <w:rPr>
          <w:rFonts w:ascii="Times New Roman" w:hAnsi="Times New Roman" w:cs="Times New Roman"/>
        </w:rPr>
        <w:fldChar w:fldCharType="separate"/>
      </w:r>
      <w:r w:rsidR="00CB0C3D" w:rsidRPr="00CB0C3D">
        <w:rPr>
          <w:rFonts w:ascii="Times New Roman" w:hAnsi="Times New Roman" w:cs="Times New Roman"/>
          <w:noProof/>
        </w:rPr>
        <w:t>(1992)</w:t>
      </w:r>
      <w:r w:rsidR="00CB0C3D" w:rsidRPr="00CB0C3D">
        <w:rPr>
          <w:rFonts w:ascii="Times New Roman" w:hAnsi="Times New Roman" w:cs="Times New Roman"/>
        </w:rPr>
        <w:fldChar w:fldCharType="end"/>
      </w:r>
      <w:r w:rsidR="00CB0C3D" w:rsidRPr="00CB0C3D">
        <w:rPr>
          <w:rFonts w:ascii="Times New Roman" w:hAnsi="Times New Roman" w:cs="Times New Roman"/>
        </w:rPr>
        <w:t>.)</w:t>
      </w:r>
      <w:r w:rsidR="00E25B74" w:rsidRPr="00CB0C3D">
        <w:rPr>
          <w:rFonts w:ascii="Times New Roman" w:hAnsi="Times New Roman" w:cs="Times New Roman"/>
        </w:rPr>
        <w:t xml:space="preserve"> There seems little evidence to suggest that such a radical change would produce the desired effect. At the same time, the purpose of the tax should be kept in mind. If the property tax is intended to serve as a charge for services and benefits received from local government, that </w:t>
      </w:r>
      <w:r w:rsidR="008E39C5" w:rsidRPr="00CB0C3D">
        <w:rPr>
          <w:rFonts w:ascii="Times New Roman" w:hAnsi="Times New Roman" w:cs="Times New Roman"/>
        </w:rPr>
        <w:t xml:space="preserve">objective </w:t>
      </w:r>
      <w:r w:rsidR="00E25B74" w:rsidRPr="00CB0C3D">
        <w:rPr>
          <w:rFonts w:ascii="Times New Roman" w:hAnsi="Times New Roman" w:cs="Times New Roman"/>
        </w:rPr>
        <w:t xml:space="preserve">would argue strongly for keeping the tax in the community where the business is located. </w:t>
      </w:r>
    </w:p>
    <w:p w14:paraId="23145C9C" w14:textId="6AB0A639" w:rsidR="00AB6CE6" w:rsidRPr="00CB0C3D" w:rsidRDefault="00AB6CE6" w:rsidP="00CB0C3D">
      <w:pPr>
        <w:jc w:val="both"/>
        <w:rPr>
          <w:rFonts w:ascii="Times New Roman" w:hAnsi="Times New Roman" w:cs="Times New Roman"/>
        </w:rPr>
      </w:pPr>
      <w:r w:rsidRPr="00CB0C3D">
        <w:rPr>
          <w:rFonts w:ascii="Times New Roman" w:hAnsi="Times New Roman" w:cs="Times New Roman"/>
        </w:rPr>
        <w:t xml:space="preserve">It is not clear that any of these very difficult options are in the best interest of Connecticut. There are however several options that should be considered for improving the existing tax on personal property. They can be classed as compliance relief and administrative improvements. </w:t>
      </w:r>
    </w:p>
    <w:p w14:paraId="173EF15E" w14:textId="0037F77A" w:rsidR="00235741" w:rsidRPr="00CB0C3D" w:rsidRDefault="00AB6CE6" w:rsidP="00AB6CE6">
      <w:pPr>
        <w:pStyle w:val="Heading3"/>
        <w:rPr>
          <w:rFonts w:ascii="Times New Roman" w:hAnsi="Times New Roman" w:cs="Times New Roman"/>
        </w:rPr>
      </w:pPr>
      <w:bookmarkStart w:id="16" w:name="_Toc434358311"/>
      <w:r w:rsidRPr="00CB0C3D">
        <w:rPr>
          <w:rFonts w:ascii="Times New Roman" w:hAnsi="Times New Roman" w:cs="Times New Roman"/>
        </w:rPr>
        <w:t>Compliance relief options</w:t>
      </w:r>
      <w:bookmarkEnd w:id="16"/>
    </w:p>
    <w:p w14:paraId="2203A0AE" w14:textId="764A347F" w:rsidR="00AB6CE6" w:rsidRPr="00CB0C3D" w:rsidRDefault="00DA08F0" w:rsidP="00CB0C3D">
      <w:pPr>
        <w:jc w:val="both"/>
        <w:rPr>
          <w:rFonts w:ascii="Times New Roman" w:hAnsi="Times New Roman" w:cs="Times New Roman"/>
        </w:rPr>
      </w:pPr>
      <w:r w:rsidRPr="00CB0C3D">
        <w:rPr>
          <w:rFonts w:ascii="Times New Roman" w:hAnsi="Times New Roman" w:cs="Times New Roman"/>
        </w:rPr>
        <w:t xml:space="preserve">The first set of options derive from the observation that the personal property in Connecticut results in very little revenue considering the thousands of businesses required to complete the </w:t>
      </w:r>
      <w:r w:rsidR="00CB0C3D" w:rsidRPr="00CB0C3D">
        <w:rPr>
          <w:rFonts w:ascii="Times New Roman" w:hAnsi="Times New Roman" w:cs="Times New Roman"/>
        </w:rPr>
        <w:t>obligatory</w:t>
      </w:r>
      <w:r w:rsidRPr="00CB0C3D">
        <w:rPr>
          <w:rFonts w:ascii="Times New Roman" w:hAnsi="Times New Roman" w:cs="Times New Roman"/>
        </w:rPr>
        <w:t xml:space="preserve"> declaration.  Four options should be considered.</w:t>
      </w:r>
    </w:p>
    <w:p w14:paraId="41568DC0" w14:textId="47691707" w:rsidR="00AB756A" w:rsidRPr="00FE4228" w:rsidRDefault="00AB756A" w:rsidP="00FE4228">
      <w:pPr>
        <w:pStyle w:val="ListParagraph"/>
        <w:numPr>
          <w:ilvl w:val="0"/>
          <w:numId w:val="10"/>
        </w:numPr>
        <w:jc w:val="both"/>
        <w:rPr>
          <w:rFonts w:ascii="Times New Roman" w:hAnsi="Times New Roman" w:cs="Times New Roman"/>
        </w:rPr>
      </w:pPr>
      <w:r w:rsidRPr="00FE4228">
        <w:rPr>
          <w:rFonts w:ascii="Times New Roman" w:hAnsi="Times New Roman" w:cs="Times New Roman"/>
        </w:rPr>
        <w:t>Exempt taxpayers w</w:t>
      </w:r>
      <w:r w:rsidR="00DA08F0" w:rsidRPr="00FE4228">
        <w:rPr>
          <w:rFonts w:ascii="Times New Roman" w:hAnsi="Times New Roman" w:cs="Times New Roman"/>
        </w:rPr>
        <w:t>ith $5,000 or less in taxable personal property</w:t>
      </w:r>
      <w:r w:rsidRPr="00FE4228">
        <w:rPr>
          <w:rFonts w:ascii="Times New Roman" w:hAnsi="Times New Roman" w:cs="Times New Roman"/>
        </w:rPr>
        <w:t>.</w:t>
      </w:r>
      <w:r w:rsidR="00DA08F0" w:rsidRPr="00FE4228">
        <w:rPr>
          <w:rFonts w:ascii="Times New Roman" w:hAnsi="Times New Roman" w:cs="Times New Roman"/>
        </w:rPr>
        <w:t xml:space="preserve"> Simulations based on the sample taken from </w:t>
      </w:r>
      <w:r w:rsidR="00FE4228" w:rsidRPr="00FE4228">
        <w:rPr>
          <w:rFonts w:ascii="Times New Roman" w:hAnsi="Times New Roman" w:cs="Times New Roman"/>
        </w:rPr>
        <w:t>12</w:t>
      </w:r>
      <w:r w:rsidR="00DA08F0" w:rsidRPr="00FE4228">
        <w:rPr>
          <w:rFonts w:ascii="Times New Roman" w:hAnsi="Times New Roman" w:cs="Times New Roman"/>
        </w:rPr>
        <w:t xml:space="preserve"> cities indicates that the </w:t>
      </w:r>
      <w:r w:rsidR="000707F1" w:rsidRPr="00FE4228">
        <w:rPr>
          <w:rFonts w:ascii="Times New Roman" w:hAnsi="Times New Roman" w:cs="Times New Roman"/>
        </w:rPr>
        <w:t xml:space="preserve">revenue impact would be about 0.42% of personal property </w:t>
      </w:r>
      <w:r w:rsidR="000707F1" w:rsidRPr="00FE4228">
        <w:rPr>
          <w:rFonts w:ascii="Times New Roman" w:hAnsi="Times New Roman" w:cs="Times New Roman"/>
        </w:rPr>
        <w:lastRenderedPageBreak/>
        <w:t xml:space="preserve">tax revenue and 0.006% of total property tax revenue. At the same time about 35% of all personal property accounts would become exempt. </w:t>
      </w:r>
    </w:p>
    <w:p w14:paraId="10B1E1E6" w14:textId="6B7F7DA3" w:rsidR="00AB756A" w:rsidRPr="00FE4228" w:rsidRDefault="00AB756A" w:rsidP="00FE4228">
      <w:pPr>
        <w:pStyle w:val="ListParagraph"/>
        <w:numPr>
          <w:ilvl w:val="0"/>
          <w:numId w:val="10"/>
        </w:numPr>
        <w:jc w:val="both"/>
        <w:rPr>
          <w:rFonts w:ascii="Times New Roman" w:hAnsi="Times New Roman" w:cs="Times New Roman"/>
        </w:rPr>
      </w:pPr>
      <w:r w:rsidRPr="00FE4228">
        <w:rPr>
          <w:rFonts w:ascii="Times New Roman" w:hAnsi="Times New Roman" w:cs="Times New Roman"/>
        </w:rPr>
        <w:t xml:space="preserve">Exempt taxpayers with $7,500 or less in taxable </w:t>
      </w:r>
      <w:r w:rsidR="000707F1" w:rsidRPr="00FE4228">
        <w:rPr>
          <w:rFonts w:ascii="Times New Roman" w:hAnsi="Times New Roman" w:cs="Times New Roman"/>
        </w:rPr>
        <w:t>personal property</w:t>
      </w:r>
      <w:r w:rsidRPr="00FE4228">
        <w:rPr>
          <w:rFonts w:ascii="Times New Roman" w:hAnsi="Times New Roman" w:cs="Times New Roman"/>
        </w:rPr>
        <w:t>.</w:t>
      </w:r>
      <w:r w:rsidR="000707F1" w:rsidRPr="00FE4228">
        <w:rPr>
          <w:rFonts w:ascii="Times New Roman" w:hAnsi="Times New Roman" w:cs="Times New Roman"/>
        </w:rPr>
        <w:t xml:space="preserve"> An exemption at this level would reduce revenue from the personal property tax by 0.68% and total property tax revenue by 0.01%. About 42% of all personal property tax accounts would become exempt.</w:t>
      </w:r>
    </w:p>
    <w:p w14:paraId="66436FFD" w14:textId="0C9C5297" w:rsidR="00AB756A" w:rsidRPr="00FE4228" w:rsidRDefault="00AB756A" w:rsidP="00FE4228">
      <w:pPr>
        <w:pStyle w:val="ListParagraph"/>
        <w:numPr>
          <w:ilvl w:val="0"/>
          <w:numId w:val="10"/>
        </w:numPr>
        <w:jc w:val="both"/>
        <w:rPr>
          <w:rFonts w:ascii="Times New Roman" w:hAnsi="Times New Roman" w:cs="Times New Roman"/>
        </w:rPr>
      </w:pPr>
      <w:r w:rsidRPr="00FE4228">
        <w:rPr>
          <w:rFonts w:ascii="Times New Roman" w:hAnsi="Times New Roman" w:cs="Times New Roman"/>
        </w:rPr>
        <w:t>Exempt taxpayers wi</w:t>
      </w:r>
      <w:r w:rsidR="000707F1" w:rsidRPr="00FE4228">
        <w:rPr>
          <w:rFonts w:ascii="Times New Roman" w:hAnsi="Times New Roman" w:cs="Times New Roman"/>
        </w:rPr>
        <w:t>th $10,000 or less in taxable personal property</w:t>
      </w:r>
      <w:r w:rsidRPr="00FE4228">
        <w:rPr>
          <w:rFonts w:ascii="Times New Roman" w:hAnsi="Times New Roman" w:cs="Times New Roman"/>
        </w:rPr>
        <w:t>.</w:t>
      </w:r>
      <w:r w:rsidR="000707F1" w:rsidRPr="00FE4228">
        <w:rPr>
          <w:rFonts w:ascii="Times New Roman" w:hAnsi="Times New Roman" w:cs="Times New Roman"/>
        </w:rPr>
        <w:t xml:space="preserve"> An exemption at this level would reduce revenue from the personal property tax by about 0.97% and overall property tax revenue by 0.014%. About 46% of all personal property accounts would become exempt.</w:t>
      </w:r>
    </w:p>
    <w:p w14:paraId="7625F3AB" w14:textId="34066508" w:rsidR="00AB756A" w:rsidRPr="00FE4228" w:rsidRDefault="00AB756A" w:rsidP="00FE4228">
      <w:pPr>
        <w:pStyle w:val="ListParagraph"/>
        <w:numPr>
          <w:ilvl w:val="0"/>
          <w:numId w:val="10"/>
        </w:numPr>
        <w:jc w:val="both"/>
        <w:rPr>
          <w:rFonts w:ascii="Times New Roman" w:hAnsi="Times New Roman" w:cs="Times New Roman"/>
        </w:rPr>
      </w:pPr>
      <w:r w:rsidRPr="00FE4228">
        <w:rPr>
          <w:rFonts w:ascii="Times New Roman" w:hAnsi="Times New Roman" w:cs="Times New Roman"/>
        </w:rPr>
        <w:t>Leave the system as is</w:t>
      </w:r>
      <w:r w:rsidR="000707F1" w:rsidRPr="00FE4228">
        <w:rPr>
          <w:rFonts w:ascii="Times New Roman" w:hAnsi="Times New Roman" w:cs="Times New Roman"/>
        </w:rPr>
        <w:t>.</w:t>
      </w:r>
    </w:p>
    <w:p w14:paraId="64192752" w14:textId="113B973D" w:rsidR="000707F1" w:rsidRPr="00FE4228" w:rsidRDefault="000707F1" w:rsidP="00FE4228">
      <w:pPr>
        <w:jc w:val="both"/>
        <w:rPr>
          <w:rFonts w:ascii="Times New Roman" w:hAnsi="Times New Roman" w:cs="Times New Roman"/>
        </w:rPr>
      </w:pPr>
      <w:r w:rsidRPr="00FE4228">
        <w:rPr>
          <w:rFonts w:ascii="Times New Roman" w:hAnsi="Times New Roman" w:cs="Times New Roman"/>
        </w:rPr>
        <w:t xml:space="preserve">The exemption could be designed in a variety of ways. Firms should still be required to register with the local assessor, but the declaration form could simply collect relevant statistical information and ask the taxpayer to certify that the depreciated value of their current personal property falls below the designated level. Of course, auditing would need to increase to assure compliance, but it seems likely the administrative savings resulting from the large reduction in paper work could be redeployed for auditing. </w:t>
      </w:r>
    </w:p>
    <w:p w14:paraId="12EFD323" w14:textId="416E7C9E" w:rsidR="00AB756A" w:rsidRPr="009A7B10" w:rsidRDefault="00AB756A" w:rsidP="000707F1">
      <w:pPr>
        <w:pStyle w:val="Heading3"/>
        <w:rPr>
          <w:rFonts w:ascii="Times New Roman" w:hAnsi="Times New Roman" w:cs="Times New Roman"/>
        </w:rPr>
      </w:pPr>
      <w:bookmarkStart w:id="17" w:name="_Toc434358312"/>
      <w:r w:rsidRPr="009A7B10">
        <w:rPr>
          <w:rFonts w:ascii="Times New Roman" w:hAnsi="Times New Roman" w:cs="Times New Roman"/>
        </w:rPr>
        <w:t>Admini</w:t>
      </w:r>
      <w:r w:rsidR="00693CFC" w:rsidRPr="009A7B10">
        <w:rPr>
          <w:rFonts w:ascii="Times New Roman" w:hAnsi="Times New Roman" w:cs="Times New Roman"/>
        </w:rPr>
        <w:t>strative improvement options</w:t>
      </w:r>
      <w:bookmarkEnd w:id="17"/>
    </w:p>
    <w:p w14:paraId="0C635FEB" w14:textId="5B6C25D3" w:rsidR="00693CFC" w:rsidRPr="009A7B10" w:rsidRDefault="00693CFC" w:rsidP="009A7B10">
      <w:pPr>
        <w:jc w:val="both"/>
        <w:rPr>
          <w:rFonts w:ascii="Times New Roman" w:hAnsi="Times New Roman" w:cs="Times New Roman"/>
        </w:rPr>
      </w:pPr>
      <w:r w:rsidRPr="009A7B10">
        <w:rPr>
          <w:rFonts w:ascii="Times New Roman" w:hAnsi="Times New Roman" w:cs="Times New Roman"/>
        </w:rPr>
        <w:t>The improvement options suggested here are derived from a review of practices in other states, from interviews with local assessors in Connecticut and from interviews with taxpayer representatives. The first suggestion is that the approach to depreciation should be revisited. The forms employed are often too narrow as evidenced by the number of cities that feel compelled to design their own. The 30% residual value in many categories is perceived to be too high at least by taxpayers. A richer, more flexible approach could be developed that more closely approximate</w:t>
      </w:r>
      <w:r w:rsidR="00D4729A" w:rsidRPr="009A7B10">
        <w:rPr>
          <w:rFonts w:ascii="Times New Roman" w:hAnsi="Times New Roman" w:cs="Times New Roman"/>
        </w:rPr>
        <w:t>s</w:t>
      </w:r>
      <w:r w:rsidRPr="009A7B10">
        <w:rPr>
          <w:rFonts w:ascii="Times New Roman" w:hAnsi="Times New Roman" w:cs="Times New Roman"/>
        </w:rPr>
        <w:t xml:space="preserve"> market value without overburdening assessors or taxpayers. </w:t>
      </w:r>
    </w:p>
    <w:p w14:paraId="46AF9CD4" w14:textId="49B2B6BB" w:rsidR="00693CFC" w:rsidRDefault="00693CFC" w:rsidP="009A7B10">
      <w:pPr>
        <w:jc w:val="both"/>
        <w:rPr>
          <w:rFonts w:ascii="Times New Roman" w:hAnsi="Times New Roman" w:cs="Times New Roman"/>
        </w:rPr>
      </w:pPr>
      <w:r w:rsidRPr="009A7B10">
        <w:rPr>
          <w:rFonts w:ascii="Times New Roman" w:hAnsi="Times New Roman" w:cs="Times New Roman"/>
        </w:rPr>
        <w:t>The assessment process also needs to allow for the possibility of economic obsolescence in an industry, such as the current chemical products manufacturing industry. In may prove to be des</w:t>
      </w:r>
      <w:r w:rsidR="009A7B10" w:rsidRPr="009A7B10">
        <w:rPr>
          <w:rFonts w:ascii="Times New Roman" w:hAnsi="Times New Roman" w:cs="Times New Roman"/>
        </w:rPr>
        <w:t>irable to give the</w:t>
      </w:r>
      <w:r w:rsidRPr="009A7B10">
        <w:rPr>
          <w:rFonts w:ascii="Times New Roman" w:hAnsi="Times New Roman" w:cs="Times New Roman"/>
        </w:rPr>
        <w:t xml:space="preserve"> assignment to </w:t>
      </w:r>
      <w:r w:rsidR="009A7B10" w:rsidRPr="009A7B10">
        <w:rPr>
          <w:rFonts w:ascii="Times New Roman" w:hAnsi="Times New Roman" w:cs="Times New Roman"/>
        </w:rPr>
        <w:t xml:space="preserve">evaluate the possibility of obsolescence to </w:t>
      </w:r>
      <w:r w:rsidRPr="009A7B10">
        <w:rPr>
          <w:rFonts w:ascii="Times New Roman" w:hAnsi="Times New Roman" w:cs="Times New Roman"/>
        </w:rPr>
        <w:t xml:space="preserve">OPM who can then provide guidance to the entire state. </w:t>
      </w:r>
    </w:p>
    <w:p w14:paraId="50C352A3" w14:textId="31AC9DAA" w:rsidR="00AB756A" w:rsidRPr="009A7B10" w:rsidRDefault="00693CFC" w:rsidP="009A7B10">
      <w:pPr>
        <w:jc w:val="both"/>
        <w:rPr>
          <w:rFonts w:ascii="Times New Roman" w:hAnsi="Times New Roman" w:cs="Times New Roman"/>
        </w:rPr>
      </w:pPr>
      <w:r w:rsidRPr="009A7B10">
        <w:rPr>
          <w:rFonts w:ascii="Times New Roman" w:hAnsi="Times New Roman" w:cs="Times New Roman"/>
        </w:rPr>
        <w:t>Audit procedures and frequency need to be improved. Contingency audits should be carefully evaluated for their effectiveness and fairness, and audit standards for such audits should be very clear.</w:t>
      </w:r>
    </w:p>
    <w:p w14:paraId="499088B3" w14:textId="4B9B2CC1" w:rsidR="00AB756A" w:rsidRDefault="00693CFC" w:rsidP="009A7B10">
      <w:pPr>
        <w:jc w:val="both"/>
        <w:rPr>
          <w:rFonts w:ascii="Times New Roman" w:hAnsi="Times New Roman" w:cs="Times New Roman"/>
        </w:rPr>
      </w:pPr>
      <w:r w:rsidRPr="009A7B10">
        <w:rPr>
          <w:rFonts w:ascii="Times New Roman" w:hAnsi="Times New Roman" w:cs="Times New Roman"/>
        </w:rPr>
        <w:t>T</w:t>
      </w:r>
      <w:r w:rsidR="00AB756A" w:rsidRPr="009A7B10">
        <w:rPr>
          <w:rFonts w:ascii="Times New Roman" w:hAnsi="Times New Roman" w:cs="Times New Roman"/>
        </w:rPr>
        <w:t>he role of OPM in ov</w:t>
      </w:r>
      <w:r w:rsidRPr="009A7B10">
        <w:rPr>
          <w:rFonts w:ascii="Times New Roman" w:hAnsi="Times New Roman" w:cs="Times New Roman"/>
        </w:rPr>
        <w:t>erseeing uniformity in</w:t>
      </w:r>
      <w:r w:rsidR="00AB756A" w:rsidRPr="009A7B10">
        <w:rPr>
          <w:rFonts w:ascii="Times New Roman" w:hAnsi="Times New Roman" w:cs="Times New Roman"/>
        </w:rPr>
        <w:t xml:space="preserve"> assessment administration</w:t>
      </w:r>
      <w:r w:rsidRPr="009A7B10">
        <w:rPr>
          <w:rFonts w:ascii="Times New Roman" w:hAnsi="Times New Roman" w:cs="Times New Roman"/>
        </w:rPr>
        <w:t xml:space="preserve"> should be strengthened. There needs to be an active state agency that provides training, oversight and standards enforcement to assure that the state property tax system is operating efficiently and fairly.</w:t>
      </w:r>
    </w:p>
    <w:p w14:paraId="1F784692" w14:textId="7839FEA7" w:rsidR="00DC0828" w:rsidRDefault="00DC0828" w:rsidP="00DC0828">
      <w:pPr>
        <w:jc w:val="both"/>
        <w:rPr>
          <w:rFonts w:ascii="Times New Roman" w:hAnsi="Times New Roman" w:cs="Times New Roman"/>
        </w:rPr>
      </w:pPr>
      <w:r>
        <w:rPr>
          <w:rFonts w:ascii="Times New Roman" w:hAnsi="Times New Roman" w:cs="Times New Roman"/>
        </w:rPr>
        <w:t>The Connecticut Business and Industry Association (CBIA) has also put forward several potential administrative improvements that the state should consider. At present the annual filing must be completed in hard copy, signed by either the owner or the owner’s agent, and the signature must be notarized</w:t>
      </w:r>
      <w:r w:rsidR="0039048F">
        <w:rPr>
          <w:rFonts w:ascii="Times New Roman" w:hAnsi="Times New Roman" w:cs="Times New Roman"/>
        </w:rPr>
        <w:t xml:space="preserve"> or witnessed by one of several possible local officials</w:t>
      </w:r>
      <w:r>
        <w:rPr>
          <w:rFonts w:ascii="Times New Roman" w:hAnsi="Times New Roman" w:cs="Times New Roman"/>
        </w:rPr>
        <w:t xml:space="preserve">. Failure to sign the form or have it properly witnessed results in a 25% penalty for filing an incomplete form. CBIA proposes that firms be allowed to file their personal property declaration electronically and that the requirement for a notarized signature be eliminated. </w:t>
      </w:r>
      <w:r w:rsidR="0039048F">
        <w:rPr>
          <w:rFonts w:ascii="Times New Roman" w:hAnsi="Times New Roman" w:cs="Times New Roman"/>
        </w:rPr>
        <w:t>Such a change would reduce compliance costs for many businesses</w:t>
      </w:r>
      <w:r w:rsidR="00445CB6">
        <w:rPr>
          <w:rFonts w:ascii="Times New Roman" w:hAnsi="Times New Roman" w:cs="Times New Roman"/>
        </w:rPr>
        <w:t xml:space="preserve"> and after a transition period would also likely reduce administrative costs for assessors. According to CBIA, state statutes allow for the possibility of electronic filing, though it is not clear what the cost of implementing such a system would be, especially for smaller jurisdictions. </w:t>
      </w:r>
    </w:p>
    <w:p w14:paraId="6B5E3E6D" w14:textId="21376992" w:rsidR="00A61CA8" w:rsidRDefault="00F83D31" w:rsidP="00445CB6">
      <w:pPr>
        <w:jc w:val="both"/>
        <w:rPr>
          <w:rFonts w:ascii="Times New Roman" w:hAnsi="Times New Roman" w:cs="Times New Roman"/>
        </w:rPr>
      </w:pPr>
      <w:r w:rsidRPr="009A7B10">
        <w:rPr>
          <w:rFonts w:ascii="Times New Roman" w:hAnsi="Times New Roman" w:cs="Times New Roman"/>
        </w:rPr>
        <w:t>P</w:t>
      </w:r>
      <w:r w:rsidR="00693CFC" w:rsidRPr="009A7B10">
        <w:rPr>
          <w:rFonts w:ascii="Times New Roman" w:hAnsi="Times New Roman" w:cs="Times New Roman"/>
        </w:rPr>
        <w:t xml:space="preserve">ersonal property </w:t>
      </w:r>
      <w:r w:rsidR="00B83A9A" w:rsidRPr="009A7B10">
        <w:rPr>
          <w:rFonts w:ascii="Times New Roman" w:hAnsi="Times New Roman" w:cs="Times New Roman"/>
        </w:rPr>
        <w:t>taxation in C</w:t>
      </w:r>
      <w:r w:rsidRPr="009A7B10">
        <w:rPr>
          <w:rFonts w:ascii="Times New Roman" w:hAnsi="Times New Roman" w:cs="Times New Roman"/>
        </w:rPr>
        <w:t>onnecticut</w:t>
      </w:r>
      <w:r w:rsidR="00B83A9A" w:rsidRPr="009A7B10">
        <w:rPr>
          <w:rFonts w:ascii="Times New Roman" w:hAnsi="Times New Roman" w:cs="Times New Roman"/>
        </w:rPr>
        <w:t xml:space="preserve"> is not much different than in other states, when all </w:t>
      </w:r>
      <w:r w:rsidRPr="009A7B10">
        <w:rPr>
          <w:rFonts w:ascii="Times New Roman" w:hAnsi="Times New Roman" w:cs="Times New Roman"/>
        </w:rPr>
        <w:t xml:space="preserve">appropriate </w:t>
      </w:r>
      <w:r w:rsidR="00B83A9A" w:rsidRPr="009A7B10">
        <w:rPr>
          <w:rFonts w:ascii="Times New Roman" w:hAnsi="Times New Roman" w:cs="Times New Roman"/>
        </w:rPr>
        <w:t xml:space="preserve">adjustments are made. </w:t>
      </w:r>
      <w:r w:rsidRPr="009A7B10">
        <w:rPr>
          <w:rFonts w:ascii="Times New Roman" w:hAnsi="Times New Roman" w:cs="Times New Roman"/>
        </w:rPr>
        <w:t xml:space="preserve">To be sure, there are policy and administrative improvements that should be carefully </w:t>
      </w:r>
      <w:r w:rsidRPr="009A7B10">
        <w:rPr>
          <w:rFonts w:ascii="Times New Roman" w:hAnsi="Times New Roman" w:cs="Times New Roman"/>
        </w:rPr>
        <w:lastRenderedPageBreak/>
        <w:t>considered. But the basic structure seems sound and the result</w:t>
      </w:r>
      <w:r w:rsidR="00D4729A" w:rsidRPr="009A7B10">
        <w:rPr>
          <w:rFonts w:ascii="Times New Roman" w:hAnsi="Times New Roman" w:cs="Times New Roman"/>
        </w:rPr>
        <w:t>ing tax burden</w:t>
      </w:r>
      <w:r w:rsidRPr="009A7B10">
        <w:rPr>
          <w:rFonts w:ascii="Times New Roman" w:hAnsi="Times New Roman" w:cs="Times New Roman"/>
        </w:rPr>
        <w:t>s are consistent with the performance of the busine</w:t>
      </w:r>
      <w:r w:rsidR="00DC0828">
        <w:rPr>
          <w:rFonts w:ascii="Times New Roman" w:hAnsi="Times New Roman" w:cs="Times New Roman"/>
        </w:rPr>
        <w:t>ss property tax in other states</w:t>
      </w:r>
      <w:r w:rsidR="009A7B10">
        <w:rPr>
          <w:rFonts w:ascii="Times New Roman" w:hAnsi="Times New Roman" w:cs="Times New Roman"/>
        </w:rPr>
        <w:t xml:space="preserve">. </w:t>
      </w:r>
    </w:p>
    <w:p w14:paraId="65D9C07B" w14:textId="77777777" w:rsidR="00445CB6" w:rsidRPr="00D77A48" w:rsidRDefault="00445CB6" w:rsidP="00BF3CF1">
      <w:pPr>
        <w:jc w:val="both"/>
      </w:pPr>
    </w:p>
    <w:p w14:paraId="2D82B0E2" w14:textId="7721EBC1" w:rsidR="007E6D03" w:rsidRDefault="00A61CA8" w:rsidP="00445CB6">
      <w:pPr>
        <w:pStyle w:val="Heading2"/>
        <w:rPr>
          <w:rFonts w:ascii="Times New Roman" w:hAnsi="Times New Roman" w:cs="Times New Roman"/>
        </w:rPr>
      </w:pPr>
      <w:bookmarkStart w:id="18" w:name="_Toc434358313"/>
      <w:r w:rsidRPr="00445CB6">
        <w:rPr>
          <w:rFonts w:ascii="Times New Roman" w:hAnsi="Times New Roman" w:cs="Times New Roman"/>
        </w:rPr>
        <w:t>References</w:t>
      </w:r>
      <w:bookmarkEnd w:id="18"/>
    </w:p>
    <w:p w14:paraId="15EFD174" w14:textId="77777777" w:rsidR="00445CB6" w:rsidRPr="00445CB6" w:rsidRDefault="00C410CF" w:rsidP="00445CB6">
      <w:pPr>
        <w:pStyle w:val="EndNoteBibliography"/>
        <w:spacing w:after="0"/>
        <w:ind w:left="720" w:hanging="720"/>
        <w:jc w:val="both"/>
        <w:rPr>
          <w:rFonts w:ascii="Times New Roman" w:hAnsi="Times New Roman" w:cs="Times New Roman"/>
        </w:rPr>
      </w:pPr>
      <w:r w:rsidRPr="00445CB6">
        <w:rPr>
          <w:rFonts w:ascii="Times New Roman" w:hAnsi="Times New Roman" w:cs="Times New Roman"/>
        </w:rPr>
        <w:fldChar w:fldCharType="begin"/>
      </w:r>
      <w:r w:rsidRPr="00445CB6">
        <w:rPr>
          <w:rFonts w:ascii="Times New Roman" w:hAnsi="Times New Roman" w:cs="Times New Roman"/>
        </w:rPr>
        <w:instrText xml:space="preserve"> ADDIN EN.REFLIST </w:instrText>
      </w:r>
      <w:r w:rsidRPr="00445CB6">
        <w:rPr>
          <w:rFonts w:ascii="Times New Roman" w:hAnsi="Times New Roman" w:cs="Times New Roman"/>
        </w:rPr>
        <w:fldChar w:fldCharType="separate"/>
      </w:r>
      <w:r w:rsidR="00445CB6" w:rsidRPr="00445CB6">
        <w:rPr>
          <w:rFonts w:ascii="Times New Roman" w:hAnsi="Times New Roman" w:cs="Times New Roman"/>
        </w:rPr>
        <w:t>1000 Friends of Connecticut (2015), 'Connecticut Property Taxes 2015: Time for a Change', (1000 Friences Property Tax Work Group).</w:t>
      </w:r>
    </w:p>
    <w:p w14:paraId="481EC588" w14:textId="77777777" w:rsidR="00445CB6" w:rsidRPr="00445CB6" w:rsidRDefault="00445CB6" w:rsidP="00445CB6">
      <w:pPr>
        <w:pStyle w:val="EndNoteBibliography"/>
        <w:spacing w:after="0"/>
        <w:ind w:left="720" w:hanging="720"/>
        <w:jc w:val="both"/>
        <w:rPr>
          <w:rFonts w:ascii="Times New Roman" w:hAnsi="Times New Roman" w:cs="Times New Roman"/>
        </w:rPr>
      </w:pPr>
      <w:r w:rsidRPr="00445CB6">
        <w:rPr>
          <w:rFonts w:ascii="Times New Roman" w:hAnsi="Times New Roman" w:cs="Times New Roman"/>
        </w:rPr>
        <w:t xml:space="preserve">Collins, Catherine (2015), 'The shrinking personal property tax: State approaches to exempting business personal property from local property taxes', </w:t>
      </w:r>
      <w:r w:rsidRPr="00445CB6">
        <w:rPr>
          <w:rFonts w:ascii="Times New Roman" w:hAnsi="Times New Roman" w:cs="Times New Roman"/>
          <w:i/>
        </w:rPr>
        <w:t>Tax Management Weekly State Tax Report,</w:t>
      </w:r>
      <w:r w:rsidRPr="00445CB6">
        <w:rPr>
          <w:rFonts w:ascii="Times New Roman" w:hAnsi="Times New Roman" w:cs="Times New Roman"/>
        </w:rPr>
        <w:t xml:space="preserve"> WSTR 1/9/2015.</w:t>
      </w:r>
    </w:p>
    <w:p w14:paraId="364B0CA8" w14:textId="77777777" w:rsidR="00445CB6" w:rsidRPr="00445CB6" w:rsidRDefault="00445CB6" w:rsidP="00445CB6">
      <w:pPr>
        <w:pStyle w:val="EndNoteBibliography"/>
        <w:spacing w:after="0"/>
        <w:ind w:left="720" w:hanging="720"/>
        <w:jc w:val="both"/>
        <w:rPr>
          <w:rFonts w:ascii="Times New Roman" w:hAnsi="Times New Roman" w:cs="Times New Roman"/>
        </w:rPr>
      </w:pPr>
      <w:r w:rsidRPr="00445CB6">
        <w:rPr>
          <w:rFonts w:ascii="Times New Roman" w:hAnsi="Times New Roman" w:cs="Times New Roman"/>
        </w:rPr>
        <w:t xml:space="preserve">Collins, Catherine  and Langley, Adam (2014), 'Major Property Tax Developments in 2013: Special Report', </w:t>
      </w:r>
      <w:r w:rsidRPr="00445CB6">
        <w:rPr>
          <w:rFonts w:ascii="Times New Roman" w:hAnsi="Times New Roman" w:cs="Times New Roman"/>
          <w:i/>
        </w:rPr>
        <w:t>State Tax Notes,</w:t>
      </w:r>
      <w:r w:rsidRPr="00445CB6">
        <w:rPr>
          <w:rFonts w:ascii="Times New Roman" w:hAnsi="Times New Roman" w:cs="Times New Roman"/>
        </w:rPr>
        <w:t xml:space="preserve"> 5 (May), 287-96.</w:t>
      </w:r>
    </w:p>
    <w:p w14:paraId="0558B3FD" w14:textId="77777777" w:rsidR="00445CB6" w:rsidRPr="00445CB6" w:rsidRDefault="00445CB6" w:rsidP="00445CB6">
      <w:pPr>
        <w:pStyle w:val="EndNoteBibliography"/>
        <w:spacing w:after="0"/>
        <w:ind w:left="720" w:hanging="720"/>
        <w:jc w:val="both"/>
        <w:rPr>
          <w:rFonts w:ascii="Times New Roman" w:hAnsi="Times New Roman" w:cs="Times New Roman"/>
        </w:rPr>
      </w:pPr>
      <w:r w:rsidRPr="00445CB6">
        <w:rPr>
          <w:rFonts w:ascii="Times New Roman" w:hAnsi="Times New Roman" w:cs="Times New Roman"/>
        </w:rPr>
        <w:t xml:space="preserve">Cornia, Gary C. and Wheeler, Gloria E. (1999), 'The Personal Property Tax', in W. Barley Hildreth and James A. Richardson (eds.), </w:t>
      </w:r>
      <w:r w:rsidRPr="00445CB6">
        <w:rPr>
          <w:rFonts w:ascii="Times New Roman" w:hAnsi="Times New Roman" w:cs="Times New Roman"/>
          <w:i/>
        </w:rPr>
        <w:t>Handbook of Taxation</w:t>
      </w:r>
      <w:r w:rsidRPr="00445CB6">
        <w:rPr>
          <w:rFonts w:ascii="Times New Roman" w:hAnsi="Times New Roman" w:cs="Times New Roman"/>
        </w:rPr>
        <w:t xml:space="preserve"> (New York, NY: Marcel Dekker, Inc. ).</w:t>
      </w:r>
    </w:p>
    <w:p w14:paraId="67A40F28" w14:textId="77777777" w:rsidR="00445CB6" w:rsidRPr="00445CB6" w:rsidRDefault="00445CB6" w:rsidP="00445CB6">
      <w:pPr>
        <w:pStyle w:val="EndNoteBibliography"/>
        <w:spacing w:after="0"/>
        <w:ind w:left="720" w:hanging="720"/>
        <w:jc w:val="both"/>
        <w:rPr>
          <w:rFonts w:ascii="Times New Roman" w:hAnsi="Times New Roman" w:cs="Times New Roman"/>
        </w:rPr>
      </w:pPr>
      <w:r w:rsidRPr="00445CB6">
        <w:rPr>
          <w:rFonts w:ascii="Times New Roman" w:hAnsi="Times New Roman" w:cs="Times New Roman"/>
        </w:rPr>
        <w:t xml:space="preserve">Errecart, Joyce, Gerrish, Ed, and Drenkard, Scott (2012), 'States moving away from taxes on tangible personal property', </w:t>
      </w:r>
      <w:r w:rsidRPr="00445CB6">
        <w:rPr>
          <w:rFonts w:ascii="Times New Roman" w:hAnsi="Times New Roman" w:cs="Times New Roman"/>
          <w:i/>
        </w:rPr>
        <w:t>Background Paper No. 63</w:t>
      </w:r>
      <w:r w:rsidRPr="00445CB6">
        <w:rPr>
          <w:rFonts w:ascii="Times New Roman" w:hAnsi="Times New Roman" w:cs="Times New Roman"/>
        </w:rPr>
        <w:t xml:space="preserve"> (Washington, DC: Tax Foundation &amp; Foundation for Government Accountability).</w:t>
      </w:r>
    </w:p>
    <w:p w14:paraId="6FE8AA86" w14:textId="77777777" w:rsidR="00445CB6" w:rsidRPr="00445CB6" w:rsidRDefault="00445CB6" w:rsidP="00445CB6">
      <w:pPr>
        <w:pStyle w:val="EndNoteBibliography"/>
        <w:spacing w:after="0"/>
        <w:ind w:left="720" w:hanging="720"/>
        <w:jc w:val="both"/>
        <w:rPr>
          <w:rFonts w:ascii="Times New Roman" w:hAnsi="Times New Roman" w:cs="Times New Roman"/>
        </w:rPr>
      </w:pPr>
      <w:r w:rsidRPr="00445CB6">
        <w:rPr>
          <w:rFonts w:ascii="Times New Roman" w:hAnsi="Times New Roman" w:cs="Times New Roman"/>
        </w:rPr>
        <w:t xml:space="preserve">Fox, William F. (1981), 'An evaluation of metropolitan area tax base sharing: A comment', </w:t>
      </w:r>
      <w:r w:rsidRPr="00445CB6">
        <w:rPr>
          <w:rFonts w:ascii="Times New Roman" w:hAnsi="Times New Roman" w:cs="Times New Roman"/>
          <w:i/>
        </w:rPr>
        <w:t>National Tax Journal,</w:t>
      </w:r>
      <w:r w:rsidRPr="00445CB6">
        <w:rPr>
          <w:rFonts w:ascii="Times New Roman" w:hAnsi="Times New Roman" w:cs="Times New Roman"/>
        </w:rPr>
        <w:t xml:space="preserve"> 34 (2), 275-79.</w:t>
      </w:r>
    </w:p>
    <w:p w14:paraId="036F6706" w14:textId="77777777" w:rsidR="00445CB6" w:rsidRPr="00445CB6" w:rsidRDefault="00445CB6" w:rsidP="00445CB6">
      <w:pPr>
        <w:pStyle w:val="EndNoteBibliography"/>
        <w:spacing w:after="0"/>
        <w:ind w:left="720" w:hanging="720"/>
        <w:jc w:val="both"/>
        <w:rPr>
          <w:rFonts w:ascii="Times New Roman" w:hAnsi="Times New Roman" w:cs="Times New Roman"/>
        </w:rPr>
      </w:pPr>
      <w:r w:rsidRPr="00445CB6">
        <w:rPr>
          <w:rFonts w:ascii="Times New Roman" w:hAnsi="Times New Roman" w:cs="Times New Roman"/>
        </w:rPr>
        <w:t>Judicial Branch (2014), 'Glossary of Connecticut Property Law Terms', (Hartford, CT: Judicial Branch, State of Connecticut).</w:t>
      </w:r>
    </w:p>
    <w:p w14:paraId="3BEE0E1F" w14:textId="77777777" w:rsidR="00445CB6" w:rsidRPr="00445CB6" w:rsidRDefault="00445CB6" w:rsidP="00445CB6">
      <w:pPr>
        <w:pStyle w:val="EndNoteBibliography"/>
        <w:spacing w:after="0"/>
        <w:ind w:left="720" w:hanging="720"/>
        <w:jc w:val="both"/>
        <w:rPr>
          <w:rFonts w:ascii="Times New Roman" w:hAnsi="Times New Roman" w:cs="Times New Roman"/>
        </w:rPr>
      </w:pPr>
      <w:r w:rsidRPr="00445CB6">
        <w:rPr>
          <w:rFonts w:ascii="Times New Roman" w:hAnsi="Times New Roman" w:cs="Times New Roman"/>
        </w:rPr>
        <w:t xml:space="preserve">Ladd, Helen F. (1976), 'State-wide taxation of commercial and industrial property for education', </w:t>
      </w:r>
      <w:r w:rsidRPr="00445CB6">
        <w:rPr>
          <w:rFonts w:ascii="Times New Roman" w:hAnsi="Times New Roman" w:cs="Times New Roman"/>
          <w:i/>
        </w:rPr>
        <w:t>National Tax Journal,</w:t>
      </w:r>
      <w:r w:rsidRPr="00445CB6">
        <w:rPr>
          <w:rFonts w:ascii="Times New Roman" w:hAnsi="Times New Roman" w:cs="Times New Roman"/>
        </w:rPr>
        <w:t xml:space="preserve"> 29 (2), 143-53.</w:t>
      </w:r>
    </w:p>
    <w:p w14:paraId="482627E5" w14:textId="351AD908" w:rsidR="00445CB6" w:rsidRPr="00445CB6" w:rsidRDefault="00445CB6" w:rsidP="00BF3CF1">
      <w:pPr>
        <w:pStyle w:val="EndNoteBibliography"/>
        <w:spacing w:after="0"/>
        <w:ind w:left="720" w:hanging="720"/>
        <w:rPr>
          <w:rFonts w:ascii="Times New Roman" w:hAnsi="Times New Roman" w:cs="Times New Roman"/>
        </w:rPr>
      </w:pPr>
      <w:r w:rsidRPr="00445CB6">
        <w:rPr>
          <w:rFonts w:ascii="Times New Roman" w:hAnsi="Times New Roman" w:cs="Times New Roman"/>
        </w:rPr>
        <w:t xml:space="preserve">LILP/GWU (2015), 'Significant Features of the Property Tax: State Summaries', </w:t>
      </w:r>
      <w:r w:rsidRPr="00445CB6">
        <w:rPr>
          <w:rFonts w:ascii="Times New Roman" w:hAnsi="Times New Roman" w:cs="Times New Roman"/>
          <w:i/>
        </w:rPr>
        <w:t>Significant Features of the Property Tax</w:t>
      </w:r>
      <w:r w:rsidRPr="00445CB6">
        <w:rPr>
          <w:rFonts w:ascii="Times New Roman" w:hAnsi="Times New Roman" w:cs="Times New Roman"/>
        </w:rPr>
        <w:t xml:space="preserve"> &lt;</w:t>
      </w:r>
      <w:hyperlink r:id="rId17" w:history="1">
        <w:r w:rsidRPr="00445CB6">
          <w:rPr>
            <w:rStyle w:val="Hyperlink"/>
            <w:rFonts w:ascii="Times New Roman" w:hAnsi="Times New Roman" w:cs="Times New Roman"/>
          </w:rPr>
          <w:t>http://www.lincolninst.edu/subcenters/significant-features-property-tax/Report_State_Summaries.aspx&gt;</w:t>
        </w:r>
      </w:hyperlink>
      <w:r w:rsidRPr="00445CB6">
        <w:rPr>
          <w:rFonts w:ascii="Times New Roman" w:hAnsi="Times New Roman" w:cs="Times New Roman"/>
        </w:rPr>
        <w:t>, accessed October, 2015.</w:t>
      </w:r>
    </w:p>
    <w:p w14:paraId="4D04DC0E" w14:textId="77777777" w:rsidR="00445CB6" w:rsidRPr="00445CB6" w:rsidRDefault="00445CB6" w:rsidP="00445CB6">
      <w:pPr>
        <w:pStyle w:val="EndNoteBibliography"/>
        <w:spacing w:after="0"/>
        <w:ind w:left="720" w:hanging="720"/>
        <w:jc w:val="both"/>
        <w:rPr>
          <w:rFonts w:ascii="Times New Roman" w:hAnsi="Times New Roman" w:cs="Times New Roman"/>
        </w:rPr>
      </w:pPr>
      <w:r w:rsidRPr="00445CB6">
        <w:rPr>
          <w:rFonts w:ascii="Times New Roman" w:hAnsi="Times New Roman" w:cs="Times New Roman"/>
        </w:rPr>
        <w:t xml:space="preserve">LILP/MCFE (2015), </w:t>
      </w:r>
      <w:r w:rsidRPr="00445CB6">
        <w:rPr>
          <w:rFonts w:ascii="Times New Roman" w:hAnsi="Times New Roman" w:cs="Times New Roman"/>
          <w:i/>
        </w:rPr>
        <w:t>50-State Property Tax Comparison Study</w:t>
      </w:r>
      <w:r w:rsidRPr="00445CB6">
        <w:rPr>
          <w:rFonts w:ascii="Times New Roman" w:hAnsi="Times New Roman" w:cs="Times New Roman"/>
        </w:rPr>
        <w:t xml:space="preserve"> (Cambridge, MA; Saint Paul, MN: Lincoln Institute of Land Policy and Minnesota Center for Fiscal Excellence ).</w:t>
      </w:r>
    </w:p>
    <w:p w14:paraId="5B3FA653" w14:textId="02A96171" w:rsidR="00445CB6" w:rsidRPr="00445CB6" w:rsidRDefault="00445CB6" w:rsidP="00445CB6">
      <w:pPr>
        <w:pStyle w:val="EndNoteBibliography"/>
        <w:spacing w:after="0"/>
        <w:ind w:left="720" w:hanging="720"/>
        <w:jc w:val="both"/>
        <w:rPr>
          <w:rFonts w:ascii="Times New Roman" w:hAnsi="Times New Roman" w:cs="Times New Roman"/>
        </w:rPr>
      </w:pPr>
      <w:r w:rsidRPr="00445CB6">
        <w:rPr>
          <w:rFonts w:ascii="Times New Roman" w:hAnsi="Times New Roman" w:cs="Times New Roman"/>
        </w:rPr>
        <w:t>Lockhart, Brian (2015), 'Bridgeport working to catch tax scofflaws', (updated 21 February 2015) &lt;</w:t>
      </w:r>
      <w:hyperlink r:id="rId18" w:history="1">
        <w:r w:rsidRPr="00445CB6">
          <w:rPr>
            <w:rStyle w:val="Hyperlink"/>
            <w:rFonts w:ascii="Times New Roman" w:hAnsi="Times New Roman" w:cs="Times New Roman"/>
          </w:rPr>
          <w:t>http://www.ctpost.com/local/article/Bridgeport-working-to-catch-tax-scofflaws-6094594.php&gt;</w:t>
        </w:r>
      </w:hyperlink>
      <w:r w:rsidRPr="00445CB6">
        <w:rPr>
          <w:rFonts w:ascii="Times New Roman" w:hAnsi="Times New Roman" w:cs="Times New Roman"/>
        </w:rPr>
        <w:t>, accessed October, 2015.</w:t>
      </w:r>
    </w:p>
    <w:p w14:paraId="32B9A62F" w14:textId="77777777" w:rsidR="00445CB6" w:rsidRPr="00445CB6" w:rsidRDefault="00445CB6" w:rsidP="00445CB6">
      <w:pPr>
        <w:pStyle w:val="EndNoteBibliography"/>
        <w:spacing w:after="0"/>
        <w:ind w:left="720" w:hanging="720"/>
        <w:jc w:val="both"/>
        <w:rPr>
          <w:rFonts w:ascii="Times New Roman" w:hAnsi="Times New Roman" w:cs="Times New Roman"/>
        </w:rPr>
      </w:pPr>
      <w:r w:rsidRPr="00445CB6">
        <w:rPr>
          <w:rFonts w:ascii="Times New Roman" w:hAnsi="Times New Roman" w:cs="Times New Roman"/>
        </w:rPr>
        <w:t xml:space="preserve">Reschovsky, Andrew (1980), 'An evaluation of metropolitan area tax base sharing', </w:t>
      </w:r>
      <w:r w:rsidRPr="00445CB6">
        <w:rPr>
          <w:rFonts w:ascii="Times New Roman" w:hAnsi="Times New Roman" w:cs="Times New Roman"/>
          <w:i/>
        </w:rPr>
        <w:t>National Tax Journal,</w:t>
      </w:r>
      <w:r w:rsidRPr="00445CB6">
        <w:rPr>
          <w:rFonts w:ascii="Times New Roman" w:hAnsi="Times New Roman" w:cs="Times New Roman"/>
        </w:rPr>
        <w:t xml:space="preserve"> 33 (1), 55-66.</w:t>
      </w:r>
    </w:p>
    <w:p w14:paraId="15E7A803" w14:textId="77777777" w:rsidR="00445CB6" w:rsidRPr="00445CB6" w:rsidRDefault="00445CB6" w:rsidP="00445CB6">
      <w:pPr>
        <w:pStyle w:val="EndNoteBibliography"/>
        <w:spacing w:after="0"/>
        <w:ind w:left="720" w:hanging="720"/>
        <w:jc w:val="both"/>
        <w:rPr>
          <w:rFonts w:ascii="Times New Roman" w:hAnsi="Times New Roman" w:cs="Times New Roman"/>
        </w:rPr>
      </w:pPr>
      <w:r w:rsidRPr="00445CB6">
        <w:rPr>
          <w:rFonts w:ascii="Times New Roman" w:hAnsi="Times New Roman" w:cs="Times New Roman"/>
        </w:rPr>
        <w:t xml:space="preserve">Stark, Kirk J. (1992), 'Rethinking statewide taxation of nonresidential property for public schools', </w:t>
      </w:r>
      <w:r w:rsidRPr="00445CB6">
        <w:rPr>
          <w:rFonts w:ascii="Times New Roman" w:hAnsi="Times New Roman" w:cs="Times New Roman"/>
          <w:i/>
        </w:rPr>
        <w:t>Yale Law Journal,</w:t>
      </w:r>
      <w:r w:rsidRPr="00445CB6">
        <w:rPr>
          <w:rFonts w:ascii="Times New Roman" w:hAnsi="Times New Roman" w:cs="Times New Roman"/>
        </w:rPr>
        <w:t xml:space="preserve"> 102 (3), 805-34.</w:t>
      </w:r>
    </w:p>
    <w:p w14:paraId="75165B3B" w14:textId="77777777" w:rsidR="00445CB6" w:rsidRPr="00445CB6" w:rsidRDefault="00445CB6" w:rsidP="00445CB6">
      <w:pPr>
        <w:pStyle w:val="EndNoteBibliography"/>
        <w:ind w:left="720" w:hanging="720"/>
        <w:jc w:val="both"/>
        <w:rPr>
          <w:rFonts w:ascii="Times New Roman" w:hAnsi="Times New Roman" w:cs="Times New Roman"/>
        </w:rPr>
      </w:pPr>
      <w:r w:rsidRPr="00445CB6">
        <w:rPr>
          <w:rFonts w:ascii="Times New Roman" w:hAnsi="Times New Roman" w:cs="Times New Roman"/>
        </w:rPr>
        <w:t xml:space="preserve">US Census Bureau (1992), </w:t>
      </w:r>
      <w:r w:rsidRPr="00445CB6">
        <w:rPr>
          <w:rFonts w:ascii="Times New Roman" w:hAnsi="Times New Roman" w:cs="Times New Roman"/>
          <w:i/>
        </w:rPr>
        <w:t>Census of Governments</w:t>
      </w:r>
      <w:r w:rsidRPr="00445CB6">
        <w:rPr>
          <w:rFonts w:ascii="Times New Roman" w:hAnsi="Times New Roman" w:cs="Times New Roman"/>
        </w:rPr>
        <w:t xml:space="preserve"> (2; Washington, DC: US Census Bureau).</w:t>
      </w:r>
    </w:p>
    <w:p w14:paraId="0E476BAC" w14:textId="1B6E2A19" w:rsidR="00E25B74" w:rsidRPr="00445CB6" w:rsidRDefault="00C410CF" w:rsidP="00445CB6">
      <w:pPr>
        <w:ind w:left="720" w:hanging="720"/>
        <w:jc w:val="both"/>
        <w:rPr>
          <w:rFonts w:ascii="Times New Roman" w:hAnsi="Times New Roman" w:cs="Times New Roman"/>
        </w:rPr>
      </w:pPr>
      <w:r w:rsidRPr="00445CB6">
        <w:rPr>
          <w:rFonts w:ascii="Times New Roman" w:hAnsi="Times New Roman" w:cs="Times New Roman"/>
        </w:rPr>
        <w:fldChar w:fldCharType="end"/>
      </w:r>
    </w:p>
    <w:sectPr w:rsidR="00E25B74" w:rsidRPr="00445CB6" w:rsidSect="0011167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F629A" w14:textId="77777777" w:rsidR="00B37ECD" w:rsidRDefault="00B37ECD" w:rsidP="00651AEF">
      <w:pPr>
        <w:spacing w:after="0" w:line="240" w:lineRule="auto"/>
      </w:pPr>
      <w:r>
        <w:separator/>
      </w:r>
    </w:p>
  </w:endnote>
  <w:endnote w:type="continuationSeparator" w:id="0">
    <w:p w14:paraId="2262D146" w14:textId="77777777" w:rsidR="00B37ECD" w:rsidRDefault="00B37ECD" w:rsidP="00651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429926"/>
      <w:docPartObj>
        <w:docPartGallery w:val="Page Numbers (Bottom of Page)"/>
        <w:docPartUnique/>
      </w:docPartObj>
    </w:sdtPr>
    <w:sdtEndPr>
      <w:rPr>
        <w:noProof/>
      </w:rPr>
    </w:sdtEndPr>
    <w:sdtContent>
      <w:p w14:paraId="2852F048" w14:textId="641C8AED" w:rsidR="00DA1A90" w:rsidRDefault="00DA1A90">
        <w:pPr>
          <w:pStyle w:val="Footer"/>
          <w:jc w:val="center"/>
        </w:pPr>
        <w:r>
          <w:fldChar w:fldCharType="begin"/>
        </w:r>
        <w:r>
          <w:instrText xml:space="preserve"> PAGE   \* MERGEFORMAT </w:instrText>
        </w:r>
        <w:r>
          <w:fldChar w:fldCharType="separate"/>
        </w:r>
        <w:r w:rsidR="00B224A7">
          <w:rPr>
            <w:noProof/>
          </w:rPr>
          <w:t>ii</w:t>
        </w:r>
        <w:r>
          <w:rPr>
            <w:noProof/>
          </w:rPr>
          <w:fldChar w:fldCharType="end"/>
        </w:r>
      </w:p>
    </w:sdtContent>
  </w:sdt>
  <w:p w14:paraId="55F7A20A" w14:textId="77777777" w:rsidR="00DA1A90" w:rsidRDefault="00DA1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3B910" w14:textId="77777777" w:rsidR="00B37ECD" w:rsidRDefault="00B37ECD" w:rsidP="00651AEF">
      <w:pPr>
        <w:spacing w:after="0" w:line="240" w:lineRule="auto"/>
      </w:pPr>
      <w:r>
        <w:separator/>
      </w:r>
    </w:p>
  </w:footnote>
  <w:footnote w:type="continuationSeparator" w:id="0">
    <w:p w14:paraId="186E62FF" w14:textId="77777777" w:rsidR="00B37ECD" w:rsidRDefault="00B37ECD" w:rsidP="00651AEF">
      <w:pPr>
        <w:spacing w:after="0" w:line="240" w:lineRule="auto"/>
      </w:pPr>
      <w:r>
        <w:continuationSeparator/>
      </w:r>
    </w:p>
  </w:footnote>
  <w:footnote w:id="1">
    <w:p w14:paraId="0AD68C7E" w14:textId="759370D0" w:rsidR="00DA1A90" w:rsidRPr="00E17BE4" w:rsidRDefault="00DA1A90" w:rsidP="00E17BE4">
      <w:pPr>
        <w:pStyle w:val="FootnoteText"/>
        <w:jc w:val="both"/>
        <w:rPr>
          <w:rFonts w:ascii="Times New Roman" w:hAnsi="Times New Roman" w:cs="Times New Roman"/>
        </w:rPr>
      </w:pPr>
      <w:r w:rsidRPr="00E17BE4">
        <w:rPr>
          <w:rStyle w:val="FootnoteReference"/>
          <w:rFonts w:ascii="Times New Roman" w:hAnsi="Times New Roman" w:cs="Times New Roman"/>
        </w:rPr>
        <w:footnoteRef/>
      </w:r>
      <w:r w:rsidRPr="00E17BE4">
        <w:rPr>
          <w:rFonts w:ascii="Times New Roman" w:hAnsi="Times New Roman" w:cs="Times New Roman"/>
        </w:rPr>
        <w:t xml:space="preserve"> It is worth noting that the US Census Bureau no longer reports data on the make-up of the property tax base in each state. As a result the best available information is found in the Lincoln Institute of Land Policy/George Washington University database </w:t>
      </w:r>
      <w:r w:rsidRPr="00E17BE4">
        <w:rPr>
          <w:rFonts w:ascii="Times New Roman" w:hAnsi="Times New Roman" w:cs="Times New Roman"/>
          <w:i/>
        </w:rPr>
        <w:t>Significant Features of the Property Tax.</w:t>
      </w:r>
      <w:r w:rsidRPr="00E17BE4">
        <w:rPr>
          <w:rFonts w:ascii="Times New Roman" w:hAnsi="Times New Roman" w:cs="Times New Roman"/>
        </w:rPr>
        <w:t xml:space="preserve"> Because the Lincoln Institute/George Washington </w:t>
      </w:r>
      <w:r>
        <w:rPr>
          <w:rFonts w:ascii="Times New Roman" w:hAnsi="Times New Roman" w:cs="Times New Roman"/>
        </w:rPr>
        <w:t>data are</w:t>
      </w:r>
      <w:r w:rsidRPr="00E17BE4">
        <w:rPr>
          <w:rFonts w:ascii="Times New Roman" w:hAnsi="Times New Roman" w:cs="Times New Roman"/>
        </w:rPr>
        <w:t xml:space="preserve"> self-reported</w:t>
      </w:r>
      <w:r>
        <w:rPr>
          <w:rFonts w:ascii="Times New Roman" w:hAnsi="Times New Roman" w:cs="Times New Roman"/>
        </w:rPr>
        <w:t>,</w:t>
      </w:r>
      <w:r w:rsidRPr="00E17BE4">
        <w:rPr>
          <w:rFonts w:ascii="Times New Roman" w:hAnsi="Times New Roman" w:cs="Times New Roman"/>
        </w:rPr>
        <w:t xml:space="preserve"> definitions may not be completely consistent across states. </w:t>
      </w:r>
    </w:p>
  </w:footnote>
  <w:footnote w:id="2">
    <w:p w14:paraId="3781F7D0" w14:textId="44F25065" w:rsidR="00DA1A90" w:rsidRPr="001658A7" w:rsidRDefault="00DA1A90">
      <w:pPr>
        <w:pStyle w:val="FootnoteText"/>
        <w:rPr>
          <w:rFonts w:ascii="Times New Roman" w:hAnsi="Times New Roman" w:cs="Times New Roman"/>
        </w:rPr>
      </w:pPr>
      <w:r>
        <w:rPr>
          <w:rStyle w:val="FootnoteReference"/>
        </w:rPr>
        <w:footnoteRef/>
      </w:r>
      <w:r>
        <w:t xml:space="preserve"> </w:t>
      </w:r>
      <w:r w:rsidRPr="001658A7">
        <w:rPr>
          <w:rFonts w:ascii="Times New Roman" w:hAnsi="Times New Roman" w:cs="Times New Roman"/>
        </w:rPr>
        <w:t>Horses and ponies are subject to a $1000 exemption per animal</w:t>
      </w:r>
    </w:p>
  </w:footnote>
  <w:footnote w:id="3">
    <w:p w14:paraId="39C1D7D8" w14:textId="03FCA50C" w:rsidR="00DA1A90" w:rsidRPr="001658A7" w:rsidRDefault="00DA1A90">
      <w:pPr>
        <w:pStyle w:val="FootnoteText"/>
        <w:rPr>
          <w:rFonts w:ascii="Times New Roman" w:hAnsi="Times New Roman" w:cs="Times New Roman"/>
        </w:rPr>
      </w:pPr>
      <w:r w:rsidRPr="001658A7">
        <w:rPr>
          <w:rStyle w:val="FootnoteReference"/>
          <w:rFonts w:ascii="Times New Roman" w:hAnsi="Times New Roman" w:cs="Times New Roman"/>
        </w:rPr>
        <w:footnoteRef/>
      </w:r>
      <w:r w:rsidRPr="001658A7">
        <w:rPr>
          <w:rFonts w:ascii="Times New Roman" w:hAnsi="Times New Roman" w:cs="Times New Roman"/>
        </w:rPr>
        <w:t xml:space="preserve"> $500 exemption applied</w:t>
      </w:r>
    </w:p>
  </w:footnote>
  <w:footnote w:id="4">
    <w:p w14:paraId="58E10EC2" w14:textId="54E3CA31" w:rsidR="00DA1A90" w:rsidRDefault="00DA1A90">
      <w:pPr>
        <w:pStyle w:val="FootnoteText"/>
      </w:pPr>
      <w:r w:rsidRPr="001658A7">
        <w:rPr>
          <w:rStyle w:val="FootnoteReference"/>
          <w:rFonts w:ascii="Times New Roman" w:hAnsi="Times New Roman" w:cs="Times New Roman"/>
        </w:rPr>
        <w:footnoteRef/>
      </w:r>
      <w:r w:rsidRPr="001658A7">
        <w:rPr>
          <w:rFonts w:ascii="Times New Roman" w:hAnsi="Times New Roman" w:cs="Times New Roman"/>
        </w:rPr>
        <w:t xml:space="preserve"> Including bundled software</w:t>
      </w:r>
    </w:p>
  </w:footnote>
  <w:footnote w:id="5">
    <w:p w14:paraId="346AE10E" w14:textId="77777777" w:rsidR="00DA1A90" w:rsidRPr="0051013C" w:rsidRDefault="00DA1A90" w:rsidP="0051013C">
      <w:pPr>
        <w:pStyle w:val="FootnoteText"/>
        <w:jc w:val="both"/>
        <w:rPr>
          <w:rFonts w:ascii="Times New Roman" w:hAnsi="Times New Roman" w:cs="Times New Roman"/>
        </w:rPr>
      </w:pPr>
      <w:r>
        <w:rPr>
          <w:rStyle w:val="FootnoteReference"/>
        </w:rPr>
        <w:footnoteRef/>
      </w:r>
      <w:r>
        <w:t xml:space="preserve"> </w:t>
      </w:r>
      <w:r w:rsidRPr="0051013C">
        <w:rPr>
          <w:rFonts w:ascii="Times New Roman" w:hAnsi="Times New Roman" w:cs="Times New Roman"/>
        </w:rPr>
        <w:t>A mill rate expresses the tax as a rate per $1,000 of value. Thus a mill rate of 25.0 applied to a base of $10,000 would result in a tax obligation of 25.0 X 10, or $250.</w:t>
      </w:r>
    </w:p>
  </w:footnote>
  <w:footnote w:id="6">
    <w:p w14:paraId="38C1BBD8" w14:textId="067E5268" w:rsidR="00DA1A90" w:rsidRDefault="00DA1A90">
      <w:pPr>
        <w:pStyle w:val="FootnoteText"/>
      </w:pPr>
      <w:r>
        <w:rPr>
          <w:rStyle w:val="FootnoteReference"/>
        </w:rPr>
        <w:footnoteRef/>
      </w:r>
      <w:r>
        <w:t xml:space="preserve"> </w:t>
      </w:r>
      <w:r w:rsidRPr="0051013C">
        <w:rPr>
          <w:rFonts w:ascii="Times New Roman" w:hAnsi="Times New Roman" w:cs="Times New Roman"/>
        </w:rPr>
        <w:t xml:space="preserve">The jurisdictions included were Bloomfield, Fairfield, Greenwich, Groton, Hartford, Killingly, </w:t>
      </w:r>
      <w:r w:rsidR="00F263C3">
        <w:rPr>
          <w:rFonts w:ascii="Times New Roman" w:hAnsi="Times New Roman" w:cs="Times New Roman"/>
        </w:rPr>
        <w:t xml:space="preserve">Middletown, </w:t>
      </w:r>
      <w:r w:rsidRPr="0051013C">
        <w:rPr>
          <w:rFonts w:ascii="Times New Roman" w:hAnsi="Times New Roman" w:cs="Times New Roman"/>
        </w:rPr>
        <w:t>Montville, Norwich, Stamford, Waterford, West Hartford, and Windsor.</w:t>
      </w:r>
    </w:p>
  </w:footnote>
  <w:footnote w:id="7">
    <w:p w14:paraId="4A0D4D52" w14:textId="1210EF18" w:rsidR="00DA1A90" w:rsidRDefault="00DA1A90" w:rsidP="00FE0582">
      <w:pPr>
        <w:pStyle w:val="FootnoteText"/>
        <w:jc w:val="both"/>
      </w:pPr>
      <w:r>
        <w:rPr>
          <w:rStyle w:val="FootnoteReference"/>
        </w:rPr>
        <w:footnoteRef/>
      </w:r>
      <w:r>
        <w:t xml:space="preserve"> </w:t>
      </w:r>
      <w:r w:rsidRPr="00FE0582">
        <w:rPr>
          <w:rFonts w:ascii="Times New Roman" w:hAnsi="Times New Roman" w:cs="Times New Roman"/>
        </w:rPr>
        <w:t>The effective tax rate is calculated by dividing the tax due by the total market value of the property being taxed. Thus it adjusts for differences in assessment ratios and nominal rates to produce a rate that is more comparable across states.</w:t>
      </w:r>
      <w:r>
        <w:t xml:space="preserve"> </w:t>
      </w:r>
    </w:p>
  </w:footnote>
  <w:footnote w:id="8">
    <w:p w14:paraId="01AE19A2" w14:textId="77777777" w:rsidR="00DA1A90" w:rsidRPr="00FB33D9" w:rsidRDefault="00DA1A90" w:rsidP="00930405">
      <w:pPr>
        <w:pStyle w:val="FootnoteText"/>
        <w:rPr>
          <w:rFonts w:ascii="Times New Roman" w:hAnsi="Times New Roman" w:cs="Times New Roman"/>
        </w:rPr>
      </w:pPr>
      <w:r w:rsidRPr="00FB33D9">
        <w:rPr>
          <w:rStyle w:val="FootnoteReference"/>
          <w:rFonts w:ascii="Times New Roman" w:hAnsi="Times New Roman" w:cs="Times New Roman"/>
        </w:rPr>
        <w:footnoteRef/>
      </w:r>
      <w:r w:rsidRPr="00FB33D9">
        <w:rPr>
          <w:rFonts w:ascii="Times New Roman" w:hAnsi="Times New Roman" w:cs="Times New Roman"/>
        </w:rPr>
        <w:t xml:space="preserve"> Quintile means would likely vary somewhat but the overall width of the distribution would not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45273"/>
    <w:multiLevelType w:val="hybridMultilevel"/>
    <w:tmpl w:val="2CAE8A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A70D8"/>
    <w:multiLevelType w:val="hybridMultilevel"/>
    <w:tmpl w:val="3782C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31869"/>
    <w:multiLevelType w:val="hybridMultilevel"/>
    <w:tmpl w:val="2F46F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A7CA1"/>
    <w:multiLevelType w:val="hybridMultilevel"/>
    <w:tmpl w:val="0348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67207"/>
    <w:multiLevelType w:val="hybridMultilevel"/>
    <w:tmpl w:val="138A026A"/>
    <w:lvl w:ilvl="0" w:tplc="EB74789A">
      <w:start w:val="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82267"/>
    <w:multiLevelType w:val="hybridMultilevel"/>
    <w:tmpl w:val="986038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B6004E"/>
    <w:multiLevelType w:val="hybridMultilevel"/>
    <w:tmpl w:val="51685414"/>
    <w:lvl w:ilvl="0" w:tplc="C8A265D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358A35D0"/>
    <w:multiLevelType w:val="hybridMultilevel"/>
    <w:tmpl w:val="35322F68"/>
    <w:lvl w:ilvl="0" w:tplc="8F0658C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6E674F"/>
    <w:multiLevelType w:val="hybridMultilevel"/>
    <w:tmpl w:val="AED0DF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976457"/>
    <w:multiLevelType w:val="hybridMultilevel"/>
    <w:tmpl w:val="F076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9F652F"/>
    <w:multiLevelType w:val="hybridMultilevel"/>
    <w:tmpl w:val="EC2CFE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0701AC"/>
    <w:multiLevelType w:val="hybridMultilevel"/>
    <w:tmpl w:val="C2BAF3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D37C93"/>
    <w:multiLevelType w:val="hybridMultilevel"/>
    <w:tmpl w:val="A3A22784"/>
    <w:lvl w:ilvl="0" w:tplc="BFA6C8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FA2791"/>
    <w:multiLevelType w:val="hybridMultilevel"/>
    <w:tmpl w:val="D52CB2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984303"/>
    <w:multiLevelType w:val="hybridMultilevel"/>
    <w:tmpl w:val="BED8FA38"/>
    <w:lvl w:ilvl="0" w:tplc="B8E831B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CC551A"/>
    <w:multiLevelType w:val="hybridMultilevel"/>
    <w:tmpl w:val="DF2AC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704D4E"/>
    <w:multiLevelType w:val="hybridMultilevel"/>
    <w:tmpl w:val="4E3222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CE15EF"/>
    <w:multiLevelType w:val="hybridMultilevel"/>
    <w:tmpl w:val="AED0DF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77372B"/>
    <w:multiLevelType w:val="hybridMultilevel"/>
    <w:tmpl w:val="F5DC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497146"/>
    <w:multiLevelType w:val="hybridMultilevel"/>
    <w:tmpl w:val="39E0B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9"/>
  </w:num>
  <w:num w:numId="4">
    <w:abstractNumId w:val="13"/>
  </w:num>
  <w:num w:numId="5">
    <w:abstractNumId w:val="0"/>
  </w:num>
  <w:num w:numId="6">
    <w:abstractNumId w:val="17"/>
  </w:num>
  <w:num w:numId="7">
    <w:abstractNumId w:val="8"/>
  </w:num>
  <w:num w:numId="8">
    <w:abstractNumId w:val="3"/>
  </w:num>
  <w:num w:numId="9">
    <w:abstractNumId w:val="12"/>
  </w:num>
  <w:num w:numId="10">
    <w:abstractNumId w:val="10"/>
  </w:num>
  <w:num w:numId="11">
    <w:abstractNumId w:val="16"/>
  </w:num>
  <w:num w:numId="12">
    <w:abstractNumId w:val="2"/>
  </w:num>
  <w:num w:numId="13">
    <w:abstractNumId w:val="1"/>
  </w:num>
  <w:num w:numId="14">
    <w:abstractNumId w:val="7"/>
  </w:num>
  <w:num w:numId="15">
    <w:abstractNumId w:val="6"/>
  </w:num>
  <w:num w:numId="16">
    <w:abstractNumId w:val="18"/>
  </w:num>
  <w:num w:numId="17">
    <w:abstractNumId w:val="4"/>
  </w:num>
  <w:num w:numId="18">
    <w:abstractNumId w:val="9"/>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xford-Author 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fsrp25rfad5tverv0kv2ztwvdrzzzda2pwp&quot;&gt;CT PP&lt;record-ids&gt;&lt;item&gt;1&lt;/item&gt;&lt;item&gt;2&lt;/item&gt;&lt;item&gt;6&lt;/item&gt;&lt;item&gt;18&lt;/item&gt;&lt;item&gt;22&lt;/item&gt;&lt;item&gt;23&lt;/item&gt;&lt;item&gt;24&lt;/item&gt;&lt;item&gt;25&lt;/item&gt;&lt;item&gt;26&lt;/item&gt;&lt;item&gt;27&lt;/item&gt;&lt;item&gt;28&lt;/item&gt;&lt;item&gt;29&lt;/item&gt;&lt;item&gt;30&lt;/item&gt;&lt;item&gt;31&lt;/item&gt;&lt;/record-ids&gt;&lt;/item&gt;&lt;/Libraries&gt;"/>
  </w:docVars>
  <w:rsids>
    <w:rsidRoot w:val="00FB4DF4"/>
    <w:rsid w:val="00002D2F"/>
    <w:rsid w:val="00007AEC"/>
    <w:rsid w:val="000115DC"/>
    <w:rsid w:val="00011744"/>
    <w:rsid w:val="000165C2"/>
    <w:rsid w:val="0002171E"/>
    <w:rsid w:val="00026BDB"/>
    <w:rsid w:val="00026E28"/>
    <w:rsid w:val="00040927"/>
    <w:rsid w:val="00040CCA"/>
    <w:rsid w:val="00042944"/>
    <w:rsid w:val="00052443"/>
    <w:rsid w:val="00052CA7"/>
    <w:rsid w:val="00056E56"/>
    <w:rsid w:val="00060735"/>
    <w:rsid w:val="00062477"/>
    <w:rsid w:val="00064492"/>
    <w:rsid w:val="00065365"/>
    <w:rsid w:val="00066686"/>
    <w:rsid w:val="000707F1"/>
    <w:rsid w:val="000708E2"/>
    <w:rsid w:val="00074109"/>
    <w:rsid w:val="00075E94"/>
    <w:rsid w:val="000803D1"/>
    <w:rsid w:val="000805B1"/>
    <w:rsid w:val="00080E4F"/>
    <w:rsid w:val="00081D7C"/>
    <w:rsid w:val="000821E8"/>
    <w:rsid w:val="0008319E"/>
    <w:rsid w:val="00083AF2"/>
    <w:rsid w:val="000840CF"/>
    <w:rsid w:val="0008754F"/>
    <w:rsid w:val="0009024B"/>
    <w:rsid w:val="00090BEF"/>
    <w:rsid w:val="00091D74"/>
    <w:rsid w:val="00092587"/>
    <w:rsid w:val="00092FD1"/>
    <w:rsid w:val="0009418A"/>
    <w:rsid w:val="000973FF"/>
    <w:rsid w:val="000A338D"/>
    <w:rsid w:val="000A34E7"/>
    <w:rsid w:val="000A582A"/>
    <w:rsid w:val="000B484E"/>
    <w:rsid w:val="000B7C32"/>
    <w:rsid w:val="000C0A1B"/>
    <w:rsid w:val="000C14AB"/>
    <w:rsid w:val="000C2577"/>
    <w:rsid w:val="000C354D"/>
    <w:rsid w:val="000C49FC"/>
    <w:rsid w:val="000C4E19"/>
    <w:rsid w:val="000C564F"/>
    <w:rsid w:val="000C660E"/>
    <w:rsid w:val="000D35F0"/>
    <w:rsid w:val="000D40C6"/>
    <w:rsid w:val="000D44BE"/>
    <w:rsid w:val="000D6AF6"/>
    <w:rsid w:val="000D6B6D"/>
    <w:rsid w:val="000E0E3F"/>
    <w:rsid w:val="000E11B0"/>
    <w:rsid w:val="000E3380"/>
    <w:rsid w:val="000E3D9D"/>
    <w:rsid w:val="000E5074"/>
    <w:rsid w:val="000F1874"/>
    <w:rsid w:val="000F2E2B"/>
    <w:rsid w:val="000F670C"/>
    <w:rsid w:val="000F7F55"/>
    <w:rsid w:val="0010311E"/>
    <w:rsid w:val="00105517"/>
    <w:rsid w:val="00111673"/>
    <w:rsid w:val="00113B7A"/>
    <w:rsid w:val="0011550A"/>
    <w:rsid w:val="001212E5"/>
    <w:rsid w:val="001218EE"/>
    <w:rsid w:val="0012427D"/>
    <w:rsid w:val="00127A8C"/>
    <w:rsid w:val="001307E9"/>
    <w:rsid w:val="001331DD"/>
    <w:rsid w:val="00153CD1"/>
    <w:rsid w:val="00155B7E"/>
    <w:rsid w:val="001609D8"/>
    <w:rsid w:val="00160CC4"/>
    <w:rsid w:val="00161781"/>
    <w:rsid w:val="001638D7"/>
    <w:rsid w:val="00164E6E"/>
    <w:rsid w:val="00165719"/>
    <w:rsid w:val="001658A7"/>
    <w:rsid w:val="00171C82"/>
    <w:rsid w:val="00175031"/>
    <w:rsid w:val="001759EC"/>
    <w:rsid w:val="0017790A"/>
    <w:rsid w:val="00184D09"/>
    <w:rsid w:val="00186A57"/>
    <w:rsid w:val="00187D99"/>
    <w:rsid w:val="0019079D"/>
    <w:rsid w:val="001934E7"/>
    <w:rsid w:val="00197AC9"/>
    <w:rsid w:val="00197C6A"/>
    <w:rsid w:val="001A1510"/>
    <w:rsid w:val="001A7936"/>
    <w:rsid w:val="001B0E00"/>
    <w:rsid w:val="001B28B7"/>
    <w:rsid w:val="001C69F2"/>
    <w:rsid w:val="001D22C4"/>
    <w:rsid w:val="001D24E5"/>
    <w:rsid w:val="001D32AA"/>
    <w:rsid w:val="001D42A8"/>
    <w:rsid w:val="001D4F39"/>
    <w:rsid w:val="001E2105"/>
    <w:rsid w:val="001E4A20"/>
    <w:rsid w:val="001E5DAD"/>
    <w:rsid w:val="001E73ED"/>
    <w:rsid w:val="001E768B"/>
    <w:rsid w:val="001F2735"/>
    <w:rsid w:val="001F5346"/>
    <w:rsid w:val="001F54A3"/>
    <w:rsid w:val="001F639C"/>
    <w:rsid w:val="001F6D7E"/>
    <w:rsid w:val="002007CE"/>
    <w:rsid w:val="00201B75"/>
    <w:rsid w:val="00201FA9"/>
    <w:rsid w:val="00210C88"/>
    <w:rsid w:val="0021793B"/>
    <w:rsid w:val="00220202"/>
    <w:rsid w:val="0022238D"/>
    <w:rsid w:val="00233138"/>
    <w:rsid w:val="00233C57"/>
    <w:rsid w:val="00235741"/>
    <w:rsid w:val="0023706A"/>
    <w:rsid w:val="00237D8C"/>
    <w:rsid w:val="00243790"/>
    <w:rsid w:val="0024499F"/>
    <w:rsid w:val="00246D01"/>
    <w:rsid w:val="00255A14"/>
    <w:rsid w:val="00256879"/>
    <w:rsid w:val="00264181"/>
    <w:rsid w:val="0026518D"/>
    <w:rsid w:val="002660E2"/>
    <w:rsid w:val="00267506"/>
    <w:rsid w:val="002702EC"/>
    <w:rsid w:val="00270D10"/>
    <w:rsid w:val="0027261F"/>
    <w:rsid w:val="00274373"/>
    <w:rsid w:val="00276205"/>
    <w:rsid w:val="00286B9B"/>
    <w:rsid w:val="00293126"/>
    <w:rsid w:val="002940CD"/>
    <w:rsid w:val="002A4119"/>
    <w:rsid w:val="002A6763"/>
    <w:rsid w:val="002A77EF"/>
    <w:rsid w:val="002A7A7C"/>
    <w:rsid w:val="002B1100"/>
    <w:rsid w:val="002B1C51"/>
    <w:rsid w:val="002B1F71"/>
    <w:rsid w:val="002B24DB"/>
    <w:rsid w:val="002B41C8"/>
    <w:rsid w:val="002B4D75"/>
    <w:rsid w:val="002C61F7"/>
    <w:rsid w:val="002D48AD"/>
    <w:rsid w:val="002E188B"/>
    <w:rsid w:val="002E6603"/>
    <w:rsid w:val="002F46A4"/>
    <w:rsid w:val="00300937"/>
    <w:rsid w:val="00301929"/>
    <w:rsid w:val="003046CE"/>
    <w:rsid w:val="0030580F"/>
    <w:rsid w:val="00307972"/>
    <w:rsid w:val="00312FEB"/>
    <w:rsid w:val="003132B5"/>
    <w:rsid w:val="00317F6F"/>
    <w:rsid w:val="00331A35"/>
    <w:rsid w:val="003326E4"/>
    <w:rsid w:val="00334468"/>
    <w:rsid w:val="003355FE"/>
    <w:rsid w:val="00336E50"/>
    <w:rsid w:val="00337304"/>
    <w:rsid w:val="003376C6"/>
    <w:rsid w:val="00344F63"/>
    <w:rsid w:val="00350A99"/>
    <w:rsid w:val="00353EF7"/>
    <w:rsid w:val="0035611C"/>
    <w:rsid w:val="003610DA"/>
    <w:rsid w:val="0036162D"/>
    <w:rsid w:val="00364C1B"/>
    <w:rsid w:val="00364F39"/>
    <w:rsid w:val="00371AB9"/>
    <w:rsid w:val="003720D6"/>
    <w:rsid w:val="0037218F"/>
    <w:rsid w:val="0037627D"/>
    <w:rsid w:val="00382500"/>
    <w:rsid w:val="0038396D"/>
    <w:rsid w:val="0039048F"/>
    <w:rsid w:val="003904B9"/>
    <w:rsid w:val="00390B66"/>
    <w:rsid w:val="00392211"/>
    <w:rsid w:val="00393800"/>
    <w:rsid w:val="003A593A"/>
    <w:rsid w:val="003A769F"/>
    <w:rsid w:val="003A7BA7"/>
    <w:rsid w:val="003B0FF3"/>
    <w:rsid w:val="003B3580"/>
    <w:rsid w:val="003B3616"/>
    <w:rsid w:val="003B3EC5"/>
    <w:rsid w:val="003B7273"/>
    <w:rsid w:val="003C2BF8"/>
    <w:rsid w:val="003C6198"/>
    <w:rsid w:val="003C64EB"/>
    <w:rsid w:val="003D029D"/>
    <w:rsid w:val="003D2A52"/>
    <w:rsid w:val="003D3480"/>
    <w:rsid w:val="003D478B"/>
    <w:rsid w:val="003D5E4F"/>
    <w:rsid w:val="003E59AB"/>
    <w:rsid w:val="003E6241"/>
    <w:rsid w:val="003E6978"/>
    <w:rsid w:val="003E7161"/>
    <w:rsid w:val="003E75F2"/>
    <w:rsid w:val="003F027A"/>
    <w:rsid w:val="003F2991"/>
    <w:rsid w:val="003F2B1B"/>
    <w:rsid w:val="003F54A0"/>
    <w:rsid w:val="003F608B"/>
    <w:rsid w:val="003F6EBA"/>
    <w:rsid w:val="00400335"/>
    <w:rsid w:val="004010EA"/>
    <w:rsid w:val="00401E3C"/>
    <w:rsid w:val="0040386B"/>
    <w:rsid w:val="00403E2E"/>
    <w:rsid w:val="00406400"/>
    <w:rsid w:val="00407B66"/>
    <w:rsid w:val="004117F4"/>
    <w:rsid w:val="0041756C"/>
    <w:rsid w:val="004177A8"/>
    <w:rsid w:val="00420932"/>
    <w:rsid w:val="00420E1D"/>
    <w:rsid w:val="00422D84"/>
    <w:rsid w:val="00425BC4"/>
    <w:rsid w:val="004308FF"/>
    <w:rsid w:val="00431C58"/>
    <w:rsid w:val="004354A1"/>
    <w:rsid w:val="0044056B"/>
    <w:rsid w:val="004415C0"/>
    <w:rsid w:val="00442640"/>
    <w:rsid w:val="00442853"/>
    <w:rsid w:val="00445CB6"/>
    <w:rsid w:val="00450FD6"/>
    <w:rsid w:val="004514C2"/>
    <w:rsid w:val="00452068"/>
    <w:rsid w:val="00453678"/>
    <w:rsid w:val="004551BF"/>
    <w:rsid w:val="00456306"/>
    <w:rsid w:val="00456738"/>
    <w:rsid w:val="004574EC"/>
    <w:rsid w:val="00460552"/>
    <w:rsid w:val="00460EF7"/>
    <w:rsid w:val="00461270"/>
    <w:rsid w:val="004623D4"/>
    <w:rsid w:val="00464982"/>
    <w:rsid w:val="00465816"/>
    <w:rsid w:val="00465B20"/>
    <w:rsid w:val="004707FB"/>
    <w:rsid w:val="00471259"/>
    <w:rsid w:val="004730B9"/>
    <w:rsid w:val="00480048"/>
    <w:rsid w:val="00480264"/>
    <w:rsid w:val="0048120E"/>
    <w:rsid w:val="00487AC3"/>
    <w:rsid w:val="004904B0"/>
    <w:rsid w:val="00491008"/>
    <w:rsid w:val="00492199"/>
    <w:rsid w:val="00495FC7"/>
    <w:rsid w:val="004A12C8"/>
    <w:rsid w:val="004A45D3"/>
    <w:rsid w:val="004B142F"/>
    <w:rsid w:val="004B2023"/>
    <w:rsid w:val="004B2BB2"/>
    <w:rsid w:val="004B2F2B"/>
    <w:rsid w:val="004B7CFB"/>
    <w:rsid w:val="004C0795"/>
    <w:rsid w:val="004C37E3"/>
    <w:rsid w:val="004C4DED"/>
    <w:rsid w:val="004C5A73"/>
    <w:rsid w:val="004D1871"/>
    <w:rsid w:val="004D3F84"/>
    <w:rsid w:val="004D6C4F"/>
    <w:rsid w:val="004E0DA6"/>
    <w:rsid w:val="004E3484"/>
    <w:rsid w:val="004E48FD"/>
    <w:rsid w:val="004E5265"/>
    <w:rsid w:val="004E61B5"/>
    <w:rsid w:val="004F1C36"/>
    <w:rsid w:val="004F1D6B"/>
    <w:rsid w:val="0051013C"/>
    <w:rsid w:val="00510AF9"/>
    <w:rsid w:val="00511F5A"/>
    <w:rsid w:val="005150E2"/>
    <w:rsid w:val="0052186A"/>
    <w:rsid w:val="00522A9E"/>
    <w:rsid w:val="00525F6A"/>
    <w:rsid w:val="0052644A"/>
    <w:rsid w:val="00531DCF"/>
    <w:rsid w:val="005342E0"/>
    <w:rsid w:val="005371BA"/>
    <w:rsid w:val="00545365"/>
    <w:rsid w:val="00545C81"/>
    <w:rsid w:val="00552B60"/>
    <w:rsid w:val="00553C9A"/>
    <w:rsid w:val="0055477F"/>
    <w:rsid w:val="005563F1"/>
    <w:rsid w:val="00561D77"/>
    <w:rsid w:val="00562F31"/>
    <w:rsid w:val="00562F5A"/>
    <w:rsid w:val="00563339"/>
    <w:rsid w:val="00563BB5"/>
    <w:rsid w:val="00563E3A"/>
    <w:rsid w:val="005656B2"/>
    <w:rsid w:val="00574675"/>
    <w:rsid w:val="00574727"/>
    <w:rsid w:val="005762C0"/>
    <w:rsid w:val="00576DE6"/>
    <w:rsid w:val="00576EB3"/>
    <w:rsid w:val="0058146D"/>
    <w:rsid w:val="00581DDF"/>
    <w:rsid w:val="0058378E"/>
    <w:rsid w:val="00584A8B"/>
    <w:rsid w:val="00585AF7"/>
    <w:rsid w:val="00591EB1"/>
    <w:rsid w:val="00594257"/>
    <w:rsid w:val="00596988"/>
    <w:rsid w:val="0059705D"/>
    <w:rsid w:val="005A355E"/>
    <w:rsid w:val="005A3F6C"/>
    <w:rsid w:val="005A6839"/>
    <w:rsid w:val="005B62ED"/>
    <w:rsid w:val="005C64E9"/>
    <w:rsid w:val="005D042B"/>
    <w:rsid w:val="005D0FD5"/>
    <w:rsid w:val="005D3CAD"/>
    <w:rsid w:val="005D46EA"/>
    <w:rsid w:val="005E2734"/>
    <w:rsid w:val="005E5B95"/>
    <w:rsid w:val="005E5BB8"/>
    <w:rsid w:val="005E5C39"/>
    <w:rsid w:val="005E6776"/>
    <w:rsid w:val="005E70F4"/>
    <w:rsid w:val="005F2E14"/>
    <w:rsid w:val="005F41AE"/>
    <w:rsid w:val="005F6BD8"/>
    <w:rsid w:val="005F738C"/>
    <w:rsid w:val="00603C3A"/>
    <w:rsid w:val="006110FE"/>
    <w:rsid w:val="00613B1F"/>
    <w:rsid w:val="00616137"/>
    <w:rsid w:val="00616F89"/>
    <w:rsid w:val="006217E4"/>
    <w:rsid w:val="00626836"/>
    <w:rsid w:val="00626E39"/>
    <w:rsid w:val="00627212"/>
    <w:rsid w:val="006304ED"/>
    <w:rsid w:val="00632117"/>
    <w:rsid w:val="00637ED4"/>
    <w:rsid w:val="006401AC"/>
    <w:rsid w:val="0064110C"/>
    <w:rsid w:val="00651AEF"/>
    <w:rsid w:val="00654972"/>
    <w:rsid w:val="00656DAB"/>
    <w:rsid w:val="00657242"/>
    <w:rsid w:val="00670812"/>
    <w:rsid w:val="00672878"/>
    <w:rsid w:val="00673406"/>
    <w:rsid w:val="00677543"/>
    <w:rsid w:val="00682F42"/>
    <w:rsid w:val="00684920"/>
    <w:rsid w:val="00685172"/>
    <w:rsid w:val="00687A9F"/>
    <w:rsid w:val="00692574"/>
    <w:rsid w:val="00693CFC"/>
    <w:rsid w:val="00696D17"/>
    <w:rsid w:val="00697F00"/>
    <w:rsid w:val="006A03EE"/>
    <w:rsid w:val="006A3CD2"/>
    <w:rsid w:val="006B2C31"/>
    <w:rsid w:val="006C1D37"/>
    <w:rsid w:val="006C5CDC"/>
    <w:rsid w:val="006D04F8"/>
    <w:rsid w:val="006D226B"/>
    <w:rsid w:val="006D5072"/>
    <w:rsid w:val="006D57FD"/>
    <w:rsid w:val="006D602E"/>
    <w:rsid w:val="006E2EC0"/>
    <w:rsid w:val="006E33F0"/>
    <w:rsid w:val="006E6F9C"/>
    <w:rsid w:val="006E7ED9"/>
    <w:rsid w:val="006F5AED"/>
    <w:rsid w:val="006F5FD7"/>
    <w:rsid w:val="00706CC0"/>
    <w:rsid w:val="007114A5"/>
    <w:rsid w:val="007146F1"/>
    <w:rsid w:val="00716EB6"/>
    <w:rsid w:val="007178CE"/>
    <w:rsid w:val="0072047A"/>
    <w:rsid w:val="00722A1C"/>
    <w:rsid w:val="0073461A"/>
    <w:rsid w:val="007354B9"/>
    <w:rsid w:val="00736A98"/>
    <w:rsid w:val="00750F9A"/>
    <w:rsid w:val="00751CA0"/>
    <w:rsid w:val="00751F51"/>
    <w:rsid w:val="0075215A"/>
    <w:rsid w:val="007542EF"/>
    <w:rsid w:val="00762EB3"/>
    <w:rsid w:val="00764313"/>
    <w:rsid w:val="00771F45"/>
    <w:rsid w:val="0077449D"/>
    <w:rsid w:val="00782387"/>
    <w:rsid w:val="00782595"/>
    <w:rsid w:val="007874A0"/>
    <w:rsid w:val="007922C4"/>
    <w:rsid w:val="0079316D"/>
    <w:rsid w:val="00793DCF"/>
    <w:rsid w:val="00795787"/>
    <w:rsid w:val="00796A40"/>
    <w:rsid w:val="00797B5E"/>
    <w:rsid w:val="007A01CB"/>
    <w:rsid w:val="007A4F06"/>
    <w:rsid w:val="007A65CC"/>
    <w:rsid w:val="007B3DA9"/>
    <w:rsid w:val="007B4A52"/>
    <w:rsid w:val="007B4F37"/>
    <w:rsid w:val="007B6EED"/>
    <w:rsid w:val="007C205B"/>
    <w:rsid w:val="007D111B"/>
    <w:rsid w:val="007D1352"/>
    <w:rsid w:val="007E2090"/>
    <w:rsid w:val="007E43B2"/>
    <w:rsid w:val="007E4D8B"/>
    <w:rsid w:val="007E5635"/>
    <w:rsid w:val="007E6D03"/>
    <w:rsid w:val="007E7F8D"/>
    <w:rsid w:val="007F02C3"/>
    <w:rsid w:val="007F1B42"/>
    <w:rsid w:val="007F44AD"/>
    <w:rsid w:val="007F4C65"/>
    <w:rsid w:val="008005AF"/>
    <w:rsid w:val="00802B39"/>
    <w:rsid w:val="00804964"/>
    <w:rsid w:val="00806C41"/>
    <w:rsid w:val="0081564C"/>
    <w:rsid w:val="008167BF"/>
    <w:rsid w:val="0082112D"/>
    <w:rsid w:val="00824364"/>
    <w:rsid w:val="00832326"/>
    <w:rsid w:val="008354CD"/>
    <w:rsid w:val="00837074"/>
    <w:rsid w:val="00841FE8"/>
    <w:rsid w:val="00845269"/>
    <w:rsid w:val="00851421"/>
    <w:rsid w:val="00852A70"/>
    <w:rsid w:val="00852A9E"/>
    <w:rsid w:val="00853AC7"/>
    <w:rsid w:val="00853CF7"/>
    <w:rsid w:val="00855F7A"/>
    <w:rsid w:val="0085764F"/>
    <w:rsid w:val="00861CD5"/>
    <w:rsid w:val="00864226"/>
    <w:rsid w:val="008672EF"/>
    <w:rsid w:val="00873C4B"/>
    <w:rsid w:val="008772BC"/>
    <w:rsid w:val="0087733B"/>
    <w:rsid w:val="008831E3"/>
    <w:rsid w:val="008851D0"/>
    <w:rsid w:val="00887198"/>
    <w:rsid w:val="00890DE0"/>
    <w:rsid w:val="00893311"/>
    <w:rsid w:val="00897C37"/>
    <w:rsid w:val="008A2680"/>
    <w:rsid w:val="008B1E8D"/>
    <w:rsid w:val="008B606D"/>
    <w:rsid w:val="008C6300"/>
    <w:rsid w:val="008C7327"/>
    <w:rsid w:val="008D62A7"/>
    <w:rsid w:val="008E39C5"/>
    <w:rsid w:val="008E69BA"/>
    <w:rsid w:val="008F028E"/>
    <w:rsid w:val="008F3C54"/>
    <w:rsid w:val="008F58C2"/>
    <w:rsid w:val="008F6176"/>
    <w:rsid w:val="008F7E31"/>
    <w:rsid w:val="00900038"/>
    <w:rsid w:val="00900B86"/>
    <w:rsid w:val="00901323"/>
    <w:rsid w:val="00902FB0"/>
    <w:rsid w:val="00903EFE"/>
    <w:rsid w:val="009125F4"/>
    <w:rsid w:val="00912E8E"/>
    <w:rsid w:val="00913BAE"/>
    <w:rsid w:val="00916EDF"/>
    <w:rsid w:val="00917F9F"/>
    <w:rsid w:val="00920B69"/>
    <w:rsid w:val="0092317E"/>
    <w:rsid w:val="009256C6"/>
    <w:rsid w:val="00926D6E"/>
    <w:rsid w:val="00926F5C"/>
    <w:rsid w:val="00930405"/>
    <w:rsid w:val="00930D44"/>
    <w:rsid w:val="009321CA"/>
    <w:rsid w:val="009339EF"/>
    <w:rsid w:val="009348B2"/>
    <w:rsid w:val="009415D8"/>
    <w:rsid w:val="00945E50"/>
    <w:rsid w:val="00947B18"/>
    <w:rsid w:val="009532CF"/>
    <w:rsid w:val="009542BC"/>
    <w:rsid w:val="0095635A"/>
    <w:rsid w:val="00957033"/>
    <w:rsid w:val="0095756D"/>
    <w:rsid w:val="00960365"/>
    <w:rsid w:val="00960529"/>
    <w:rsid w:val="0096091E"/>
    <w:rsid w:val="00960C28"/>
    <w:rsid w:val="0096283B"/>
    <w:rsid w:val="00963772"/>
    <w:rsid w:val="009669CC"/>
    <w:rsid w:val="00970215"/>
    <w:rsid w:val="009721B1"/>
    <w:rsid w:val="00987E0F"/>
    <w:rsid w:val="009938C3"/>
    <w:rsid w:val="00993AAB"/>
    <w:rsid w:val="0099403F"/>
    <w:rsid w:val="009A5173"/>
    <w:rsid w:val="009A56AA"/>
    <w:rsid w:val="009A7B10"/>
    <w:rsid w:val="009B3037"/>
    <w:rsid w:val="009B3EDC"/>
    <w:rsid w:val="009B3EDE"/>
    <w:rsid w:val="009C16D1"/>
    <w:rsid w:val="009C2A7E"/>
    <w:rsid w:val="009C394B"/>
    <w:rsid w:val="009C4BB7"/>
    <w:rsid w:val="009C5211"/>
    <w:rsid w:val="009D4485"/>
    <w:rsid w:val="009D7E9C"/>
    <w:rsid w:val="009E0982"/>
    <w:rsid w:val="009E40A5"/>
    <w:rsid w:val="009E55CD"/>
    <w:rsid w:val="009E7271"/>
    <w:rsid w:val="009F0EA7"/>
    <w:rsid w:val="009F122E"/>
    <w:rsid w:val="009F3FEC"/>
    <w:rsid w:val="009F5B16"/>
    <w:rsid w:val="009F720C"/>
    <w:rsid w:val="00A00B83"/>
    <w:rsid w:val="00A01E4D"/>
    <w:rsid w:val="00A020B2"/>
    <w:rsid w:val="00A032C6"/>
    <w:rsid w:val="00A03991"/>
    <w:rsid w:val="00A04F0D"/>
    <w:rsid w:val="00A0533B"/>
    <w:rsid w:val="00A15EFE"/>
    <w:rsid w:val="00A206AC"/>
    <w:rsid w:val="00A23079"/>
    <w:rsid w:val="00A2597D"/>
    <w:rsid w:val="00A273D2"/>
    <w:rsid w:val="00A27805"/>
    <w:rsid w:val="00A333BF"/>
    <w:rsid w:val="00A343BB"/>
    <w:rsid w:val="00A37D9F"/>
    <w:rsid w:val="00A37DC1"/>
    <w:rsid w:val="00A414F1"/>
    <w:rsid w:val="00A419E6"/>
    <w:rsid w:val="00A42368"/>
    <w:rsid w:val="00A46258"/>
    <w:rsid w:val="00A47D75"/>
    <w:rsid w:val="00A47E42"/>
    <w:rsid w:val="00A53357"/>
    <w:rsid w:val="00A53EA3"/>
    <w:rsid w:val="00A53EF4"/>
    <w:rsid w:val="00A54047"/>
    <w:rsid w:val="00A542AF"/>
    <w:rsid w:val="00A61CA8"/>
    <w:rsid w:val="00A63187"/>
    <w:rsid w:val="00A7118A"/>
    <w:rsid w:val="00A717DE"/>
    <w:rsid w:val="00A721B3"/>
    <w:rsid w:val="00A762C7"/>
    <w:rsid w:val="00A779A8"/>
    <w:rsid w:val="00A80464"/>
    <w:rsid w:val="00A80D12"/>
    <w:rsid w:val="00A80D2E"/>
    <w:rsid w:val="00A82374"/>
    <w:rsid w:val="00A93BAC"/>
    <w:rsid w:val="00A96275"/>
    <w:rsid w:val="00A962F1"/>
    <w:rsid w:val="00A96E55"/>
    <w:rsid w:val="00AA3C69"/>
    <w:rsid w:val="00AB3063"/>
    <w:rsid w:val="00AB6CE6"/>
    <w:rsid w:val="00AB702E"/>
    <w:rsid w:val="00AB756A"/>
    <w:rsid w:val="00AC3357"/>
    <w:rsid w:val="00AD5796"/>
    <w:rsid w:val="00AE18C8"/>
    <w:rsid w:val="00AE1DB4"/>
    <w:rsid w:val="00AE2F77"/>
    <w:rsid w:val="00AE3BCE"/>
    <w:rsid w:val="00AE453E"/>
    <w:rsid w:val="00AE45E1"/>
    <w:rsid w:val="00AE7101"/>
    <w:rsid w:val="00AF17A5"/>
    <w:rsid w:val="00AF52AA"/>
    <w:rsid w:val="00B0233D"/>
    <w:rsid w:val="00B0400A"/>
    <w:rsid w:val="00B054F8"/>
    <w:rsid w:val="00B13120"/>
    <w:rsid w:val="00B224A7"/>
    <w:rsid w:val="00B23DAD"/>
    <w:rsid w:val="00B2674D"/>
    <w:rsid w:val="00B269A9"/>
    <w:rsid w:val="00B276EE"/>
    <w:rsid w:val="00B30A68"/>
    <w:rsid w:val="00B322CA"/>
    <w:rsid w:val="00B378BA"/>
    <w:rsid w:val="00B37C1B"/>
    <w:rsid w:val="00B37ECD"/>
    <w:rsid w:val="00B41972"/>
    <w:rsid w:val="00B42910"/>
    <w:rsid w:val="00B46CE5"/>
    <w:rsid w:val="00B5199A"/>
    <w:rsid w:val="00B60986"/>
    <w:rsid w:val="00B60CA7"/>
    <w:rsid w:val="00B61C7F"/>
    <w:rsid w:val="00B63C90"/>
    <w:rsid w:val="00B63C98"/>
    <w:rsid w:val="00B64C25"/>
    <w:rsid w:val="00B66204"/>
    <w:rsid w:val="00B67C60"/>
    <w:rsid w:val="00B74503"/>
    <w:rsid w:val="00B81023"/>
    <w:rsid w:val="00B82AF5"/>
    <w:rsid w:val="00B83A9A"/>
    <w:rsid w:val="00B83D99"/>
    <w:rsid w:val="00B84D61"/>
    <w:rsid w:val="00B904A6"/>
    <w:rsid w:val="00B90FAB"/>
    <w:rsid w:val="00B941C5"/>
    <w:rsid w:val="00B94711"/>
    <w:rsid w:val="00B9607C"/>
    <w:rsid w:val="00B9781A"/>
    <w:rsid w:val="00BA6DCC"/>
    <w:rsid w:val="00BA779C"/>
    <w:rsid w:val="00BB5C9C"/>
    <w:rsid w:val="00BB6E13"/>
    <w:rsid w:val="00BC1003"/>
    <w:rsid w:val="00BC127A"/>
    <w:rsid w:val="00BC23C9"/>
    <w:rsid w:val="00BC563C"/>
    <w:rsid w:val="00BC63FB"/>
    <w:rsid w:val="00BC685C"/>
    <w:rsid w:val="00BD16DD"/>
    <w:rsid w:val="00BD7517"/>
    <w:rsid w:val="00BE359E"/>
    <w:rsid w:val="00BE7776"/>
    <w:rsid w:val="00BE7A60"/>
    <w:rsid w:val="00BF2469"/>
    <w:rsid w:val="00BF2E0F"/>
    <w:rsid w:val="00BF3CF1"/>
    <w:rsid w:val="00C010B6"/>
    <w:rsid w:val="00C02E3B"/>
    <w:rsid w:val="00C034CB"/>
    <w:rsid w:val="00C04BAF"/>
    <w:rsid w:val="00C04C35"/>
    <w:rsid w:val="00C12F7E"/>
    <w:rsid w:val="00C13CC7"/>
    <w:rsid w:val="00C13E59"/>
    <w:rsid w:val="00C14D4A"/>
    <w:rsid w:val="00C162F8"/>
    <w:rsid w:val="00C16898"/>
    <w:rsid w:val="00C16A13"/>
    <w:rsid w:val="00C17306"/>
    <w:rsid w:val="00C215CA"/>
    <w:rsid w:val="00C24F10"/>
    <w:rsid w:val="00C31399"/>
    <w:rsid w:val="00C335D3"/>
    <w:rsid w:val="00C410CF"/>
    <w:rsid w:val="00C41ADD"/>
    <w:rsid w:val="00C43423"/>
    <w:rsid w:val="00C44E23"/>
    <w:rsid w:val="00C47F24"/>
    <w:rsid w:val="00C51067"/>
    <w:rsid w:val="00C57AB6"/>
    <w:rsid w:val="00C57E43"/>
    <w:rsid w:val="00C63BB8"/>
    <w:rsid w:val="00C64DA9"/>
    <w:rsid w:val="00C70D77"/>
    <w:rsid w:val="00C710FD"/>
    <w:rsid w:val="00C75B30"/>
    <w:rsid w:val="00C7720D"/>
    <w:rsid w:val="00C82D45"/>
    <w:rsid w:val="00C8400C"/>
    <w:rsid w:val="00C86CA8"/>
    <w:rsid w:val="00C92BE2"/>
    <w:rsid w:val="00C92F32"/>
    <w:rsid w:val="00C94CF8"/>
    <w:rsid w:val="00CA08D3"/>
    <w:rsid w:val="00CA0CA7"/>
    <w:rsid w:val="00CA15DB"/>
    <w:rsid w:val="00CA3169"/>
    <w:rsid w:val="00CA6B78"/>
    <w:rsid w:val="00CB0C3D"/>
    <w:rsid w:val="00CB1074"/>
    <w:rsid w:val="00CB37BD"/>
    <w:rsid w:val="00CB7EA0"/>
    <w:rsid w:val="00CC4031"/>
    <w:rsid w:val="00CC66DF"/>
    <w:rsid w:val="00CD1D7D"/>
    <w:rsid w:val="00CD4333"/>
    <w:rsid w:val="00CD6680"/>
    <w:rsid w:val="00CD76BF"/>
    <w:rsid w:val="00CD77FB"/>
    <w:rsid w:val="00CD7F24"/>
    <w:rsid w:val="00CE097A"/>
    <w:rsid w:val="00CE15AC"/>
    <w:rsid w:val="00CE32E3"/>
    <w:rsid w:val="00CE46BC"/>
    <w:rsid w:val="00CE5579"/>
    <w:rsid w:val="00CF053A"/>
    <w:rsid w:val="00CF0AD0"/>
    <w:rsid w:val="00CF3ECD"/>
    <w:rsid w:val="00CF7419"/>
    <w:rsid w:val="00D0357F"/>
    <w:rsid w:val="00D03698"/>
    <w:rsid w:val="00D071C8"/>
    <w:rsid w:val="00D07B6C"/>
    <w:rsid w:val="00D07DAA"/>
    <w:rsid w:val="00D1009D"/>
    <w:rsid w:val="00D105D7"/>
    <w:rsid w:val="00D11115"/>
    <w:rsid w:val="00D14728"/>
    <w:rsid w:val="00D14FA8"/>
    <w:rsid w:val="00D15762"/>
    <w:rsid w:val="00D17FEA"/>
    <w:rsid w:val="00D20445"/>
    <w:rsid w:val="00D25EEC"/>
    <w:rsid w:val="00D3219D"/>
    <w:rsid w:val="00D32C9C"/>
    <w:rsid w:val="00D366DA"/>
    <w:rsid w:val="00D4205F"/>
    <w:rsid w:val="00D434DE"/>
    <w:rsid w:val="00D4729A"/>
    <w:rsid w:val="00D47F22"/>
    <w:rsid w:val="00D5518A"/>
    <w:rsid w:val="00D56638"/>
    <w:rsid w:val="00D56805"/>
    <w:rsid w:val="00D62EE5"/>
    <w:rsid w:val="00D631C8"/>
    <w:rsid w:val="00D63D18"/>
    <w:rsid w:val="00D64DFB"/>
    <w:rsid w:val="00D662BC"/>
    <w:rsid w:val="00D666A3"/>
    <w:rsid w:val="00D704C7"/>
    <w:rsid w:val="00D715CA"/>
    <w:rsid w:val="00D77A48"/>
    <w:rsid w:val="00D8167D"/>
    <w:rsid w:val="00D8334B"/>
    <w:rsid w:val="00D83DCA"/>
    <w:rsid w:val="00D84222"/>
    <w:rsid w:val="00D8715F"/>
    <w:rsid w:val="00D927E2"/>
    <w:rsid w:val="00D92DF3"/>
    <w:rsid w:val="00DA0131"/>
    <w:rsid w:val="00DA08F0"/>
    <w:rsid w:val="00DA098F"/>
    <w:rsid w:val="00DA1A90"/>
    <w:rsid w:val="00DA3887"/>
    <w:rsid w:val="00DA5900"/>
    <w:rsid w:val="00DB1159"/>
    <w:rsid w:val="00DB3E6C"/>
    <w:rsid w:val="00DB706E"/>
    <w:rsid w:val="00DC0828"/>
    <w:rsid w:val="00DC22F0"/>
    <w:rsid w:val="00DC2B1D"/>
    <w:rsid w:val="00DC2BBC"/>
    <w:rsid w:val="00DC2D38"/>
    <w:rsid w:val="00DC4E53"/>
    <w:rsid w:val="00DC6F5B"/>
    <w:rsid w:val="00DD0295"/>
    <w:rsid w:val="00DD45A9"/>
    <w:rsid w:val="00DD6F4B"/>
    <w:rsid w:val="00DE2EE4"/>
    <w:rsid w:val="00DE5B1C"/>
    <w:rsid w:val="00E006A8"/>
    <w:rsid w:val="00E017D1"/>
    <w:rsid w:val="00E04A84"/>
    <w:rsid w:val="00E11201"/>
    <w:rsid w:val="00E12C7F"/>
    <w:rsid w:val="00E13F4A"/>
    <w:rsid w:val="00E152DD"/>
    <w:rsid w:val="00E17BE4"/>
    <w:rsid w:val="00E23AD1"/>
    <w:rsid w:val="00E24D95"/>
    <w:rsid w:val="00E24DA0"/>
    <w:rsid w:val="00E25B74"/>
    <w:rsid w:val="00E2610F"/>
    <w:rsid w:val="00E30816"/>
    <w:rsid w:val="00E30F3F"/>
    <w:rsid w:val="00E31B81"/>
    <w:rsid w:val="00E32DB9"/>
    <w:rsid w:val="00E33930"/>
    <w:rsid w:val="00E34A41"/>
    <w:rsid w:val="00E40E2F"/>
    <w:rsid w:val="00E4189F"/>
    <w:rsid w:val="00E455B9"/>
    <w:rsid w:val="00E47CB1"/>
    <w:rsid w:val="00E50E40"/>
    <w:rsid w:val="00E51CC8"/>
    <w:rsid w:val="00E544E1"/>
    <w:rsid w:val="00E55F65"/>
    <w:rsid w:val="00E563B0"/>
    <w:rsid w:val="00E66371"/>
    <w:rsid w:val="00E66EA1"/>
    <w:rsid w:val="00E702F8"/>
    <w:rsid w:val="00E708DD"/>
    <w:rsid w:val="00E75F88"/>
    <w:rsid w:val="00E81C7C"/>
    <w:rsid w:val="00E83C27"/>
    <w:rsid w:val="00E92B26"/>
    <w:rsid w:val="00E943A4"/>
    <w:rsid w:val="00E94EB1"/>
    <w:rsid w:val="00EA0A90"/>
    <w:rsid w:val="00EA0E0B"/>
    <w:rsid w:val="00EA0FDD"/>
    <w:rsid w:val="00EA1253"/>
    <w:rsid w:val="00EA6D2C"/>
    <w:rsid w:val="00EB4382"/>
    <w:rsid w:val="00EB7984"/>
    <w:rsid w:val="00EC0C21"/>
    <w:rsid w:val="00EE02AF"/>
    <w:rsid w:val="00EE42DC"/>
    <w:rsid w:val="00EE56CB"/>
    <w:rsid w:val="00EE5EBE"/>
    <w:rsid w:val="00EE612D"/>
    <w:rsid w:val="00EE7C86"/>
    <w:rsid w:val="00EF16CA"/>
    <w:rsid w:val="00EF1C26"/>
    <w:rsid w:val="00EF2D42"/>
    <w:rsid w:val="00EF4660"/>
    <w:rsid w:val="00EF617A"/>
    <w:rsid w:val="00EF6A16"/>
    <w:rsid w:val="00EF6C7A"/>
    <w:rsid w:val="00F03B85"/>
    <w:rsid w:val="00F051FD"/>
    <w:rsid w:val="00F066F6"/>
    <w:rsid w:val="00F0765B"/>
    <w:rsid w:val="00F20252"/>
    <w:rsid w:val="00F2069A"/>
    <w:rsid w:val="00F223EA"/>
    <w:rsid w:val="00F246BA"/>
    <w:rsid w:val="00F263C3"/>
    <w:rsid w:val="00F27BF0"/>
    <w:rsid w:val="00F30639"/>
    <w:rsid w:val="00F30FD4"/>
    <w:rsid w:val="00F31190"/>
    <w:rsid w:val="00F32DD9"/>
    <w:rsid w:val="00F342C6"/>
    <w:rsid w:val="00F34311"/>
    <w:rsid w:val="00F3468D"/>
    <w:rsid w:val="00F4126C"/>
    <w:rsid w:val="00F412C6"/>
    <w:rsid w:val="00F435B2"/>
    <w:rsid w:val="00F45490"/>
    <w:rsid w:val="00F45BC4"/>
    <w:rsid w:val="00F50F3F"/>
    <w:rsid w:val="00F5265A"/>
    <w:rsid w:val="00F53A4D"/>
    <w:rsid w:val="00F62ADF"/>
    <w:rsid w:val="00F65951"/>
    <w:rsid w:val="00F67488"/>
    <w:rsid w:val="00F70A9C"/>
    <w:rsid w:val="00F776CE"/>
    <w:rsid w:val="00F816B0"/>
    <w:rsid w:val="00F83D31"/>
    <w:rsid w:val="00F910D2"/>
    <w:rsid w:val="00F9115C"/>
    <w:rsid w:val="00F94B78"/>
    <w:rsid w:val="00F94CE6"/>
    <w:rsid w:val="00F95841"/>
    <w:rsid w:val="00FA0B4A"/>
    <w:rsid w:val="00FA3721"/>
    <w:rsid w:val="00FA4B7E"/>
    <w:rsid w:val="00FA5693"/>
    <w:rsid w:val="00FA56BD"/>
    <w:rsid w:val="00FA7F7F"/>
    <w:rsid w:val="00FB1E45"/>
    <w:rsid w:val="00FB33D9"/>
    <w:rsid w:val="00FB48C0"/>
    <w:rsid w:val="00FB4DF4"/>
    <w:rsid w:val="00FC0FA0"/>
    <w:rsid w:val="00FC1F56"/>
    <w:rsid w:val="00FC56EE"/>
    <w:rsid w:val="00FC7E62"/>
    <w:rsid w:val="00FD1B17"/>
    <w:rsid w:val="00FD3A54"/>
    <w:rsid w:val="00FE0582"/>
    <w:rsid w:val="00FE4228"/>
    <w:rsid w:val="00FE675A"/>
    <w:rsid w:val="00FF1F12"/>
    <w:rsid w:val="00FF54C8"/>
    <w:rsid w:val="00FF5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FF01F"/>
  <w15:docId w15:val="{797655D2-4C02-47C4-AACF-A9DF600C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1E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6D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77A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A77E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DF4"/>
    <w:pPr>
      <w:ind w:left="720"/>
      <w:contextualSpacing/>
    </w:pPr>
  </w:style>
  <w:style w:type="table" w:styleId="TableGrid">
    <w:name w:val="Table Grid"/>
    <w:basedOn w:val="TableNormal"/>
    <w:uiPriority w:val="39"/>
    <w:rsid w:val="005E6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361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B3616"/>
    <w:rPr>
      <w:rFonts w:ascii="Lucida Grande" w:hAnsi="Lucida Grande"/>
      <w:sz w:val="18"/>
      <w:szCs w:val="18"/>
    </w:rPr>
  </w:style>
  <w:style w:type="character" w:customStyle="1" w:styleId="Heading2Char">
    <w:name w:val="Heading 2 Char"/>
    <w:basedOn w:val="DefaultParagraphFont"/>
    <w:link w:val="Heading2"/>
    <w:uiPriority w:val="9"/>
    <w:rsid w:val="007E6D0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77A48"/>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651A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1AEF"/>
    <w:rPr>
      <w:sz w:val="20"/>
      <w:szCs w:val="20"/>
    </w:rPr>
  </w:style>
  <w:style w:type="character" w:styleId="FootnoteReference">
    <w:name w:val="footnote reference"/>
    <w:basedOn w:val="DefaultParagraphFont"/>
    <w:uiPriority w:val="99"/>
    <w:semiHidden/>
    <w:unhideWhenUsed/>
    <w:rsid w:val="00651AEF"/>
    <w:rPr>
      <w:vertAlign w:val="superscript"/>
    </w:rPr>
  </w:style>
  <w:style w:type="character" w:customStyle="1" w:styleId="Heading1Char">
    <w:name w:val="Heading 1 Char"/>
    <w:basedOn w:val="DefaultParagraphFont"/>
    <w:link w:val="Heading1"/>
    <w:uiPriority w:val="9"/>
    <w:rsid w:val="008B1E8D"/>
    <w:rPr>
      <w:rFonts w:asciiTheme="majorHAnsi" w:eastAsiaTheme="majorEastAsia" w:hAnsiTheme="majorHAnsi" w:cstheme="majorBidi"/>
      <w:color w:val="2E74B5" w:themeColor="accent1" w:themeShade="BF"/>
      <w:sz w:val="32"/>
      <w:szCs w:val="32"/>
    </w:rPr>
  </w:style>
  <w:style w:type="table" w:styleId="GridTable4-Accent1">
    <w:name w:val="Grid Table 4 Accent 1"/>
    <w:basedOn w:val="TableNormal"/>
    <w:uiPriority w:val="49"/>
    <w:rsid w:val="00C64DA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FF1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F12"/>
  </w:style>
  <w:style w:type="paragraph" w:styleId="Footer">
    <w:name w:val="footer"/>
    <w:basedOn w:val="Normal"/>
    <w:link w:val="FooterChar"/>
    <w:uiPriority w:val="99"/>
    <w:unhideWhenUsed/>
    <w:rsid w:val="00FF1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F12"/>
  </w:style>
  <w:style w:type="character" w:customStyle="1" w:styleId="Heading4Char">
    <w:name w:val="Heading 4 Char"/>
    <w:basedOn w:val="DefaultParagraphFont"/>
    <w:link w:val="Heading4"/>
    <w:uiPriority w:val="9"/>
    <w:rsid w:val="002A77EF"/>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060735"/>
    <w:rPr>
      <w:color w:val="0563C1" w:themeColor="hyperlink"/>
      <w:u w:val="single"/>
    </w:rPr>
  </w:style>
  <w:style w:type="character" w:styleId="CommentReference">
    <w:name w:val="annotation reference"/>
    <w:basedOn w:val="DefaultParagraphFont"/>
    <w:uiPriority w:val="99"/>
    <w:semiHidden/>
    <w:unhideWhenUsed/>
    <w:rsid w:val="00EA0FDD"/>
    <w:rPr>
      <w:sz w:val="16"/>
      <w:szCs w:val="16"/>
    </w:rPr>
  </w:style>
  <w:style w:type="paragraph" w:styleId="CommentText">
    <w:name w:val="annotation text"/>
    <w:basedOn w:val="Normal"/>
    <w:link w:val="CommentTextChar"/>
    <w:uiPriority w:val="99"/>
    <w:semiHidden/>
    <w:unhideWhenUsed/>
    <w:rsid w:val="00EA0FDD"/>
    <w:pPr>
      <w:spacing w:line="240" w:lineRule="auto"/>
    </w:pPr>
    <w:rPr>
      <w:sz w:val="20"/>
      <w:szCs w:val="20"/>
    </w:rPr>
  </w:style>
  <w:style w:type="character" w:customStyle="1" w:styleId="CommentTextChar">
    <w:name w:val="Comment Text Char"/>
    <w:basedOn w:val="DefaultParagraphFont"/>
    <w:link w:val="CommentText"/>
    <w:uiPriority w:val="99"/>
    <w:semiHidden/>
    <w:rsid w:val="00EA0FDD"/>
    <w:rPr>
      <w:sz w:val="20"/>
      <w:szCs w:val="20"/>
    </w:rPr>
  </w:style>
  <w:style w:type="paragraph" w:styleId="CommentSubject">
    <w:name w:val="annotation subject"/>
    <w:basedOn w:val="CommentText"/>
    <w:next w:val="CommentText"/>
    <w:link w:val="CommentSubjectChar"/>
    <w:uiPriority w:val="99"/>
    <w:semiHidden/>
    <w:unhideWhenUsed/>
    <w:rsid w:val="00EA0FDD"/>
    <w:rPr>
      <w:b/>
      <w:bCs/>
    </w:rPr>
  </w:style>
  <w:style w:type="character" w:customStyle="1" w:styleId="CommentSubjectChar">
    <w:name w:val="Comment Subject Char"/>
    <w:basedOn w:val="CommentTextChar"/>
    <w:link w:val="CommentSubject"/>
    <w:uiPriority w:val="99"/>
    <w:semiHidden/>
    <w:rsid w:val="00EA0FDD"/>
    <w:rPr>
      <w:b/>
      <w:bCs/>
      <w:sz w:val="20"/>
      <w:szCs w:val="20"/>
    </w:rPr>
  </w:style>
  <w:style w:type="paragraph" w:customStyle="1" w:styleId="EndNoteBibliographyTitle">
    <w:name w:val="EndNote Bibliography Title"/>
    <w:basedOn w:val="Normal"/>
    <w:link w:val="EndNoteBibliographyTitleChar"/>
    <w:rsid w:val="00C410C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410CF"/>
    <w:rPr>
      <w:rFonts w:ascii="Calibri" w:hAnsi="Calibri"/>
      <w:noProof/>
    </w:rPr>
  </w:style>
  <w:style w:type="paragraph" w:customStyle="1" w:styleId="EndNoteBibliography">
    <w:name w:val="EndNote Bibliography"/>
    <w:basedOn w:val="Normal"/>
    <w:link w:val="EndNoteBibliographyChar"/>
    <w:rsid w:val="00C410CF"/>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C410CF"/>
    <w:rPr>
      <w:rFonts w:ascii="Calibri" w:hAnsi="Calibri"/>
      <w:noProof/>
    </w:rPr>
  </w:style>
  <w:style w:type="paragraph" w:styleId="NoSpacing">
    <w:name w:val="No Spacing"/>
    <w:uiPriority w:val="1"/>
    <w:qFormat/>
    <w:rsid w:val="00C43423"/>
    <w:pPr>
      <w:spacing w:after="0" w:line="240" w:lineRule="auto"/>
    </w:pPr>
  </w:style>
  <w:style w:type="paragraph" w:styleId="Title">
    <w:name w:val="Title"/>
    <w:basedOn w:val="Normal"/>
    <w:next w:val="Normal"/>
    <w:link w:val="TitleChar"/>
    <w:uiPriority w:val="10"/>
    <w:qFormat/>
    <w:rsid w:val="00A540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4047"/>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111673"/>
    <w:pPr>
      <w:outlineLvl w:val="9"/>
    </w:pPr>
  </w:style>
  <w:style w:type="paragraph" w:styleId="TOC1">
    <w:name w:val="toc 1"/>
    <w:basedOn w:val="Normal"/>
    <w:next w:val="Normal"/>
    <w:autoRedefine/>
    <w:uiPriority w:val="39"/>
    <w:unhideWhenUsed/>
    <w:rsid w:val="00111673"/>
    <w:pPr>
      <w:spacing w:after="100"/>
    </w:pPr>
  </w:style>
  <w:style w:type="paragraph" w:styleId="TOC2">
    <w:name w:val="toc 2"/>
    <w:basedOn w:val="Normal"/>
    <w:next w:val="Normal"/>
    <w:autoRedefine/>
    <w:uiPriority w:val="39"/>
    <w:unhideWhenUsed/>
    <w:rsid w:val="00111673"/>
    <w:pPr>
      <w:spacing w:after="100"/>
      <w:ind w:left="220"/>
    </w:pPr>
  </w:style>
  <w:style w:type="paragraph" w:styleId="TOC3">
    <w:name w:val="toc 3"/>
    <w:basedOn w:val="Normal"/>
    <w:next w:val="Normal"/>
    <w:autoRedefine/>
    <w:uiPriority w:val="39"/>
    <w:unhideWhenUsed/>
    <w:rsid w:val="0011167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071654">
      <w:bodyDiv w:val="1"/>
      <w:marLeft w:val="0"/>
      <w:marRight w:val="0"/>
      <w:marTop w:val="0"/>
      <w:marBottom w:val="0"/>
      <w:divBdr>
        <w:top w:val="none" w:sz="0" w:space="0" w:color="auto"/>
        <w:left w:val="none" w:sz="0" w:space="0" w:color="auto"/>
        <w:bottom w:val="none" w:sz="0" w:space="0" w:color="auto"/>
        <w:right w:val="none" w:sz="0" w:space="0" w:color="auto"/>
      </w:divBdr>
    </w:div>
    <w:div w:id="785854863">
      <w:bodyDiv w:val="1"/>
      <w:marLeft w:val="0"/>
      <w:marRight w:val="0"/>
      <w:marTop w:val="0"/>
      <w:marBottom w:val="0"/>
      <w:divBdr>
        <w:top w:val="none" w:sz="0" w:space="0" w:color="auto"/>
        <w:left w:val="none" w:sz="0" w:space="0" w:color="auto"/>
        <w:bottom w:val="none" w:sz="0" w:space="0" w:color="auto"/>
        <w:right w:val="none" w:sz="0" w:space="0" w:color="auto"/>
      </w:divBdr>
    </w:div>
    <w:div w:id="785974027">
      <w:bodyDiv w:val="1"/>
      <w:marLeft w:val="0"/>
      <w:marRight w:val="0"/>
      <w:marTop w:val="0"/>
      <w:marBottom w:val="0"/>
      <w:divBdr>
        <w:top w:val="none" w:sz="0" w:space="0" w:color="auto"/>
        <w:left w:val="none" w:sz="0" w:space="0" w:color="auto"/>
        <w:bottom w:val="none" w:sz="0" w:space="0" w:color="auto"/>
        <w:right w:val="none" w:sz="0" w:space="0" w:color="auto"/>
      </w:divBdr>
    </w:div>
    <w:div w:id="118320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hyperlink" Target="http://www.ctpost.com/local/article/Bridgeport-working-to-catch-tax-scofflaws-6094594.php%3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lincolninst.edu/subcenters/significant-features-property-tax/Report_State_Summaries.aspx%3e"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H:\Connecticut\combined%20G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Connecticut\combined%20G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H:\Connecticut\combined%20G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H:\Connecticut\combined%20G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H:\Connecticut\combined%20GL.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H:\Connecticut\GL%20&amp;%20mill%20rates.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Net Aggregate Personal Property as a Percent of </a:t>
            </a:r>
          </a:p>
          <a:p>
            <a:pPr>
              <a:defRPr/>
            </a:pPr>
            <a:r>
              <a:rPr lang="en-US" sz="1200"/>
              <a:t>Total Net Grand List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a:scene3d>
              <a:camera prst="orthographicFront"/>
              <a:lightRig rig="threePt" dir="t"/>
            </a:scene3d>
            <a:sp3d>
              <a:bevelT w="165100" prst="coolSlan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Sheet1!$A$20:$A$29</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Sheet1!$H$20:$H$29</c:f>
              <c:numCache>
                <c:formatCode>0.0%</c:formatCode>
                <c:ptCount val="10"/>
                <c:pt idx="0">
                  <c:v>5.3044489086027505E-2</c:v>
                </c:pt>
                <c:pt idx="1">
                  <c:v>4.7832679465527883E-2</c:v>
                </c:pt>
                <c:pt idx="2">
                  <c:v>4.5526740766699894E-2</c:v>
                </c:pt>
                <c:pt idx="3">
                  <c:v>4.2725719814350104E-2</c:v>
                </c:pt>
                <c:pt idx="4">
                  <c:v>4.3242939594233906E-2</c:v>
                </c:pt>
                <c:pt idx="5">
                  <c:v>4.3249853313715045E-2</c:v>
                </c:pt>
                <c:pt idx="6">
                  <c:v>4.3502075571884312E-2</c:v>
                </c:pt>
                <c:pt idx="7">
                  <c:v>4.4746477251475215E-2</c:v>
                </c:pt>
                <c:pt idx="8">
                  <c:v>4.7897794208188342E-2</c:v>
                </c:pt>
                <c:pt idx="9">
                  <c:v>5.0432460504816173E-2</c:v>
                </c:pt>
              </c:numCache>
            </c:numRef>
          </c:val>
        </c:ser>
        <c:dLbls>
          <c:showLegendKey val="0"/>
          <c:showVal val="0"/>
          <c:showCatName val="0"/>
          <c:showSerName val="0"/>
          <c:showPercent val="0"/>
          <c:showBubbleSize val="0"/>
        </c:dLbls>
        <c:gapWidth val="219"/>
        <c:overlap val="-27"/>
        <c:axId val="279232904"/>
        <c:axId val="279231728"/>
      </c:barChart>
      <c:catAx>
        <c:axId val="279232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279231728"/>
        <c:crosses val="autoZero"/>
        <c:auto val="1"/>
        <c:lblAlgn val="ctr"/>
        <c:lblOffset val="100"/>
        <c:noMultiLvlLbl val="0"/>
      </c:catAx>
      <c:valAx>
        <c:axId val="2792317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279232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1">
          <a:lumMod val="50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Connecticut Gross Personal Property Assessed</a:t>
            </a:r>
            <a:r>
              <a:rPr lang="en-US" baseline="0"/>
              <a:t> Value </a:t>
            </a:r>
            <a:r>
              <a:rPr lang="en-US"/>
              <a:t>as a Percent of Gross State Product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a:scene3d>
              <a:camera prst="orthographicFront"/>
              <a:lightRig rig="threePt" dir="t"/>
            </a:scene3d>
            <a:sp3d>
              <a:bevelT w="165100" prst="coolSlant"/>
            </a:sp3d>
          </c:spPr>
          <c:invertIfNegative val="0"/>
          <c:cat>
            <c:numRef>
              <c:f>Sheet1!$A$19:$A$29</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Sheet1!$O$19:$O$29</c:f>
              <c:numCache>
                <c:formatCode>0.0%</c:formatCode>
                <c:ptCount val="11"/>
                <c:pt idx="0">
                  <c:v>9.3641993766162307E-2</c:v>
                </c:pt>
                <c:pt idx="1">
                  <c:v>8.6379255352627429E-2</c:v>
                </c:pt>
                <c:pt idx="2">
                  <c:v>8.399818135611134E-2</c:v>
                </c:pt>
                <c:pt idx="3">
                  <c:v>8.1218156180710793E-2</c:v>
                </c:pt>
                <c:pt idx="4">
                  <c:v>8.1383296368592734E-2</c:v>
                </c:pt>
                <c:pt idx="5">
                  <c:v>8.7923953371162267E-2</c:v>
                </c:pt>
                <c:pt idx="6">
                  <c:v>9.2400539627229591E-2</c:v>
                </c:pt>
                <c:pt idx="7">
                  <c:v>9.0939666100141953E-2</c:v>
                </c:pt>
                <c:pt idx="8">
                  <c:v>9.2521240365874502E-2</c:v>
                </c:pt>
                <c:pt idx="9">
                  <c:v>9.2557092321930309E-2</c:v>
                </c:pt>
                <c:pt idx="10">
                  <c:v>9.2945238820236781E-2</c:v>
                </c:pt>
              </c:numCache>
            </c:numRef>
          </c:val>
        </c:ser>
        <c:dLbls>
          <c:showLegendKey val="0"/>
          <c:showVal val="0"/>
          <c:showCatName val="0"/>
          <c:showSerName val="0"/>
          <c:showPercent val="0"/>
          <c:showBubbleSize val="0"/>
        </c:dLbls>
        <c:gapWidth val="219"/>
        <c:overlap val="-27"/>
        <c:axId val="279234864"/>
        <c:axId val="279229768"/>
      </c:barChart>
      <c:catAx>
        <c:axId val="279234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229768"/>
        <c:crosses val="autoZero"/>
        <c:auto val="1"/>
        <c:lblAlgn val="ctr"/>
        <c:lblOffset val="100"/>
        <c:noMultiLvlLbl val="0"/>
      </c:catAx>
      <c:valAx>
        <c:axId val="2792297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of Gross</a:t>
                </a:r>
                <a:r>
                  <a:rPr lang="en-US" baseline="0"/>
                  <a:t> State Product</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234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1">
          <a:lumMod val="50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a:t>Total Personal Property Assessed Value as a Percent of Total Commercial, Industrial and Public Utility Real Property Assessed Value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a:scene3d>
              <a:camera prst="orthographicFront"/>
              <a:lightRig rig="threePt" dir="t"/>
            </a:scene3d>
            <a:sp3d>
              <a:bevelT w="165100" prst="coolSlan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Sheet1!$A$19:$A$29</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Sheet1!$J$19:$J$29</c:f>
              <c:numCache>
                <c:formatCode>0.0%</c:formatCode>
                <c:ptCount val="11"/>
                <c:pt idx="0">
                  <c:v>0.43676326619448064</c:v>
                </c:pt>
                <c:pt idx="1">
                  <c:v>0.43089318929987713</c:v>
                </c:pt>
                <c:pt idx="2">
                  <c:v>0.39252640642898917</c:v>
                </c:pt>
                <c:pt idx="3">
                  <c:v>0.35788430647245573</c:v>
                </c:pt>
                <c:pt idx="4">
                  <c:v>0.33507624217414561</c:v>
                </c:pt>
                <c:pt idx="5">
                  <c:v>0.34443277471659672</c:v>
                </c:pt>
                <c:pt idx="6">
                  <c:v>0.3497534423325882</c:v>
                </c:pt>
                <c:pt idx="7">
                  <c:v>0.35169809719564255</c:v>
                </c:pt>
                <c:pt idx="8">
                  <c:v>0.36326627937465461</c:v>
                </c:pt>
                <c:pt idx="9">
                  <c:v>0.39265110540143222</c:v>
                </c:pt>
                <c:pt idx="10">
                  <c:v>0.40833811989413649</c:v>
                </c:pt>
              </c:numCache>
            </c:numRef>
          </c:val>
        </c:ser>
        <c:dLbls>
          <c:showLegendKey val="0"/>
          <c:showVal val="0"/>
          <c:showCatName val="0"/>
          <c:showSerName val="0"/>
          <c:showPercent val="0"/>
          <c:showBubbleSize val="0"/>
        </c:dLbls>
        <c:gapWidth val="219"/>
        <c:overlap val="-27"/>
        <c:axId val="279234080"/>
        <c:axId val="279234472"/>
      </c:barChart>
      <c:catAx>
        <c:axId val="279234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79234472"/>
        <c:crosses val="autoZero"/>
        <c:auto val="1"/>
        <c:lblAlgn val="ctr"/>
        <c:lblOffset val="100"/>
        <c:noMultiLvlLbl val="0"/>
      </c:catAx>
      <c:valAx>
        <c:axId val="2792344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of Business Real Property Value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79234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1">
          <a:lumMod val="50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a:t>Personal Property Exemptions as a Percent of Total Personal Property Base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a:scene3d>
              <a:camera prst="orthographicFront"/>
              <a:lightRig rig="threePt" dir="t"/>
            </a:scene3d>
            <a:sp3d>
              <a:bevelT w="165100" prst="coolSlan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Sheet1!$A$20:$A$29</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Sheet1!$I$20:$I$29</c:f>
              <c:numCache>
                <c:formatCode>0.0%</c:formatCode>
                <c:ptCount val="10"/>
                <c:pt idx="0">
                  <c:v>0.15738929185878897</c:v>
                </c:pt>
                <c:pt idx="1">
                  <c:v>0.14203950824825229</c:v>
                </c:pt>
                <c:pt idx="2">
                  <c:v>0.15205777042792964</c:v>
                </c:pt>
                <c:pt idx="3">
                  <c:v>0.16171767667994921</c:v>
                </c:pt>
                <c:pt idx="4">
                  <c:v>0.17389816949672646</c:v>
                </c:pt>
                <c:pt idx="5">
                  <c:v>0.18587383888209758</c:v>
                </c:pt>
                <c:pt idx="6">
                  <c:v>0.20167042125112361</c:v>
                </c:pt>
                <c:pt idx="7">
                  <c:v>0.20499262698910928</c:v>
                </c:pt>
                <c:pt idx="8">
                  <c:v>0.2053870711587473</c:v>
                </c:pt>
                <c:pt idx="9">
                  <c:v>0.20385247206832849</c:v>
                </c:pt>
              </c:numCache>
            </c:numRef>
          </c:val>
        </c:ser>
        <c:dLbls>
          <c:showLegendKey val="0"/>
          <c:showVal val="0"/>
          <c:showCatName val="0"/>
          <c:showSerName val="0"/>
          <c:showPercent val="0"/>
          <c:showBubbleSize val="0"/>
        </c:dLbls>
        <c:gapWidth val="219"/>
        <c:overlap val="-27"/>
        <c:axId val="279232120"/>
        <c:axId val="279232512"/>
      </c:barChart>
      <c:catAx>
        <c:axId val="279232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79232512"/>
        <c:crosses val="autoZero"/>
        <c:auto val="1"/>
        <c:lblAlgn val="ctr"/>
        <c:lblOffset val="100"/>
        <c:noMultiLvlLbl val="0"/>
      </c:catAx>
      <c:valAx>
        <c:axId val="279232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of Personal</a:t>
                </a:r>
                <a:r>
                  <a:rPr lang="en-US" baseline="0"/>
                  <a:t> Property Assessed Value</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79232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1">
          <a:lumMod val="50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Net Personal Property Base as a Percent of </a:t>
            </a:r>
          </a:p>
          <a:p>
            <a:pPr>
              <a:defRPr/>
            </a:pPr>
            <a:r>
              <a:rPr lang="en-US"/>
              <a:t>Net Grand List: 2013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a:scene3d>
              <a:camera prst="orthographicFront"/>
              <a:lightRig rig="threePt" dir="t"/>
            </a:scene3d>
            <a:sp3d>
              <a:bevelT w="165100" prst="coolSlan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Sheet5!$C$2:$L$2</c:f>
              <c:strCache>
                <c:ptCount val="10"/>
                <c:pt idx="0">
                  <c:v>0.9%-1.99%</c:v>
                </c:pt>
                <c:pt idx="1">
                  <c:v>2.0%-2.99%</c:v>
                </c:pt>
                <c:pt idx="2">
                  <c:v>3.0%-3.99%</c:v>
                </c:pt>
                <c:pt idx="3">
                  <c:v>4.0%-4.99%</c:v>
                </c:pt>
                <c:pt idx="4">
                  <c:v>5.0%-5.99%</c:v>
                </c:pt>
                <c:pt idx="5">
                  <c:v>6.0%-6.99%</c:v>
                </c:pt>
                <c:pt idx="6">
                  <c:v>7.0%-7.99%</c:v>
                </c:pt>
                <c:pt idx="7">
                  <c:v>8.0%-9.99%</c:v>
                </c:pt>
                <c:pt idx="8">
                  <c:v>10.0%-11.99%</c:v>
                </c:pt>
                <c:pt idx="9">
                  <c:v>12% or higher</c:v>
                </c:pt>
              </c:strCache>
            </c:strRef>
          </c:cat>
          <c:val>
            <c:numRef>
              <c:f>Sheet5!$C$3:$L$3</c:f>
              <c:numCache>
                <c:formatCode>General</c:formatCode>
                <c:ptCount val="10"/>
                <c:pt idx="0">
                  <c:v>20</c:v>
                </c:pt>
                <c:pt idx="1">
                  <c:v>33</c:v>
                </c:pt>
                <c:pt idx="2">
                  <c:v>34</c:v>
                </c:pt>
                <c:pt idx="3">
                  <c:v>17</c:v>
                </c:pt>
                <c:pt idx="4">
                  <c:v>22</c:v>
                </c:pt>
                <c:pt idx="5">
                  <c:v>16</c:v>
                </c:pt>
                <c:pt idx="6">
                  <c:v>10</c:v>
                </c:pt>
                <c:pt idx="7">
                  <c:v>6</c:v>
                </c:pt>
                <c:pt idx="8">
                  <c:v>5</c:v>
                </c:pt>
                <c:pt idx="9">
                  <c:v>6</c:v>
                </c:pt>
              </c:numCache>
            </c:numRef>
          </c:val>
        </c:ser>
        <c:dLbls>
          <c:showLegendKey val="0"/>
          <c:showVal val="0"/>
          <c:showCatName val="0"/>
          <c:showSerName val="0"/>
          <c:showPercent val="0"/>
          <c:showBubbleSize val="0"/>
        </c:dLbls>
        <c:gapWidth val="219"/>
        <c:overlap val="-27"/>
        <c:axId val="279230552"/>
        <c:axId val="279229376"/>
      </c:barChart>
      <c:catAx>
        <c:axId val="279230552"/>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t>Percent of Net Grand List Value</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229376"/>
        <c:crosses val="autoZero"/>
        <c:auto val="1"/>
        <c:lblAlgn val="ctr"/>
        <c:lblOffset val="100"/>
        <c:noMultiLvlLbl val="0"/>
      </c:catAx>
      <c:valAx>
        <c:axId val="2792293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Assessing Offices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230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a:t>Distribution of tax obligations for $1 million in business personal property, 2014 mill rates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a:scene3d>
              <a:camera prst="orthographicFront"/>
              <a:lightRig rig="threePt" dir="t"/>
            </a:scene3d>
            <a:sp3d>
              <a:bevelT w="165100" prst="coolSlant"/>
            </a:sp3d>
          </c:spPr>
          <c:invertIfNegative val="0"/>
          <c:cat>
            <c:numRef>
              <c:f>Sheet2!$G$1:$G$22</c:f>
              <c:numCache>
                <c:formatCode>_(* #,##0_);_(* \(#,##0\);_(* "-"??_);_(@_)</c:formatCode>
                <c:ptCount val="22"/>
                <c:pt idx="0">
                  <c:v>9500</c:v>
                </c:pt>
                <c:pt idx="1">
                  <c:v>11500</c:v>
                </c:pt>
                <c:pt idx="2">
                  <c:v>13500</c:v>
                </c:pt>
                <c:pt idx="3">
                  <c:v>15500</c:v>
                </c:pt>
                <c:pt idx="4">
                  <c:v>17500</c:v>
                </c:pt>
                <c:pt idx="5">
                  <c:v>19500</c:v>
                </c:pt>
                <c:pt idx="6">
                  <c:v>21500</c:v>
                </c:pt>
                <c:pt idx="7">
                  <c:v>23500</c:v>
                </c:pt>
                <c:pt idx="8">
                  <c:v>25500</c:v>
                </c:pt>
                <c:pt idx="9">
                  <c:v>27500</c:v>
                </c:pt>
                <c:pt idx="10">
                  <c:v>29500</c:v>
                </c:pt>
                <c:pt idx="11">
                  <c:v>31500</c:v>
                </c:pt>
                <c:pt idx="12">
                  <c:v>33500</c:v>
                </c:pt>
                <c:pt idx="13">
                  <c:v>35500</c:v>
                </c:pt>
                <c:pt idx="14">
                  <c:v>37500</c:v>
                </c:pt>
                <c:pt idx="15">
                  <c:v>39500</c:v>
                </c:pt>
                <c:pt idx="16">
                  <c:v>41500</c:v>
                </c:pt>
                <c:pt idx="17">
                  <c:v>43500</c:v>
                </c:pt>
                <c:pt idx="18">
                  <c:v>45500</c:v>
                </c:pt>
                <c:pt idx="19">
                  <c:v>47500</c:v>
                </c:pt>
                <c:pt idx="20">
                  <c:v>49500</c:v>
                </c:pt>
                <c:pt idx="21">
                  <c:v>51500</c:v>
                </c:pt>
              </c:numCache>
            </c:numRef>
          </c:cat>
          <c:val>
            <c:numRef>
              <c:f>Sheet2!$I$1:$I$22</c:f>
              <c:numCache>
                <c:formatCode>0.0%</c:formatCode>
                <c:ptCount val="22"/>
                <c:pt idx="0">
                  <c:v>1.0869565217391304E-2</c:v>
                </c:pt>
                <c:pt idx="1">
                  <c:v>2.8985507246376812E-2</c:v>
                </c:pt>
                <c:pt idx="2">
                  <c:v>3.2608695652173912E-2</c:v>
                </c:pt>
                <c:pt idx="3">
                  <c:v>5.0724637681159424E-2</c:v>
                </c:pt>
                <c:pt idx="4">
                  <c:v>0.13405797101449277</c:v>
                </c:pt>
                <c:pt idx="5">
                  <c:v>0.17753623188405798</c:v>
                </c:pt>
                <c:pt idx="6">
                  <c:v>0.19202898550724637</c:v>
                </c:pt>
                <c:pt idx="7">
                  <c:v>0.13768115942028986</c:v>
                </c:pt>
                <c:pt idx="8">
                  <c:v>8.6956521739130432E-2</c:v>
                </c:pt>
                <c:pt idx="9">
                  <c:v>5.7971014492753624E-2</c:v>
                </c:pt>
                <c:pt idx="10">
                  <c:v>3.9855072463768113E-2</c:v>
                </c:pt>
                <c:pt idx="11">
                  <c:v>1.8115942028985508E-2</c:v>
                </c:pt>
                <c:pt idx="12">
                  <c:v>1.4492753623188406E-2</c:v>
                </c:pt>
                <c:pt idx="13">
                  <c:v>7.246376811594203E-3</c:v>
                </c:pt>
                <c:pt idx="14">
                  <c:v>3.6231884057971015E-3</c:v>
                </c:pt>
                <c:pt idx="15">
                  <c:v>0</c:v>
                </c:pt>
                <c:pt idx="16">
                  <c:v>3.6231884057971015E-3</c:v>
                </c:pt>
                <c:pt idx="17">
                  <c:v>0</c:v>
                </c:pt>
                <c:pt idx="18">
                  <c:v>0</c:v>
                </c:pt>
                <c:pt idx="19">
                  <c:v>0</c:v>
                </c:pt>
                <c:pt idx="20">
                  <c:v>0</c:v>
                </c:pt>
                <c:pt idx="21">
                  <c:v>3.6231884057971015E-3</c:v>
                </c:pt>
              </c:numCache>
            </c:numRef>
          </c:val>
        </c:ser>
        <c:dLbls>
          <c:showLegendKey val="0"/>
          <c:showVal val="0"/>
          <c:showCatName val="0"/>
          <c:showSerName val="0"/>
          <c:showPercent val="0"/>
          <c:showBubbleSize val="0"/>
        </c:dLbls>
        <c:gapWidth val="219"/>
        <c:overlap val="-27"/>
        <c:axId val="279478712"/>
        <c:axId val="279478320"/>
      </c:barChart>
      <c:catAx>
        <c:axId val="279478712"/>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Personal Property Tax Obligation</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_(* #,##0_);_(* \(#,##0\);_(* &quot;-&quot;??_);_(@_)"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79478320"/>
        <c:crosses val="autoZero"/>
        <c:auto val="1"/>
        <c:lblAlgn val="ctr"/>
        <c:lblOffset val="100"/>
        <c:noMultiLvlLbl val="0"/>
      </c:catAx>
      <c:valAx>
        <c:axId val="279478320"/>
        <c:scaling>
          <c:orientation val="minMax"/>
          <c:max val="0.22000000000000003"/>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Percent of communities</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79478712"/>
        <c:crosses val="autoZero"/>
        <c:crossBetween val="between"/>
        <c:majorUnit val="2.0000000000000004E-2"/>
      </c:valAx>
      <c:spPr>
        <a:noFill/>
        <a:ln>
          <a:noFill/>
        </a:ln>
        <a:effectLst/>
      </c:spPr>
    </c:plotArea>
    <c:plotVisOnly val="1"/>
    <c:dispBlanksAs val="gap"/>
    <c:showDLblsOverMax val="0"/>
  </c:chart>
  <c:spPr>
    <a:solidFill>
      <a:schemeClr val="bg1"/>
    </a:solidFill>
    <a:ln w="9525" cap="flat" cmpd="sng" algn="ctr">
      <a:solidFill>
        <a:schemeClr val="accent1">
          <a:lumMod val="50000"/>
        </a:schemeClr>
      </a:solidFill>
      <a:round/>
    </a:ln>
    <a:effectLst/>
  </c:spPr>
  <c:txPr>
    <a:bodyPr/>
    <a:lstStyle/>
    <a:p>
      <a:pPr>
        <a:defRPr sz="16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93E4A-F477-42FC-8BCB-2F38A4E30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14302</Words>
  <Characters>81522</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Walters</dc:creator>
  <cp:keywords/>
  <dc:description/>
  <cp:lastModifiedBy>Rebel</cp:lastModifiedBy>
  <cp:revision>2</cp:revision>
  <dcterms:created xsi:type="dcterms:W3CDTF">2015-11-08T17:00:00Z</dcterms:created>
  <dcterms:modified xsi:type="dcterms:W3CDTF">2015-11-08T17:00:00Z</dcterms:modified>
</cp:coreProperties>
</file>